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Tue Aug 28 12:33:50 2018 -0700</w:t>
      </w:r>
    </w:p>
    <w:p>
      <w:pPr>
        <w:pStyle w:val="Heading1"/>
      </w:pPr>
      <w:bookmarkStart w:id="23" w:name="abstract"/>
      <w:r>
        <w:t xml:space="preserve">Abstract</w:t>
      </w:r>
      <w:bookmarkEnd w:id="23"/>
    </w:p>
    <w:p>
      <w:pPr>
        <w:pStyle w:val="FirstParagraph"/>
      </w:pPr>
      <w:r>
        <w:t xml:space="preserve">Progress in the field of applied bioassessment is impeded by a lack of methods that are accessible and reproducible for the management community. Open science principles that seek to democratize science can address these challenges, yet widespread adoption in research has yet to gain traction for the development and appplication bioassessment methods. At the core of this philosophy is the concept that research should be reproducible and transparent, in addition to having long-term provenance through effective modes of data preservation and sharing. This review will introduce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environmental monitoring programs that informs decisions for managing aquatic resources. Decades of research have supported the development of methods that use a variety of assemblages with regional applications in streams, rivers, lakes, and marine environments. This body of applied tools represents significant achievements in developing accurate and interpretable assessment methods that rely on biological organisms as sentinels of environmental condition. Monitoring programs in the United States and internationally have collected millions of records of biological data spanning decades and hundreds of assessment methods have been developed from these data, yet the ability of these tools to reach the management community and to positively affect environmental change is imbalanced relative to the abundance of information that could be used. Morever, existing methods can lack transparency, require specialized training to implement, and are often not discoverable beyond specific research applications. Decision-makers require additional tools that synthesize information and bridge the gap between method and application.</w:t>
      </w:r>
    </w:p>
    <w:p>
      <w:pPr>
        <w:pStyle w:val="BodyText"/>
      </w:pPr>
      <w:r>
        <w:t xml:space="preserve">Legal mandates to assess biological condition have set a precedent for developing bioassessment methods in the United States, Canada, and Europe. Since the passage of these mandates, the science of bioassessment has for decades focused on addressing technical challenges for developing robust indices that accurately describe environmental condition. Basic research questions to address these goals focused on identifying which biological components respond predictably to environmental change, how these components can be measured with minimum uncerainty, and what basis of comparison is used to evaluate relative changes between communities. Most bioassessment indices developed at the assemblage-level are characterized as either multimetric, such as the index of biotic integrity, or multivariate where condition is based on ratios between observed and expected taxa. The reference-condition approach also establishes the foundation for many bioassessment methods whereby a set of reference sites are identified and used to evaluate accepted levels of deviation in scores to define potential impacts.</w:t>
      </w:r>
    </w:p>
    <w:p>
      <w:pPr>
        <w:pStyle w:val="BodyText"/>
      </w:pPr>
      <w:r>
        <w:t xml:space="preserve">Methods for evaluating and comparing biological communities that have been developed by the research community have generally been accepted as reliable means for developing bioassessment tools. As a result, most assessment tools follow a similar approach to development that is often guided by technical support documents that summarize the body of research to date on bioassessment. This has in part contributed to the proliferation of hundreds of assessment methods that have been developed for specic regional applcations. Although there are logistical rationale for why location-specific methods are needed, some have argued that larger-scale and more integrated methods are more practical given the obvious benefit of assessment standards that have broader applicability (Whitter study). What is the point of this paragraph?</w:t>
      </w:r>
    </w:p>
    <w:p>
      <w:pPr>
        <w:pStyle w:val="BodyText"/>
      </w:pPr>
      <w:r>
        <w:t xml:space="preserve">What distinguishes bioassessment from others field of study in ecology is the link to environmental management. Although bioassessment methods can and have been used to inform basic research, the intended use of these tools, often by legal definition, is in the applied sense. An argument could be made that an index is only as valuable as its level of integration with the management and regulatory communities. In the United States, the CWA gives the power to states, tribes, and territories to delop their own methods which in turn require approval at the federal level to be implemented into a regulatory framework, e.g., TMDL reporting, permitting, etc.. If federal approval is a rough assessment of index efficacy, a tremendous imbalance exists between the methods developed and those are officially used in a regulatory context.</w:t>
      </w:r>
    </w:p>
    <w:p>
      <w:pPr>
        <w:pStyle w:val="BodyText"/>
      </w:pPr>
      <w:r>
        <w:t xml:space="preserve">What is the reason for this imbalance?</w:t>
      </w:r>
    </w:p>
    <w:p>
      <w:pPr>
        <w:pStyle w:val="Compact"/>
        <w:numPr>
          <w:numId w:val="1001"/>
          <w:ilvl w:val="0"/>
        </w:numPr>
      </w:pPr>
      <w:r>
        <w:t xml:space="preserve">What is the problem</w:t>
      </w:r>
    </w:p>
    <w:p>
      <w:pPr>
        <w:pStyle w:val="Compact"/>
        <w:numPr>
          <w:numId w:val="1002"/>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2"/>
          <w:ilvl w:val="1"/>
        </w:numPr>
      </w:pPr>
      <w:r>
        <w:t xml:space="preserve">Proliferation of methods - review of index coverage in US, internationally, Birk et al. 2012 describe nearly 300 methods that have been developed in Europe, Nichols et al. 2016 describe national down-scaling of bioassessment applications in Australia as a negative in absence of coordinated federal assessment networks, Kelly et al. 2016 describe issues of redundancy in ecological assessment of lakes regarding use of multiple taxa, are they all necessary?</w:t>
      </w:r>
    </w:p>
    <w:p>
      <w:pPr>
        <w:pStyle w:val="Compact"/>
        <w:numPr>
          <w:numId w:val="1002"/>
          <w:ilvl w:val="1"/>
        </w:numPr>
      </w:pPr>
      <w:r>
        <w:t xml:space="preserve">Report/manuscript as final product paradigm and issues related to transparency, reproducibility, data provenance</w:t>
      </w:r>
    </w:p>
    <w:p>
      <w:pPr>
        <w:pStyle w:val="Compact"/>
        <w:numPr>
          <w:numId w:val="1002"/>
          <w:ilvl w:val="1"/>
        </w:numPr>
      </w:pPr>
      <w:r>
        <w:t xml:space="preserve">Application requires specialized knowledge of an index, responsibility usually falls on one or two individuals</w:t>
      </w:r>
    </w:p>
    <w:p>
      <w:pPr>
        <w:pStyle w:val="Compact"/>
        <w:numPr>
          <w:numId w:val="1002"/>
          <w:ilvl w:val="1"/>
        </w:numPr>
      </w:pPr>
      <w:r>
        <w:t xml:space="preserve">Lack of access to index calibration/validation data, information that is often collected through public funds although often treated as proprietary, data are not always discoverable (Hering et al. 2010 describe this issue in a ten-year assessment of WFD)</w:t>
      </w:r>
    </w:p>
    <w:p>
      <w:pPr>
        <w:pStyle w:val="Compact"/>
        <w:numPr>
          <w:numId w:val="1002"/>
          <w:ilvl w:val="1"/>
        </w:numPr>
      </w:pPr>
      <w:r>
        <w:t xml:space="preserve">Linking a method to management requires synthesis of information and intuitive tools for applying/interpreting results</w:t>
      </w:r>
    </w:p>
    <w:p>
      <w:pPr>
        <w:pStyle w:val="Compact"/>
        <w:numPr>
          <w:numId w:val="1001"/>
          <w:ilvl w:val="0"/>
        </w:numPr>
      </w:pPr>
      <w:r>
        <w:t xml:space="preserve">What is open science</w:t>
      </w:r>
    </w:p>
    <w:p>
      <w:pPr>
        <w:pStyle w:val="Compact"/>
        <w:numPr>
          <w:numId w:val="1003"/>
          <w:ilvl w:val="1"/>
        </w:numPr>
      </w:pPr>
      <w:r>
        <w:t xml:space="preserve">A philosophy and set of tools that can democratize scientific analysis by making data and analyses more accessible</w:t>
      </w:r>
    </w:p>
    <w:p>
      <w:pPr>
        <w:pStyle w:val="Compact"/>
        <w:numPr>
          <w:numId w:val="1003"/>
          <w:ilvl w:val="1"/>
        </w:numPr>
      </w:pPr>
      <w:r>
        <w:t xml:space="preserve">Emphasis on reproducibility, transparency, communication, and longevity, researchers as data stewards not owners</w:t>
      </w:r>
    </w:p>
    <w:p>
      <w:pPr>
        <w:pStyle w:val="Compact"/>
        <w:numPr>
          <w:numId w:val="1003"/>
          <w:ilvl w:val="1"/>
        </w:numPr>
      </w:pPr>
      <w:r>
        <w:t xml:space="preserve">Embraces all aspects of a project from idea conception to delivery of final products, implications for bioassessment</w:t>
      </w:r>
    </w:p>
    <w:p>
      <w:pPr>
        <w:pStyle w:val="Compact"/>
        <w:numPr>
          <w:numId w:val="1003"/>
          <w:ilvl w:val="1"/>
        </w:numPr>
      </w:pPr>
      <w:r>
        <w:t xml:space="preserve">Overall, encourages collaboration and access to/sharing of data</w:t>
      </w:r>
    </w:p>
    <w:p>
      <w:pPr>
        <w:pStyle w:val="Compact"/>
        <w:numPr>
          <w:numId w:val="1001"/>
          <w:ilvl w:val="0"/>
        </w:numPr>
      </w:pPr>
      <w:r>
        <w:t xml:space="preserve">Objectives of this paper: Promote use of open science as a philosophy and set of tools for bioassessment applications by describing benefits that facilitate collaboration and stakeholder engagement, focus is on both the why and how to effectively advocate for and empower others to adopt open science</w:t>
      </w:r>
    </w:p>
    <w:p>
      <w:pPr>
        <w:pStyle w:val="Heading1"/>
      </w:pPr>
      <w:bookmarkStart w:id="25" w:name="principles-of-open-science-and-what-they-mean-for-bioassessment"/>
      <w:r>
        <w:t xml:space="preserve">Principles of open science and what they mean for bioassessment</w:t>
      </w:r>
      <w:bookmarkEnd w:id="25"/>
    </w:p>
    <w:p>
      <w:pPr>
        <w:pStyle w:val="Compact"/>
        <w:numPr>
          <w:numId w:val="1004"/>
          <w:ilvl w:val="0"/>
        </w:numPr>
      </w:pPr>
      <w:r>
        <w:t xml:space="preserve">Overview of the open science process – follow Hampton paradigm, distinguish between benefits for the researcher vs research institution vs stakeholder/managers</w:t>
      </w:r>
    </w:p>
    <w:p>
      <w:pPr>
        <w:pStyle w:val="Compact"/>
        <w:numPr>
          <w:numId w:val="1004"/>
          <w:ilvl w:val="0"/>
        </w:numPr>
      </w:pPr>
      <w:r>
        <w:t xml:space="preserve">Why is open science particularly relevant for bioassessment?</w:t>
      </w:r>
    </w:p>
    <w:p>
      <w:pPr>
        <w:pStyle w:val="Compact"/>
        <w:numPr>
          <w:numId w:val="1005"/>
          <w:ilvl w:val="1"/>
        </w:numPr>
      </w:pPr>
      <w:r>
        <w:t xml:space="preserve">data are publicly funded, typically, so legal/moral mandates necessitate open analysis, see Molloy 2011 for UK example</w:t>
      </w:r>
    </w:p>
    <w:p>
      <w:pPr>
        <w:pStyle w:val="Compact"/>
        <w:numPr>
          <w:numId w:val="1005"/>
          <w:ilvl w:val="1"/>
        </w:numPr>
      </w:pPr>
      <w:r>
        <w:t xml:space="preserve">Multiple methods have been developed, an important component of open science is data discovery. Making methods open and transparent can facilitate synthesis and meta-analysis</w:t>
      </w:r>
    </w:p>
    <w:p>
      <w:pPr>
        <w:pStyle w:val="Compact"/>
        <w:numPr>
          <w:numId w:val="1005"/>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4"/>
          <w:ilvl w:val="0"/>
        </w:numPr>
      </w:pPr>
      <w:r>
        <w:t xml:space="preserve">Aspects of the process that can benefit bioassessment</w:t>
      </w:r>
    </w:p>
    <w:p>
      <w:pPr>
        <w:pStyle w:val="Compact"/>
        <w:numPr>
          <w:numId w:val="1006"/>
          <w:ilvl w:val="1"/>
        </w:numPr>
      </w:pPr>
      <w:r>
        <w:t xml:space="preserve">Data provenance and open data</w:t>
      </w:r>
    </w:p>
    <w:p>
      <w:pPr>
        <w:pStyle w:val="Compact"/>
        <w:numPr>
          <w:numId w:val="1006"/>
          <w:ilvl w:val="1"/>
        </w:numPr>
      </w:pPr>
      <w:r>
        <w:t xml:space="preserve">Method development – existing software packages to facilitate</w:t>
      </w:r>
    </w:p>
    <w:p>
      <w:pPr>
        <w:pStyle w:val="Compact"/>
        <w:numPr>
          <w:numId w:val="1006"/>
          <w:ilvl w:val="1"/>
        </w:numPr>
      </w:pPr>
      <w:r>
        <w:t xml:space="preserve">Method delivery –</w:t>
      </w:r>
    </w:p>
    <w:p>
      <w:pPr>
        <w:pStyle w:val="Compact"/>
        <w:numPr>
          <w:numId w:val="1007"/>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w:t>
      </w:r>
    </w:p>
    <w:p>
      <w:pPr>
        <w:pStyle w:val="Compact"/>
        <w:numPr>
          <w:numId w:val="1007"/>
          <w:ilvl w:val="2"/>
        </w:numPr>
      </w:pPr>
      <w:r>
        <w:t xml:space="preserve">Communication within collaborative teadm and management community, Kelling et al. 2009</w:t>
      </w:r>
    </w:p>
    <w:p>
      <w:pPr>
        <w:pStyle w:val="Compact"/>
        <w:numPr>
          <w:numId w:val="1004"/>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6" w:name="california-examples"/>
      <w:r>
        <w:t xml:space="preserve">California examples</w:t>
      </w:r>
      <w:bookmarkEnd w:id="26"/>
    </w:p>
    <w:p>
      <w:pPr>
        <w:pStyle w:val="Compact"/>
        <w:numPr>
          <w:numId w:val="1008"/>
          <w:ilvl w:val="0"/>
        </w:numPr>
      </w:pPr>
      <w:r>
        <w:t xml:space="preserve">Example approach</w:t>
      </w:r>
    </w:p>
    <w:p>
      <w:pPr>
        <w:pStyle w:val="Compact"/>
        <w:numPr>
          <w:numId w:val="1009"/>
          <w:ilvl w:val="1"/>
        </w:numPr>
      </w:pPr>
      <w:r>
        <w:t xml:space="preserve">What is the legal/policy framework for supporting/impeding open science in CA? Are we living up to our aspirations?</w:t>
      </w:r>
    </w:p>
    <w:p>
      <w:pPr>
        <w:pStyle w:val="Compact"/>
        <w:numPr>
          <w:numId w:val="1010"/>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7">
        <w:r>
          <w:rPr>
            <w:rStyle w:val="Hyperlink"/>
          </w:rPr>
          <w:t xml:space="preserve">press release</w:t>
        </w:r>
      </w:hyperlink>
      <w:r>
        <w:t xml:space="preserve">,</w:t>
      </w:r>
      <w:r>
        <w:t xml:space="preserve"> </w:t>
      </w:r>
      <w:hyperlink r:id="rId28">
        <w:r>
          <w:rPr>
            <w:rStyle w:val="Hyperlink"/>
          </w:rPr>
          <w:t xml:space="preserve">resolution</w:t>
        </w:r>
      </w:hyperlink>
    </w:p>
    <w:p>
      <w:pPr>
        <w:pStyle w:val="Compact"/>
        <w:numPr>
          <w:numId w:val="1009"/>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9"/>
          <w:ilvl w:val="1"/>
        </w:numPr>
      </w:pPr>
      <w:r>
        <w:t xml:space="preserve">The California vision – describe legal/policy demands for bioassessment, current methods developed, developing tools to link technical products with management</w:t>
      </w:r>
    </w:p>
    <w:p>
      <w:pPr>
        <w:pStyle w:val="Compact"/>
        <w:numPr>
          <w:numId w:val="1009"/>
          <w:ilvl w:val="1"/>
        </w:numPr>
      </w:pPr>
      <w:r>
        <w:t xml:space="preserve">Existing applications – assessment methods packaged as standalone applications complete with documentation, vignettes, versioning</w:t>
      </w:r>
    </w:p>
    <w:p>
      <w:pPr>
        <w:pStyle w:val="Compact"/>
        <w:numPr>
          <w:numId w:val="1009"/>
          <w:ilvl w:val="1"/>
        </w:numPr>
      </w:pPr>
      <w:r>
        <w:t xml:space="preserve">Bioassessment as proactive vs reactive – SCAPE for regulatory applications, SCAPE for conservation, other examples</w:t>
      </w:r>
    </w:p>
    <w:p>
      <w:pPr>
        <w:pStyle w:val="Heading1"/>
      </w:pPr>
      <w:bookmarkStart w:id="29" w:name="challenges-and-recommendations-for-bioassessment"/>
      <w:r>
        <w:t xml:space="preserve">Challenges and recommendations for bioassessment</w:t>
      </w:r>
      <w:bookmarkEnd w:id="29"/>
    </w:p>
    <w:p>
      <w:pPr>
        <w:pStyle w:val="Compact"/>
        <w:numPr>
          <w:numId w:val="1011"/>
          <w:ilvl w:val="0"/>
        </w:numPr>
      </w:pPr>
      <w:r>
        <w:t xml:space="preserve">Challenges for application</w:t>
      </w:r>
    </w:p>
    <w:p>
      <w:pPr>
        <w:pStyle w:val="Compact"/>
        <w:numPr>
          <w:numId w:val="1012"/>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2"/>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2"/>
          <w:ilvl w:val="1"/>
        </w:numPr>
      </w:pPr>
      <w:r>
        <w:t xml:space="preserve">Institutional barriers – entrenched modes of operation can discourage novelty and exploration, no incentive for adoption</w:t>
      </w:r>
    </w:p>
    <w:p>
      <w:pPr>
        <w:pStyle w:val="Compact"/>
        <w:numPr>
          <w:numId w:val="1011"/>
          <w:ilvl w:val="0"/>
        </w:numPr>
      </w:pPr>
      <w:r>
        <w:t xml:space="preserve">The way forward</w:t>
      </w:r>
    </w:p>
    <w:p>
      <w:pPr>
        <w:pStyle w:val="Compact"/>
        <w:numPr>
          <w:numId w:val="1013"/>
          <w:ilvl w:val="1"/>
        </w:numPr>
      </w:pPr>
      <w:r>
        <w:t xml:space="preserve">The holy grail is widespread adoption of open science in bioassessment, but this will never be completely integrated, see challenges above</w:t>
      </w:r>
    </w:p>
    <w:p>
      <w:pPr>
        <w:pStyle w:val="Compact"/>
        <w:numPr>
          <w:numId w:val="1013"/>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3"/>
          <w:ilvl w:val="1"/>
        </w:numPr>
      </w:pPr>
      <w:r>
        <w:t xml:space="preserve">Who is likely to adopt? Cultivate adopters (researcher benefits, institution benefits, stakeholder benefits), work with non-adopters (institution benefits, stakeholder benefits)</w:t>
      </w:r>
    </w:p>
    <w:p>
      <w:pPr>
        <w:pStyle w:val="Compact"/>
        <w:numPr>
          <w:numId w:val="1013"/>
          <w:ilvl w:val="1"/>
        </w:numPr>
      </w:pPr>
      <w:r>
        <w:t xml:space="preserve">Roles for adopters, roles for non-adopters</w:t>
      </w:r>
    </w:p>
    <w:p>
      <w:pPr>
        <w:pStyle w:val="Compact"/>
        <w:numPr>
          <w:numId w:val="1013"/>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11"/>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0" w:name="references"/>
      <w:r>
        <w:t xml:space="preserve">References</w:t>
      </w:r>
      <w:bookmarkEnd w:id="30"/>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bioassessment</dc:title>
  <dc:creator>Marcus W. Beck (marcusb@sccwrp.org), Raphael D. Mazor (raphaelm@sccwrp.org), Susanna T. Theroux (susannat@sccwrp.org)</dc:creator>
  <cp:keywords/>
  <dcterms:created xsi:type="dcterms:W3CDTF">2018-08-30T00:31:29Z</dcterms:created>
  <dcterms:modified xsi:type="dcterms:W3CDTF">2018-08-30T00:31:29Z</dcterms:modified>
</cp:coreProperties>
</file>