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9.png" ContentType="image/png"/>
  <Override PartName="/word/media/rId60.png" ContentType="image/png"/>
  <Override PartName="/word/media/rId62.png" ContentType="image/png"/>
  <Override PartName="/word/media/rId6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Version Date: Sun Aug 4 13:01:10 2019 -0700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results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United States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et al.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To these ends, more open sharing and discoverability (i.e., improved database connectivity and ease of access) of bioassessment data, methods, and tools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An effective bioassessment product must jointly address the technical challenges of developing a sensitive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w:t>
      </w:r>
      <w:r>
        <w:t xml:space="preserve"> </w:t>
      </w:r>
      <w:r>
        <w:t xml:space="preserve">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indices may not be easily replicated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meet these needs, yet bioassessment research and its application to better serve the environment has not yet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accessible to the management community. Legal and ethical precedents in bioassessment may also necessitate open data sharing given that environmental monitoring programs are often publicly funded.</w:t>
      </w:r>
    </w:p>
    <w:p>
      <w:pPr>
        <w:pStyle w:val="BodyText"/>
      </w:pPr>
      <w:r>
        <w:t xml:space="preserve">This review demonstrates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and improve the ability of these methods to address environmental issues by bridging the gap between the scientific, management, and regulatory communities. As such, this paper describes open science tools that can be adopted in research practices with an emphasis on communication,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w:t>
      </w:r>
      <w:r>
        <w:t xml:space="preserve"> </w:t>
      </w:r>
      <w:hyperlink r:id="rId32">
        <w:r>
          <w:rPr>
            <w:rStyle w:val="Hyperlink"/>
          </w:rPr>
          <w:t xml:space="preserve">EML</w:t>
        </w:r>
      </w:hyperlink>
      <w:r>
        <w:t xml:space="preserv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5" w:name="X82402b96a662d353687d6a528d81154bdf223ef"/>
      <w:r>
        <w:t xml:space="preserve">Applying open science principles to bioassessment</w:t>
      </w:r>
      <w:bookmarkEnd w:id="35"/>
    </w:p>
    <w:p>
      <w:pPr>
        <w:pStyle w:val="FirstParagraph"/>
      </w:pPr>
      <w:r>
        <w:t xml:space="preserve">Here we provide a detailed description of open science processes that the bioassessment community could leverage to adopt a philosophy of creating reproducible, transparent, and discoverable research products for environmental managers. To emphasize the value of open science for specific steps of the scientific process, we first describe a</w:t>
      </w:r>
      <w:r>
        <w:t xml:space="preserve"> </w:t>
      </w:r>
      <w:r>
        <w:t xml:space="preserve">“</w:t>
      </w:r>
      <w:r>
        <w:t xml:space="preserve">conventional</w:t>
      </w:r>
      <w:r>
        <w:t xml:space="preserve">”</w:t>
      </w:r>
      <w:r>
        <w:t xml:space="preserve"> </w:t>
      </w:r>
      <w:r>
        <w:t xml:space="preserve">linear process (Figure</w:t>
      </w:r>
      <w:r>
        <w:t xml:space="preserve"> </w:t>
      </w:r>
      <w:r>
        <w:t xml:space="preserve">2</w:t>
      </w:r>
      <w:r>
        <w:t xml:space="preserve">a), which is then contrasted with a process that adopts open science tools to facilitate feedback between the management community and stakeholders (Figure</w:t>
      </w:r>
      <w:r>
        <w:t xml:space="preserve"> </w:t>
      </w:r>
      <w:r>
        <w:t xml:space="preserve">2</w:t>
      </w:r>
      <w:r>
        <w:t xml:space="preserve">b). The critical differences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management application (e.g., a bioassessment product will not have applied value if its final home is the primary literature).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 teams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BodyText"/>
      </w:pPr>
      <w:r>
        <w:t xml:space="preserve">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We emphasize that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Concepts of openness in Table</w:t>
      </w:r>
      <w:r>
        <w:t xml:space="preserve"> </w:t>
      </w:r>
      <w:r>
        <w:t xml:space="preserve">1</w:t>
      </w:r>
      <w:r>
        <w:t xml:space="preserve"> </w:t>
      </w:r>
      <w:r>
        <w:t xml:space="preserve">also have analogs in the conventional paradigm that are worth noting to better distinguish between open and conventional workflows. First, an open process, as noted above, encapsulates concepts of transparency, discoverability, and availability, whereas a closed process is marked by isolation from any external feedback between researchers and outside institutions. Closed processes are also opaque because they are concealed from outsiders and cannot be easily replicated. A common example is manual spreadsheet manipulation where the steps are neither explicitly nor implicitly documented (as through scripting or pseudocode), such that others and the individual researcher may be unable to replicate the workflow in the future. Further, analysis tools that are created with open source platforms may also be opaque if there is no documentation or description of the underlying analyses to illuminate the</w:t>
      </w:r>
      <w:r>
        <w:t xml:space="preserve"> </w:t>
      </w:r>
      <w:r>
        <w:t xml:space="preserve">“</w:t>
      </w:r>
      <w:r>
        <w:t xml:space="preserve">black box</w:t>
      </w:r>
      <w:r>
        <w:t xml:space="preserve">”</w:t>
      </w:r>
      <w:r>
        <w:t xml:space="preserve"> </w:t>
      </w:r>
      <w:r>
        <w:t xml:space="preserve">of the internal code. Finally, open processes can make data available both from an accessibility and</w:t>
      </w:r>
      <w:r>
        <w:t xml:space="preserve"> </w:t>
      </w:r>
      <w:r>
        <w:t xml:space="preserve">“</w:t>
      </w:r>
      <w:r>
        <w:t xml:space="preserve">readability</w:t>
      </w:r>
      <w:r>
        <w:t xml:space="preserve">”</w:t>
      </w:r>
      <w:r>
        <w:t xml:space="preserve"> </w:t>
      </w:r>
      <w:r>
        <w:t xml:space="preserve">perspective, as for both human- and machine-readable formats. Inaccessible data by contrast have none of these properties and may be proprietary or unreadable for analysis (e.g., an image of a data table in a PDF).</w:t>
      </w:r>
    </w:p>
    <w:p>
      <w:pPr>
        <w:pStyle w:val="Heading2"/>
      </w:pPr>
      <w:bookmarkStart w:id="36" w:name="conventional-bioassessment"/>
      <w:r>
        <w:t xml:space="preserve">Conventional bioassessment</w:t>
      </w:r>
      <w:bookmarkEnd w:id="36"/>
    </w:p>
    <w:p>
      <w:pPr>
        <w:pStyle w:val="FirstParagraph"/>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w:t>
      </w:r>
      <w:r>
        <w:t xml:space="preserve"> </w:t>
      </w:r>
      <w:r>
        <w:t xml:space="preserve">2</w:t>
      </w:r>
      <w:r>
        <w:t xml:space="preserve">a).</w:t>
      </w:r>
    </w:p>
    <w:p>
      <w:pPr>
        <w:pStyle w:val="BodyText"/>
      </w:pPr>
      <w:r>
        <w:t xml:space="preserve">A conventional process for a bioassessment study can also lead to inaccessible data with inadequate documentation. Many bioassessment products begin by synthesizing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pPr>
        <w:pStyle w:val="BodyText"/>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 Recent workflows have been proposed as</w:t>
      </w:r>
      <w:r>
        <w:t xml:space="preserve"> </w:t>
      </w:r>
      <w:r>
        <w:t xml:space="preserve">“</w:t>
      </w:r>
      <w:r>
        <w:t xml:space="preserve">cradle to dashboard</w:t>
      </w:r>
      <w:r>
        <w:t xml:space="preserve">”</w:t>
      </w:r>
      <w:r>
        <w:t xml:space="preserve"> </w:t>
      </w:r>
      <w:r>
        <w:t xml:space="preserve">to remediate these issues, where code development, data, and final products are intimately linked from conception to completion (e.g., for environmental flows,</w:t>
      </w:r>
      <w:r>
        <w:t xml:space="preserve"> </w:t>
      </w:r>
      <w:hyperlink r:id="rId37">
        <w:r>
          <w:rPr>
            <w:rStyle w:val="Hyperlink"/>
          </w:rPr>
          <w:t xml:space="preserve">https://eflows.ucdavis.edu/</w:t>
        </w:r>
      </w:hyperlink>
      <w:r>
        <w:t xml:space="preserve">). Similar approaches could be useful in bioassessment to remediate data accessibility and reproducibility issues.</w:t>
      </w:r>
    </w:p>
    <w:p>
      <w:pPr>
        <w:pStyle w:val="Heading2"/>
      </w:pPr>
      <w:bookmarkStart w:id="38" w:name="X84510c0d8d9680c4d8229cf543f3a1399416b73"/>
      <w:r>
        <w:t xml:space="preserve">Using open science tools to enhance bioassessment</w:t>
      </w:r>
      <w:bookmarkEnd w:id="38"/>
    </w:p>
    <w:p>
      <w:pPr>
        <w:pStyle w:val="FirstParagraph"/>
      </w:pPr>
      <w:r>
        <w:t xml:space="preserve">The above example is an extreme hypothetical description where bioassessment products fail to effect any positive change in environmental management due to a complete deficiency in openness, resulting in failed implementation.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application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9" w:name="developing-bioassessment-goals"/>
      <w:r>
        <w:t xml:space="preserve">Developing bioassessment goals</w:t>
      </w:r>
      <w:bookmarkEnd w:id="39"/>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40">
        <w:r>
          <w:rPr>
            <w:rStyle w:val="Hyperlink"/>
          </w:rPr>
          <w:t xml:space="preserve">Google documents</w:t>
        </w:r>
      </w:hyperlink>
      <w:r>
        <w:t xml:space="preserve">,</w:t>
      </w:r>
      <w:r>
        <w:t xml:space="preserve"> </w:t>
      </w:r>
      <w:hyperlink r:id="rId41">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42" w:name="curating-bioassessment-data"/>
      <w:r>
        <w:t xml:space="preserve">Curating bioassessment data</w:t>
      </w:r>
      <w:bookmarkEnd w:id="42"/>
    </w:p>
    <w:p>
      <w:pPr>
        <w:pStyle w:val="FirstParagraph"/>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BodyText"/>
      </w:pPr>
      <w:r>
        <w:t xml:space="preserve">Open bioassessment data created by a research team using an open science process clearly describes the history and purpose of a dataset to easily allow additional research and delivery of products to managers. This is particularly relevant given that a synthesized dataset can originate from multiple sources and the combined output may differ substantially from the raw data. Documenting provenance of a data product allows a research team and others to understand the purpose of a combined dataset, how it was created, and how it differs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w:t>
      </w:r>
      <w:r>
        <w:t xml:space="preserve"> </w:t>
      </w:r>
      <w:hyperlink r:id="rId43">
        <w:r>
          <w:rPr>
            <w:rStyle w:val="Hyperlink"/>
          </w:rPr>
          <w:t xml:space="preserve">Zenodo</w:t>
        </w:r>
      </w:hyperlink>
      <w:r>
        <w:t xml:space="preserve">) that provides a permanent address and is also citable to allow researchers to track usage of a bioassessment data product.</w:t>
      </w:r>
    </w:p>
    <w:p>
      <w:pPr>
        <w:pStyle w:val="Heading3"/>
      </w:pPr>
      <w:bookmarkStart w:id="44" w:name="using-r-for-bioassessment-application"/>
      <w:r>
        <w:t xml:space="preserve">Using R for bioassessment application</w:t>
      </w:r>
      <w:bookmarkEnd w:id="44"/>
    </w:p>
    <w:p>
      <w:pPr>
        <w:pStyle w:val="FirstParagraph"/>
      </w:pPr>
      <w:r>
        <w:t xml:space="preserve">The application of bioassessment products to the management and regulatory community is critical to ensure that research is applied by decision-makers for its intended purpose. Application should be fundamentally linked to open science analysis and development tools that can be used to deliver the products using a reproducible and accessible platform. In particular,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 for creating specific analysis workflows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is critical for reaching management and stakeholders by providing a tool that redirects the focus on the output and not the technical details that are less important for decision-making.</w:t>
      </w:r>
    </w:p>
    <w:p>
      <w:pPr>
        <w:pStyle w:val="BodyText"/>
      </w:pPr>
      <w:r>
        <w:t xml:space="preserve">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because a common format can be anticipated rather than having to develop specific workflows to accommodate raw data.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The structure of</w:t>
      </w:r>
      <w:r>
        <w:t xml:space="preserve"> </w:t>
      </w:r>
      <w:r>
        <w:rPr>
          <w:rStyle w:val="VerbatimChar"/>
        </w:rPr>
        <w:t xml:space="preserve">ggplot2</w:t>
      </w:r>
      <w:r>
        <w:t xml:space="preserve"> </w:t>
      </w:r>
      <w:r>
        <w:t xml:space="preserve">makes data visualization an integral part of the analysis workflow, rather than only at the end of an analysis where final graphics are produced.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 This facilitates participation if a research team has a shared analysis platform, while also minimizing loss of information or introducing analysis errors between environments.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et al.</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5">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and directly installing these packages.</w:t>
      </w:r>
    </w:p>
    <w:p>
      <w:pPr>
        <w:pStyle w:val="BodyText"/>
      </w:pPr>
      <w:r>
        <w:t xml:space="preserve">The advantages of creating and sharing R packages that are specific to bioassessment applications are important for several reasons. First, a well-designed R package provides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Peer-review mechanisms are available for user-contributed packages, such as through rOpenSci or through package-oriented journals (e.g., the R Journal, The Journal of Statistical Software). These review mechanisms are meant to ensure that the underlying code and algorithms are satisfactory for the stated needs that are addressed by the package. However, a majority of user-contributed packages (e.g., on GitHub) are not formally reviewed and users are encouraged to always assess the validity of a package before application. Cursory checks can be made by verifying author credentials or conferring among colleagues as to which packages are commonly used for particular analyses. However, software review is the gold standard and package developers are increasingly encouraged to allow external review of underlying code and theory prior to submitting a package to a public repository</w:t>
      </w:r>
      <w:r>
        <w:t xml:space="preserve"> </w:t>
      </w:r>
      <w:r>
        <w:t xml:space="preserve">(Borregaard and Hart</w:t>
      </w:r>
      <w:r>
        <w:t xml:space="preserve"> </w:t>
      </w:r>
      <w:hyperlink w:anchor="ref-Borregaard16">
        <w:r>
          <w:rPr>
            <w:rStyle w:val="Hyperlink"/>
          </w:rPr>
          <w:t xml:space="preserve">2016</w:t>
        </w:r>
      </w:hyperlink>
      <w:r>
        <w:t xml:space="preserve">)</w:t>
      </w:r>
      <w:r>
        <w:t xml:space="preserve">.</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6" w:name="open-science-in-practice"/>
      <w:r>
        <w:t xml:space="preserve">Open science in practice</w:t>
      </w:r>
      <w:bookmarkEnd w:id="46"/>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regulatory initiatives in California (USA)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7">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8">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9">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0">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The recent policies and initiatives are a recognition of the disconnect between the state of the science and the level of integration with policy and decision-making. Although these initiatives represent substantial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reference conditions,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w:t>
      </w:r>
      <w:r>
        <w:t xml:space="preserve"> </w:t>
      </w:r>
      <w:r>
        <w:t xml:space="preserve">(Paul et al.</w:t>
      </w:r>
      <w:r>
        <w:t xml:space="preserve"> </w:t>
      </w:r>
      <w:hyperlink w:anchor="ref-Paul08">
        <w:r>
          <w:rPr>
            <w:rStyle w:val="Hyperlink"/>
          </w:rPr>
          <w:t xml:space="preserve">2008</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one-size-fits-all requirement across the variety of landscapes and channel types in the state</w:t>
      </w:r>
      <w:r>
        <w:t xml:space="preserve"> </w:t>
      </w:r>
      <w:r>
        <w:t xml:space="preserve">(Lane et al.</w:t>
      </w:r>
      <w:r>
        <w:t xml:space="preserve"> </w:t>
      </w:r>
      <w:hyperlink w:anchor="ref-Lane18">
        <w:r>
          <w:rPr>
            <w:rStyle w:val="Hyperlink"/>
          </w:rPr>
          <w:t xml:space="preserve">2018</w:t>
        </w:r>
      </w:hyperlink>
      <w:r>
        <w:t xml:space="preserve">)</w:t>
      </w:r>
      <w:r>
        <w:t xml:space="preserve">.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the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ir">
        <w:r>
          <w:rPr>
            <w:rStyle w:val="Hyperlink"/>
          </w:rPr>
          <w:t xml:space="preserve">n.d.</w:t>
        </w:r>
      </w:hyperlink>
      <w:r>
        <w:t xml:space="preserve">)</w:t>
      </w:r>
      <w:r>
        <w:t xml:space="preserve"> </w:t>
      </w:r>
      <w:r>
        <w:t xml:space="preserve">was developed using an open science framework to help identify reasonable management goals for wadeable streams using existing bioassessment and watershed data. The SCAPE tool represents both a modelling approach to identify appropriate management goals and a set of open science products for science application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Watershed (Los Angeles, California). The San Gabriel watershed represents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landscape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Local stakeholder engagement to identify research goals guided the technical development process of SCAPE (Figure</w:t>
      </w:r>
      <w:r>
        <w:t xml:space="preserve"> </w:t>
      </w:r>
      <w:r>
        <w:t xml:space="preserve">4</w:t>
      </w:r>
      <w:r>
        <w:t xml:space="preserve">, box 1). Continued involvement of this group throughout the project ensured the final product addressed all research goals and management needs. 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w:t>
      </w:r>
      <w:r>
        <w:t xml:space="preserve"> </w:t>
      </w:r>
      <w:r>
        <w:rPr>
          <w:rStyle w:val="VerbatimChar"/>
        </w:rPr>
        <w:t xml:space="preserve">tidyverse</w:t>
      </w:r>
      <w:r>
        <w:t xml:space="preserve"> </w:t>
      </w:r>
      <w:r>
        <w:t xml:space="preserve">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w:t>
      </w:r>
      <w:r>
        <w:t xml:space="preserve"> </w:t>
      </w:r>
      <w:r>
        <w:rPr>
          <w:rStyle w:val="VerbatimChar"/>
        </w:rPr>
        <w:t xml:space="preserve">sf</w:t>
      </w:r>
      <w:r>
        <w:t xml:space="preserve"> </w:t>
      </w:r>
      <w:r>
        <w:t xml:space="preserve">package for spatial analysis</w:t>
      </w:r>
      <w:r>
        <w:t xml:space="preserve"> </w:t>
      </w:r>
      <w:r>
        <w:t xml:space="preserve">(Pebesma</w:t>
      </w:r>
      <w:r>
        <w:t xml:space="preserve"> </w:t>
      </w:r>
      <w:hyperlink w:anchor="ref-Pebesma18">
        <w:r>
          <w:rPr>
            <w:rStyle w:val="Hyperlink"/>
          </w:rPr>
          <w:t xml:space="preserve">2018</w:t>
        </w:r>
      </w:hyperlink>
      <w:r>
        <w:t xml:space="preserve">)</w:t>
      </w:r>
      <w:r>
        <w:t xml:space="preserve">, and</w:t>
      </w:r>
      <w:r>
        <w:t xml:space="preserve"> </w:t>
      </w:r>
      <w:r>
        <w:rPr>
          <w:rStyle w:val="VerbatimChar"/>
        </w:rPr>
        <w:t xml:space="preserve">randomForest</w:t>
      </w:r>
      <w:r>
        <w:t xml:space="preserve"> </w:t>
      </w:r>
      <w:r>
        <w:t xml:space="preserve">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 A version control system (Git) and online hosting (GitHub) also allowed full transparency of decisions that were made to create the tool. A permanent DOI was assigned through Zenodo to track downloads and portability of source code (Figure</w:t>
      </w:r>
      <w:r>
        <w:t xml:space="preserve"> </w:t>
      </w:r>
      <w:r>
        <w:t xml:space="preserve">4</w:t>
      </w:r>
      <w:r>
        <w:t xml:space="preserve">, box 3).</w:t>
      </w:r>
    </w:p>
    <w:p>
      <w:pPr>
        <w:pStyle w:val="BodyText"/>
      </w:pPr>
      <w:r>
        <w:t xml:space="preserve">A critical component of the SCAPE tool was the use of an online, interactive web page (</w:t>
      </w:r>
      <w:hyperlink r:id="rId51">
        <w:r>
          <w:rPr>
            <w:rStyle w:val="Hyperlink"/>
          </w:rPr>
          <w:t xml:space="preserve">https://sccwrp.shinyapps.io/SCAPE</w:t>
        </w:r>
      </w:hyperlink>
      <w:r>
        <w:t xml:space="preserve">) that was developed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w:t>
      </w:r>
      <w:r>
        <w:t xml:space="preserve"> </w:t>
      </w:r>
      <w:r>
        <w:rPr>
          <w:rStyle w:val="VerbatimChar"/>
        </w:rPr>
        <w:t xml:space="preserve">shiny</w:t>
      </w:r>
      <w:r>
        <w:t xml:space="preserve">, Chang et al.</w:t>
      </w:r>
      <w:r>
        <w:t xml:space="preserve"> </w:t>
      </w:r>
      <w:hyperlink w:anchor="ref-Chang18">
        <w:r>
          <w:rPr>
            <w:rStyle w:val="Hyperlink"/>
          </w:rPr>
          <w:t xml:space="preserve">2018</w:t>
        </w:r>
      </w:hyperlink>
      <w:r>
        <w:t xml:space="preserve">, Figure</w:t>
      </w:r>
      <w:r>
        <w:t xml:space="preserve"> </w:t>
      </w:r>
      <w:r>
        <w:t xml:space="preserve">4</w:t>
      </w:r>
      <w:r>
        <w:t xml:space="preserve">, box 4))</w:t>
      </w:r>
      <w:r>
        <w:t xml:space="preserve">. This online application provided two fundamental services that greatly increased the impact and relevance of the bioassessment product for the management community. First, the application improved stakeholder understanding of the technical model components through direct interaction with key decision points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the needs of the management community. The online tool did not limit managers to a single answer, rather it provided the tools to determine the most appropriate answer for different situations by giving managers the ability to directly interact with the model.</w:t>
      </w:r>
    </w:p>
    <w:p>
      <w:pPr>
        <w:pStyle w:val="BodyText"/>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streamlined collaboration and tracking of revisions (Figure</w:t>
      </w:r>
      <w:r>
        <w:t xml:space="preserve"> </w:t>
      </w:r>
      <w:r>
        <w:t xml:space="preserve">4</w:t>
      </w:r>
      <w:r>
        <w:t xml:space="preserve">, box 5).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 </w:t>
      </w:r>
      <w:r>
        <w:t xml:space="preserve">(Figure</w:t>
      </w:r>
      <w:r>
        <w:t xml:space="preserve"> </w:t>
      </w:r>
      <w:r>
        <w:t xml:space="preserve">4</w:t>
      </w:r>
      <w:r>
        <w:t xml:space="preserve">, box 6). This ensured that the final data could be discovered by others through keyword searches and also provided a platform to track broader interest in the data products through download statistics.</w:t>
      </w:r>
    </w:p>
    <w:p>
      <w:pPr>
        <w:pStyle w:val="BodyText"/>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pPr>
        <w:pStyle w:val="Heading1"/>
      </w:pPr>
      <w:bookmarkStart w:id="52" w:name="limitations-and-opportunities"/>
      <w:r>
        <w:t xml:space="preserve">Limitations and opportunities</w:t>
      </w:r>
      <w:bookmarkEnd w:id="52"/>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53">
        <w:r>
          <w:rPr>
            <w:rStyle w:val="Hyperlink"/>
          </w:rPr>
          <w:t xml:space="preserve">The Carpentries</w:t>
        </w:r>
      </w:hyperlink>
      <w:r>
        <w:t xml:space="preserve">,</w:t>
      </w:r>
      <w:r>
        <w:t xml:space="preserve"> </w:t>
      </w:r>
      <w:hyperlink r:id="rId54">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welcomes criticism and feedback as a natural part of development that will facilitate adoption by ensuring the product meets the needs of all parties. Ultimately, these products are developed to improve the environment as a public resource.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5" w:name="conclusions"/>
      <w:r>
        <w:t xml:space="preserve">Conclusions</w:t>
      </w:r>
      <w:bookmarkEnd w:id="55"/>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56" w:name="author-contributions"/>
      <w:r>
        <w:t xml:space="preserve">Author contributions</w:t>
      </w:r>
      <w:bookmarkEnd w:id="56"/>
    </w:p>
    <w:p>
      <w:pPr>
        <w:pStyle w:val="FirstParagraph"/>
      </w:pPr>
      <w:r>
        <w:t xml:space="preserve">MB and RM performed the research in the case study. All authors contributed to the conceptual development and writing of the manuscript.</w:t>
      </w:r>
    </w:p>
    <w:p>
      <w:pPr>
        <w:pStyle w:val="Heading1"/>
      </w:pPr>
      <w:bookmarkStart w:id="57" w:name="acknowledgments"/>
      <w:r>
        <w:t xml:space="preserve">Acknowledgments</w:t>
      </w:r>
      <w:bookmarkEnd w:id="57"/>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58" w:name="figures"/>
      <w:r>
        <w:t xml:space="preserve">Figures</w:t>
      </w:r>
      <w:bookmarkEnd w:id="58"/>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59"/>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60"/>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1"/>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62"/>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w:t>
      </w:r>
    </w:p>
    <w:p>
      <w:pPr>
        <w:pStyle w:val="Heading1"/>
      </w:pPr>
      <w:bookmarkStart w:id="63" w:name="tables"/>
      <w:r>
        <w:t xml:space="preserve">Tables</w:t>
      </w:r>
      <w:bookmarkEnd w:id="63"/>
    </w:p>
    <w:p>
      <w:pPr>
        <w:pStyle w:val="TableCaption"/>
      </w:pPr>
      <w:r>
        <w:t xml:space="preserve">Table 1: Core definitions and principles of open science, from Open Knowledge International,</w:t>
      </w:r>
      <w:r>
        <w:t xml:space="preserve"> </w:t>
      </w:r>
      <w:hyperlink r:id="rId64">
        <w:r>
          <w:rPr>
            <w:rStyle w:val="Hyperlink"/>
          </w:rPr>
          <w:t xml:space="preserve">http://opendefinition.org/</w:t>
        </w:r>
      </w:hyperlink>
      <w:r>
        <w:t xml:space="preserve">, Creative Commons,</w:t>
      </w:r>
      <w:r>
        <w:t xml:space="preserve"> </w:t>
      </w:r>
      <w:hyperlink r:id="rId65">
        <w:r>
          <w:rPr>
            <w:rStyle w:val="Hyperlink"/>
          </w:rPr>
          <w:t xml:space="preserve">https://creativecommons.org/about/program-areas/open-science/</w:t>
        </w:r>
      </w:hyperlink>
      <w:r>
        <w:t xml:space="preserve">, and J. Gezelter,</w:t>
      </w:r>
      <w:r>
        <w:t xml:space="preserve"> </w:t>
      </w:r>
      <w:hyperlink r:id="rId66">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7" w:name="references"/>
      <w:r>
        <w:t xml:space="preserve">References</w:t>
      </w:r>
      <w:bookmarkEnd w:id="67"/>
    </w:p>
    <w:bookmarkStart w:id="157" w:name="refs"/>
    <w:bookmarkStart w:id="68" w:name="ref-Allaire18"/>
    <w:p>
      <w:pPr>
        <w:pStyle w:val="Bibliography"/>
      </w:pPr>
      <w:r>
        <w:rPr>
          <w:smallCaps/>
        </w:rPr>
        <w:t xml:space="preserve">Allaire, J., Y. Xie, J. McPherson, J. Luraschi, K. Ushey, A. Atkins, H. Wickham, J. Cheng, and W. Chang</w:t>
      </w:r>
      <w:r>
        <w:t xml:space="preserve">. 2018. Rmarkdown: Dynamic documents for r.</w:t>
      </w:r>
    </w:p>
    <w:bookmarkEnd w:id="68"/>
    <w:bookmarkStart w:id="69" w:name="ref-Appelhans18"/>
    <w:p>
      <w:pPr>
        <w:pStyle w:val="Bibliography"/>
      </w:pPr>
      <w:r>
        <w:rPr>
          <w:smallCaps/>
        </w:rPr>
        <w:t xml:space="preserve">Appelhans, T., F. Detsch, C. Reudenbach, and S. Woellauer</w:t>
      </w:r>
      <w:r>
        <w:t xml:space="preserve">. 2018. Mapview: Interactive viewing of spatial data in r.</w:t>
      </w:r>
    </w:p>
    <w:bookmarkEnd w:id="69"/>
    <w:bookmarkStart w:id="70" w:name="ref-Bain00"/>
    <w:p>
      <w:pPr>
        <w:pStyle w:val="Bibliography"/>
      </w:pPr>
      <w:r>
        <w:rPr>
          <w:smallCaps/>
        </w:rPr>
        <w:t xml:space="preserve">Bain, M. B., A. L. Harig, D. P. Loucks, R. R. Goforth, and K. E. Mills</w:t>
      </w:r>
      <w:r>
        <w:t xml:space="preserve">. 2000. Aquatic ecosystem protection and restoration: Advances in methods for assessment and evaluation. Environmental Science and Policy 3:89–98.</w:t>
      </w:r>
    </w:p>
    <w:bookmarkEnd w:id="70"/>
    <w:bookmarkStart w:id="71" w:name="ref-Baird12"/>
    <w:p>
      <w:pPr>
        <w:pStyle w:val="Bibliography"/>
      </w:pPr>
      <w:r>
        <w:rPr>
          <w:smallCaps/>
        </w:rPr>
        <w:t xml:space="preserve">Baird, D. J., and M. Hajibabaei</w:t>
      </w:r>
      <w:r>
        <w:t xml:space="preserve">. 2012. Biomonitoring 2.0: A new paradigm in ecosystem assessment made possible by next-generation dna sequencing. Molecular Ecology 21:2039–2044.</w:t>
      </w:r>
    </w:p>
    <w:bookmarkEnd w:id="71"/>
    <w:bookmarkStart w:id="72" w:name="ref-Baker15"/>
    <w:p>
      <w:pPr>
        <w:pStyle w:val="Bibliography"/>
      </w:pPr>
      <w:r>
        <w:rPr>
          <w:smallCaps/>
        </w:rPr>
        <w:t xml:space="preserve">Baker, M. E., R. S. King, and D. Kahle</w:t>
      </w:r>
      <w:r>
        <w:t xml:space="preserve">. 2015. TITAN2: Threshold indicator taxa analysis.</w:t>
      </w:r>
    </w:p>
    <w:bookmarkEnd w:id="72"/>
    <w:bookmarkStart w:id="74" w:name="ref-Beck18c"/>
    <w:p>
      <w:pPr>
        <w:pStyle w:val="Bibliography"/>
      </w:pPr>
      <w:r>
        <w:rPr>
          <w:smallCaps/>
        </w:rPr>
        <w:t xml:space="preserve">Beck, M. W.</w:t>
      </w:r>
      <w:r>
        <w:t xml:space="preserve"> </w:t>
      </w:r>
      <w:r>
        <w:t xml:space="preserve">2018a. SCCWRP/SCAPE: v1.0 (Version 1.0). Zenodo,</w:t>
      </w:r>
      <w:r>
        <w:t xml:space="preserve"> </w:t>
      </w:r>
      <w:hyperlink r:id="rId73">
        <w:r>
          <w:rPr>
            <w:rStyle w:val="Hyperlink"/>
          </w:rPr>
          <w:t xml:space="preserve">http://doi.org/10.5281/zenodo.1218121</w:t>
        </w:r>
      </w:hyperlink>
      <w:r>
        <w:t xml:space="preserve">.</w:t>
      </w:r>
    </w:p>
    <w:bookmarkEnd w:id="74"/>
    <w:bookmarkStart w:id="75" w:name="ref-Beck18d"/>
    <w:p>
      <w:pPr>
        <w:pStyle w:val="Bibliography"/>
      </w:pPr>
      <w:r>
        <w:rPr>
          <w:smallCaps/>
        </w:rPr>
        <w:t xml:space="preserve">Beck, M. W.</w:t>
      </w:r>
      <w:r>
        <w:t xml:space="preserve"> </w:t>
      </w:r>
      <w:r>
        <w:t xml:space="preserve">2018b. Constrained streams for biological integrity in California. Knowledge Network for Biocomplexity. urn:uuid:75411f50-32ed-42a5-bbfd-26833c7a441f.</w:t>
      </w:r>
    </w:p>
    <w:bookmarkEnd w:id="75"/>
    <w:bookmarkStart w:id="76" w:name="ref-Beck09"/>
    <w:p>
      <w:pPr>
        <w:pStyle w:val="Bibliography"/>
      </w:pPr>
      <w:r>
        <w:rPr>
          <w:smallCaps/>
        </w:rPr>
        <w:t xml:space="preserve">Beck, M. W., and L. K. Hatch</w:t>
      </w:r>
      <w:r>
        <w:t xml:space="preserve">. 2009. A review of research on the development of lake indices of biotic integrity. Environmental Reviews 17:21–44.</w:t>
      </w:r>
    </w:p>
    <w:bookmarkEnd w:id="76"/>
    <w:bookmarkStart w:id="77" w:name="ref-Beckir"/>
    <w:p>
      <w:pPr>
        <w:pStyle w:val="Bibliography"/>
      </w:pPr>
      <w:r>
        <w:rPr>
          <w:smallCaps/>
        </w:rPr>
        <w:t xml:space="preserve">Beck, M. W., R. D. Mazor, S. Johnson, K. Wisenbaker, J. Westfall, P. R. Ode, R. Hill, C. Loflen, M. Sutula, and E. D. Stein</w:t>
      </w:r>
      <w:r>
        <w:t xml:space="preserve">. (n.d.). Prioritizing management goals for stream biological integrity within the developed landscape context. Freshwater Science.</w:t>
      </w:r>
    </w:p>
    <w:bookmarkEnd w:id="77"/>
    <w:bookmarkStart w:id="78" w:name="ref-Beck13"/>
    <w:p>
      <w:pPr>
        <w:pStyle w:val="Bibliography"/>
      </w:pPr>
      <w:r>
        <w:rPr>
          <w:smallCaps/>
        </w:rPr>
        <w:t xml:space="preserve">Beck, M. W., B. Vondracek, and L. K. Hatch</w:t>
      </w:r>
      <w:r>
        <w:t xml:space="preserve">. 2013. Environmental clustering of lakes to evaluate performance of a macrophyte index of biotic integrity. Aquatic Botany 108:16–25.</w:t>
      </w:r>
    </w:p>
    <w:bookmarkEnd w:id="78"/>
    <w:bookmarkStart w:id="79" w:name="ref-Birk12"/>
    <w:p>
      <w:pPr>
        <w:pStyle w:val="Bibliography"/>
      </w:pPr>
      <w:r>
        <w:rPr>
          <w:smallCaps/>
        </w:rPr>
        <w:t xml:space="preserve">Birk, S., W. Bonne, A. Borja, S. Brucet, A. Courrat, S. Poikane, A. Solimini, W. van de Bund, N. Zampoukas, and D. Hering</w:t>
      </w:r>
      <w:r>
        <w:t xml:space="preserve">. 2012. Three hundred ways to assess Europe’s surface waters: An almost complete overview of biological methods to implement the Water Framework Directive. Ecological Indicators 18:31–41.</w:t>
      </w:r>
    </w:p>
    <w:bookmarkEnd w:id="79"/>
    <w:bookmarkStart w:id="80" w:name="ref-BondLamberty16"/>
    <w:p>
      <w:pPr>
        <w:pStyle w:val="Bibliography"/>
      </w:pPr>
      <w:r>
        <w:rPr>
          <w:smallCaps/>
        </w:rPr>
        <w:t xml:space="preserve">Bond-Lamberty, B., A. P. Smith, and V. Bailey</w:t>
      </w:r>
      <w:r>
        <w:t xml:space="preserve">. 2016. Running an open experiment: Transparency and reproducibility in soil and ecosystem science. Environmental Research Letters 11:1–7.</w:t>
      </w:r>
    </w:p>
    <w:bookmarkEnd w:id="80"/>
    <w:bookmarkStart w:id="81" w:name="ref-Borja09"/>
    <w:p>
      <w:pPr>
        <w:pStyle w:val="Bibliography"/>
      </w:pPr>
      <w:r>
        <w:rPr>
          <w:smallCaps/>
        </w:rPr>
        <w:t xml:space="preserve">Borja, A., A. Ranasinghe, and S. B. Weisberg</w:t>
      </w:r>
      <w:r>
        <w:t xml:space="preserve">. 2009. Assessing ecological integrity in marine waters, using multiple indices and ecosystem components: Challenges for the future. Marine Pollution Bulletin 59:1–4.</w:t>
      </w:r>
    </w:p>
    <w:bookmarkEnd w:id="81"/>
    <w:bookmarkStart w:id="82" w:name="ref-Borregaard16"/>
    <w:p>
      <w:pPr>
        <w:pStyle w:val="Bibliography"/>
      </w:pPr>
      <w:r>
        <w:rPr>
          <w:smallCaps/>
        </w:rPr>
        <w:t xml:space="preserve">Borregaard, M. K., and E. M. Hart</w:t>
      </w:r>
      <w:r>
        <w:t xml:space="preserve">. 2016. Towards a more reproducible ecology. Ecography 39:349–353.</w:t>
      </w:r>
    </w:p>
    <w:bookmarkEnd w:id="82"/>
    <w:bookmarkStart w:id="83" w:name="ref-Bried14"/>
    <w:p>
      <w:pPr>
        <w:pStyle w:val="Bibliography"/>
      </w:pPr>
      <w:r>
        <w:rPr>
          <w:smallCaps/>
        </w:rPr>
        <w:t xml:space="preserve">Bried, J. T., S. K. Jog, A. R. Dzialowski, and C. A. Davis</w:t>
      </w:r>
      <w:r>
        <w:t xml:space="preserve">. 2014. Potential vegetation criteria for identifying reference-quality wetlands in the south-central United States. Wetlands 34:1159–1169.</w:t>
      </w:r>
    </w:p>
    <w:bookmarkEnd w:id="83"/>
    <w:bookmarkStart w:id="84" w:name="ref-Cao11"/>
    <w:p>
      <w:pPr>
        <w:pStyle w:val="Bibliography"/>
      </w:pPr>
      <w:r>
        <w:rPr>
          <w:smallCaps/>
        </w:rPr>
        <w:t xml:space="preserve">Cao, Y., and C. Hawkins</w:t>
      </w:r>
      <w:r>
        <w:t xml:space="preserve">. 2011. The comparability of bioassessments: A review of conceptual and methodological issues. Journal of the North American Benthological Society 30:680–701.</w:t>
      </w:r>
    </w:p>
    <w:bookmarkEnd w:id="84"/>
    <w:bookmarkStart w:id="85" w:name="ref-Chang18"/>
    <w:p>
      <w:pPr>
        <w:pStyle w:val="Bibliography"/>
      </w:pPr>
      <w:r>
        <w:rPr>
          <w:smallCaps/>
        </w:rPr>
        <w:t xml:space="preserve">Chang, W., J. Cheng, J. Allaire, Y. Xie, and J. McPherson</w:t>
      </w:r>
      <w:r>
        <w:t xml:space="preserve">. 2018. Shiny: Web application framework for r.</w:t>
      </w:r>
    </w:p>
    <w:bookmarkEnd w:id="85"/>
    <w:bookmarkStart w:id="86" w:name="ref-Cheng18"/>
    <w:p>
      <w:pPr>
        <w:pStyle w:val="Bibliography"/>
      </w:pPr>
      <w:r>
        <w:rPr>
          <w:smallCaps/>
        </w:rPr>
        <w:t xml:space="preserve">Cheng, J., B. Karambelkar, and Y. Xie</w:t>
      </w:r>
      <w:r>
        <w:t xml:space="preserve">. 2018. Leaflet: Create interactive web maps with the javascript ’leaflet’ library.</w:t>
      </w:r>
    </w:p>
    <w:bookmarkEnd w:id="86"/>
    <w:bookmarkStart w:id="87" w:name="ref-Collins16"/>
    <w:p>
      <w:pPr>
        <w:pStyle w:val="Bibliography"/>
      </w:pPr>
      <w:r>
        <w:rPr>
          <w:smallCaps/>
        </w:rPr>
        <w:t xml:space="preserve">Collins, S. L.</w:t>
      </w:r>
      <w:r>
        <w:t xml:space="preserve"> </w:t>
      </w:r>
      <w:r>
        <w:t xml:space="preserve">2016. Vegetation science in the age of big data. Journal of Vegetation Science 27:865–867.</w:t>
      </w:r>
    </w:p>
    <w:bookmarkEnd w:id="87"/>
    <w:bookmarkStart w:id="88" w:name="ref-Dale01"/>
    <w:p>
      <w:pPr>
        <w:pStyle w:val="Bibliography"/>
      </w:pPr>
      <w:r>
        <w:rPr>
          <w:smallCaps/>
        </w:rPr>
        <w:t xml:space="preserve">Dale, V. H., and S. C. Beyeler</w:t>
      </w:r>
      <w:r>
        <w:t xml:space="preserve">. 2001. Challenges in the development and use of ecological indicators. Ecological Indicators 1:3–10.</w:t>
      </w:r>
    </w:p>
    <w:bookmarkEnd w:id="88"/>
    <w:bookmarkStart w:id="89" w:name="ref-Darling13"/>
    <w:p>
      <w:pPr>
        <w:pStyle w:val="Bibliography"/>
      </w:pPr>
      <w:r>
        <w:rPr>
          <w:smallCaps/>
        </w:rPr>
        <w:t xml:space="preserve">Darling, E. S., D. Shiffman, I. M. Côte, and J. A. Drew</w:t>
      </w:r>
      <w:r>
        <w:t xml:space="preserve">. 2013. The role of Twiter in the life cycle of a scientific publication. Ideas in Ecology and Evolution 6:32–43.</w:t>
      </w:r>
    </w:p>
    <w:bookmarkEnd w:id="89"/>
    <w:bookmarkStart w:id="90" w:name="ref-DeCaceres09"/>
    <w:p>
      <w:pPr>
        <w:pStyle w:val="Bibliography"/>
      </w:pPr>
      <w:r>
        <w:rPr>
          <w:smallCaps/>
        </w:rPr>
        <w:t xml:space="preserve">De Caceres, M., and P. Legendre</w:t>
      </w:r>
      <w:r>
        <w:t xml:space="preserve">. 2009. Associations between species and groups of sites: Indices and statistical inference. Ecology.</w:t>
      </w:r>
    </w:p>
    <w:bookmarkEnd w:id="90"/>
    <w:bookmarkStart w:id="91" w:name="ref-Fetscher13"/>
    <w:p>
      <w:pPr>
        <w:pStyle w:val="Bibliography"/>
      </w:pPr>
      <w:r>
        <w:rPr>
          <w:smallCaps/>
        </w:rPr>
        <w:t xml:space="preserve">Fetscher, A. E., R. Stancheva, J. P. Kociolek, R. G. Sheath, E. D. Stein, R. D. Mazor, P. R. Ode, and L. B. Busse</w:t>
      </w:r>
      <w:r>
        <w:t xml:space="preserve">. 2013. Development and comparison of stream indices of biotic integrity using diatoms vs. Non-diatom algae vs. A combination. Journal of Applied Phycology 26:433–450.</w:t>
      </w:r>
    </w:p>
    <w:bookmarkEnd w:id="91"/>
    <w:bookmarkStart w:id="92" w:name="ref-Fore02"/>
    <w:p>
      <w:pPr>
        <w:pStyle w:val="Bibliography"/>
      </w:pPr>
      <w:r>
        <w:rPr>
          <w:smallCaps/>
        </w:rPr>
        <w:t xml:space="preserve">Fore, L. S., and C. Grafe</w:t>
      </w:r>
      <w:r>
        <w:t xml:space="preserve">. 2002. Using diatoms to assess the biological condition of large rivers in Idaho (U.S.A.). Freshwater Biology 47:2015–2037.</w:t>
      </w:r>
    </w:p>
    <w:bookmarkEnd w:id="92"/>
    <w:bookmarkStart w:id="93" w:name="ref-Grand12"/>
    <w:p>
      <w:pPr>
        <w:pStyle w:val="Bibliography"/>
      </w:pPr>
      <w:r>
        <w:rPr>
          <w:smallCaps/>
        </w:rPr>
        <w:t xml:space="preserve">Grand, A., C. Wilkinson, K. Bultitude, and A. F. T. Winfield</w:t>
      </w:r>
      <w:r>
        <w:t xml:space="preserve">. 2012. Open science: A new "trust technology"? Science Communication 34:679–689.</w:t>
      </w:r>
    </w:p>
    <w:bookmarkEnd w:id="93"/>
    <w:bookmarkStart w:id="94" w:name="ref-Hampton15"/>
    <w:p>
      <w:pPr>
        <w:pStyle w:val="Bibliography"/>
      </w:pPr>
      <w:r>
        <w:rPr>
          <w:smallCaps/>
        </w:rPr>
        <w:t xml:space="preserve">Hampton, S. E., S. S. Anderson, S. C. Bagby, C. Gries, X. Han, E. M. Hart, M. B. Jones, W. C. Lenhardt, A. MacDonald, W. K. Michener, J. Mudge, A. Pourmokhtarian, M. P. Schildhauer, K. H. Woo, and N. Zimmerman</w:t>
      </w:r>
      <w:r>
        <w:t xml:space="preserve">. 2015. The tao of open science for ecology. Ecosphere 6:1–13.</w:t>
      </w:r>
    </w:p>
    <w:bookmarkEnd w:id="94"/>
    <w:bookmarkStart w:id="95" w:name="ref-Hampton17"/>
    <w:p>
      <w:pPr>
        <w:pStyle w:val="Bibliography"/>
      </w:pPr>
      <w:r>
        <w:rPr>
          <w:smallCaps/>
        </w:rPr>
        <w:t xml:space="preserve">Hampton, S. E., M. B. Jones, L. A. Wasser, M. P. Schildhauer, S. R. Supp, J. Brun, R. R. Hernandez, C. Boettiger, S. L. Collins, L. J. Gross, D. S. Fernández, A. Budden, E. P. White, T. K. Teal, S. G. Labou, and J. E. Aukema</w:t>
      </w:r>
      <w:r>
        <w:t xml:space="preserve">. 2017. Skills and knowledge for data-intensive environmental research. Bioscience 67:546–557.</w:t>
      </w:r>
    </w:p>
    <w:bookmarkEnd w:id="95"/>
    <w:bookmarkStart w:id="96" w:name="ref-Hampton16"/>
    <w:p>
      <w:pPr>
        <w:pStyle w:val="Bibliography"/>
      </w:pPr>
      <w:r>
        <w:rPr>
          <w:smallCaps/>
        </w:rPr>
        <w:t xml:space="preserve">Hampton, S. E., C. A. Strasser, J. J. Tewksbury, W. K. Gram, A. E. Budden, A. L. Batcheller, C. S. Duke, and J. H. Porter</w:t>
      </w:r>
      <w:r>
        <w:t xml:space="preserve">. 2016. Big data and the future of ecology. Frontiers in Ecology and the Environment 11:156–162.</w:t>
      </w:r>
    </w:p>
    <w:bookmarkEnd w:id="96"/>
    <w:bookmarkStart w:id="97" w:name="ref-Hering10"/>
    <w:p>
      <w:pPr>
        <w:pStyle w:val="Bibliography"/>
      </w:pPr>
      <w:r>
        <w:rPr>
          <w:smallCaps/>
        </w:rPr>
        <w:t xml:space="preserve">Hering, D., A. Borja, J. Carstensen, L. Carvalho, M. Elliott, C. K. Field, A. S. Heiskanen, R. K. Johnson, J. Moe, D. Pont, A. L. Solheim, and W. de Bund</w:t>
      </w:r>
      <w:r>
        <w:t xml:space="preserve">. 2010. The European Water Framework Directive at the age of 10: A critical review of the achievements with recommendations for the future. Science of the Total Environment 408:4007–4019.</w:t>
      </w:r>
    </w:p>
    <w:bookmarkEnd w:id="97"/>
    <w:bookmarkStart w:id="98" w:name="ref-Hijmans19"/>
    <w:p>
      <w:pPr>
        <w:pStyle w:val="Bibliography"/>
      </w:pPr>
      <w:r>
        <w:rPr>
          <w:smallCaps/>
        </w:rPr>
        <w:t xml:space="preserve">Hijmans, R. J.</w:t>
      </w:r>
      <w:r>
        <w:t xml:space="preserve"> </w:t>
      </w:r>
      <w:r>
        <w:t xml:space="preserve">2019. Raster: Geographic data analysis and modeling.</w:t>
      </w:r>
    </w:p>
    <w:bookmarkEnd w:id="98"/>
    <w:bookmarkStart w:id="99" w:name="ref-Horsburgh16"/>
    <w:p>
      <w:pPr>
        <w:pStyle w:val="Bibliography"/>
      </w:pPr>
      <w:r>
        <w:rPr>
          <w:smallCaps/>
        </w:rPr>
        <w:t xml:space="preserve">Horsburgh, J. S., M. M. Morsy, A. M. Castronova, J. L. Goodall, T. Gan, H. Yi, M. J. Stealey, and D. G. Tarboton</w:t>
      </w:r>
      <w:r>
        <w:t xml:space="preserve">. 2016. Hydroshare: Sharing diverse environmental data types and models as social objects with application to the hydrology domain. Journal of the American Water Resources Association 52:873–889.</w:t>
      </w:r>
    </w:p>
    <w:bookmarkEnd w:id="99"/>
    <w:bookmarkStart w:id="100" w:name="ref-Howard18"/>
    <w:p>
      <w:pPr>
        <w:pStyle w:val="Bibliography"/>
      </w:pPr>
      <w:r>
        <w:rPr>
          <w:smallCaps/>
        </w:rPr>
        <w:t xml:space="preserve">Howard, J. K., K. A. Fesenmyer, T. E. Grantham, J. H. Viers, P. R. Ode, P. B. Moyle, S. J. Kupferburg, J. L. Furnish, A. Rehn, J. Slusark, R. D. Mazor, N. R. Santos, R. A. Peek, and A. N. Wright</w:t>
      </w:r>
      <w:r>
        <w:t xml:space="preserve">. 2018. A freshwater conservation blueprint for California: Prioritizing watersheds for freshwater biodiversity. Freshwater Science 37:417–431.</w:t>
      </w:r>
    </w:p>
    <w:bookmarkEnd w:id="100"/>
    <w:bookmarkStart w:id="101" w:name="ref-Hsu17"/>
    <w:p>
      <w:pPr>
        <w:pStyle w:val="Bibliography"/>
      </w:pPr>
      <w:r>
        <w:rPr>
          <w:smallCaps/>
        </w:rPr>
        <w:t xml:space="preserve">Hsu, L., E. Mayorga, J. S. Horsburgh, M. R. Carter, K. A. Lehnert, and s. L. Brantley</w:t>
      </w:r>
      <w:r>
        <w:t xml:space="preserve">. 2017. Enhancing interoperability and capabilities of earth science data using the Observations Data Model 2 (ODM2). Data Science Journal 16:1–16.</w:t>
      </w:r>
    </w:p>
    <w:bookmarkEnd w:id="101"/>
    <w:bookmarkStart w:id="102" w:name="ref-Idaszak17"/>
    <w:p>
      <w:pPr>
        <w:pStyle w:val="Bibliography"/>
      </w:pPr>
      <w:r>
        <w:rPr>
          <w:smallCaps/>
        </w:rPr>
        <w:t xml:space="preserve">Idaszak, R., D. G. Tarboton, H. Yi, L. Chistopherson, M. J. Stealey, B. Miles, P. Dash, A. Couch, C. Spealman, D. P. Ames, and J. S. Horsburgh</w:t>
      </w:r>
      <w:r>
        <w:t xml:space="preserve">.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2"/>
    <w:bookmarkStart w:id="103" w:name="ref-Ihle17"/>
    <w:p>
      <w:pPr>
        <w:pStyle w:val="Bibliography"/>
      </w:pPr>
      <w:r>
        <w:rPr>
          <w:smallCaps/>
        </w:rPr>
        <w:t xml:space="preserve">Ihle, M., I. S. Winney, A. Krystalli, and M. Croucher</w:t>
      </w:r>
      <w:r>
        <w:t xml:space="preserve">. 2017. Striving for transparent and credible research: Practical guidelines for behavioral ecologists. Behavioral Ecology 28:348–354.</w:t>
      </w:r>
    </w:p>
    <w:bookmarkEnd w:id="103"/>
    <w:bookmarkStart w:id="104" w:name="ref-Jackson94"/>
    <w:p>
      <w:pPr>
        <w:pStyle w:val="Bibliography"/>
      </w:pPr>
      <w:r>
        <w:rPr>
          <w:smallCaps/>
        </w:rPr>
        <w:t xml:space="preserve">Jackson, S., and W. Davis</w:t>
      </w:r>
      <w:r>
        <w:t xml:space="preserve">. 1994. Meeting the goal of biological integrity in water-resource programs in the US Environmental Protection Agency. Journal of the North American Benthological Society 13:592–597.</w:t>
      </w:r>
    </w:p>
    <w:bookmarkEnd w:id="104"/>
    <w:bookmarkStart w:id="105" w:name="ref-Karr86"/>
    <w:p>
      <w:pPr>
        <w:pStyle w:val="Bibliography"/>
      </w:pPr>
      <w:r>
        <w:rPr>
          <w:smallCaps/>
        </w:rPr>
        <w:t xml:space="preserve">Karr, J. R., K. D. Fausch, P. L. Angermeier, P. R. Yant, and I. J. Schlosser</w:t>
      </w:r>
      <w:r>
        <w:t xml:space="preserve">. 1986. Assessing biological integrity in running waters: A method and its rationale. Illinois Natural History Survey, Champaign, Illinois.</w:t>
      </w:r>
    </w:p>
    <w:bookmarkEnd w:id="105"/>
    <w:bookmarkStart w:id="106" w:name="ref-Kelly16"/>
    <w:p>
      <w:pPr>
        <w:pStyle w:val="Bibliography"/>
      </w:pPr>
      <w:r>
        <w:rPr>
          <w:smallCaps/>
        </w:rPr>
        <w:t xml:space="preserve">Kelly, M. G., S. Birk, N. J. Willby, L. Denys, S.Drakare, M. Kahlert, S. M. Karjalainen, A. Marchetto, J. A. Pitt, G. Urbanič, and S. Poikane</w:t>
      </w:r>
      <w:r>
        <w:t xml:space="preserve">. 2016. Redundancy in the ecological assessment of lakes: Are phytoplankton, macrophytes and phytobenthos all necessary? Science of the Total Environment 15:594–602.</w:t>
      </w:r>
    </w:p>
    <w:bookmarkEnd w:id="106"/>
    <w:bookmarkStart w:id="107" w:name="ref-Kenney12"/>
    <w:p>
      <w:pPr>
        <w:pStyle w:val="Bibliography"/>
      </w:pPr>
      <w:r>
        <w:rPr>
          <w:smallCaps/>
        </w:rPr>
        <w:t xml:space="preserve">Kenney, M. A., P. R. Wilcock, B. F. Hobbs, N. E. Flores, and D. C. Martínez</w:t>
      </w:r>
      <w:r>
        <w:t xml:space="preserve">. 2012. Is urban stream restoration worth it? Journal of the American Water Resources Association 48:603–615.</w:t>
      </w:r>
    </w:p>
    <w:bookmarkEnd w:id="107"/>
    <w:bookmarkStart w:id="108" w:name="ref-Kerans94"/>
    <w:p>
      <w:pPr>
        <w:pStyle w:val="Bibliography"/>
      </w:pPr>
      <w:r>
        <w:rPr>
          <w:smallCaps/>
        </w:rPr>
        <w:t xml:space="preserve">Kerans, B. L., and J. R. Karr</w:t>
      </w:r>
      <w:r>
        <w:t xml:space="preserve">. 1994. A benthic index of biotic integrity (B-IBI) for rivers of the Tennessee Valley. Ecological Applications 4:768–785.</w:t>
      </w:r>
    </w:p>
    <w:bookmarkEnd w:id="108"/>
    <w:bookmarkStart w:id="109" w:name="ref-King11"/>
    <w:p>
      <w:pPr>
        <w:pStyle w:val="Bibliography"/>
      </w:pPr>
      <w:r>
        <w:rPr>
          <w:smallCaps/>
        </w:rPr>
        <w:t xml:space="preserve">King, R. S., M. E. Baker, P. F. Kazyak, and D. E. Weller</w:t>
      </w:r>
      <w:r>
        <w:t xml:space="preserve">. 2011. How novel is too novel? Stream community thresholds at exceptionally low levels of catchment urbanization. Ecological Applications 21:1659–1678.</w:t>
      </w:r>
    </w:p>
    <w:bookmarkEnd w:id="109"/>
    <w:bookmarkStart w:id="110" w:name="ref-Kluyver16"/>
    <w:p>
      <w:pPr>
        <w:pStyle w:val="Bibliography"/>
      </w:pPr>
      <w:r>
        <w:rPr>
          <w:smallCaps/>
        </w:rPr>
        <w:t xml:space="preserve">Kluyver, T., B. Ragan-Kelley, F. Pérez, B. Granger, M. Bussonnier, J. Frederic, K. Kelley, J. Hamrick, J. Grout, S. Corlay, P. Ivanov, D. Avila, S. Abdalla, and C. Willing</w:t>
      </w:r>
      <w:r>
        <w:t xml:space="preserve">. 2016. Jupyter notebooks – a publishing format for reproducible computational workflows. IOS Press.</w:t>
      </w:r>
    </w:p>
    <w:bookmarkEnd w:id="110"/>
    <w:bookmarkStart w:id="111" w:name="ref-Kuehne17"/>
    <w:p>
      <w:pPr>
        <w:pStyle w:val="Bibliography"/>
      </w:pPr>
      <w:r>
        <w:rPr>
          <w:smallCaps/>
        </w:rPr>
        <w:t xml:space="preserve">Kuehne, L. M., J. D. Olden, A. L. Strecker, J. J. Lawler, and D. M. Theobald</w:t>
      </w:r>
      <w:r>
        <w:t xml:space="preserve">. 2017. Past, present, and future of ecological integrity assessment for fresh waters. Frontiers in Ecology and the Environment 15:197–205.</w:t>
      </w:r>
    </w:p>
    <w:bookmarkEnd w:id="111"/>
    <w:bookmarkStart w:id="112" w:name="ref-VanderLaan14"/>
    <w:p>
      <w:pPr>
        <w:pStyle w:val="Bibliography"/>
      </w:pPr>
      <w:r>
        <w:rPr>
          <w:smallCaps/>
        </w:rPr>
        <w:t xml:space="preserve">Laan, J. J. V., and C. P. Hawkins</w:t>
      </w:r>
      <w:r>
        <w:t xml:space="preserve">. 2014. Enhancing the performance and interpretation of freshwater biological indices: An application in arid zone streams. Ecological Indicators 36:470–482.</w:t>
      </w:r>
    </w:p>
    <w:bookmarkEnd w:id="112"/>
    <w:bookmarkStart w:id="113" w:name="ref-Lai19"/>
    <w:p>
      <w:pPr>
        <w:pStyle w:val="Bibliography"/>
      </w:pPr>
      <w:r>
        <w:rPr>
          <w:smallCaps/>
        </w:rPr>
        <w:t xml:space="preserve">Lai, J., C. J. Lortie, R. A. Muenchen, J. Yang, and K. Ma</w:t>
      </w:r>
      <w:r>
        <w:t xml:space="preserve">. 2019. Evaluating the popularity of R in ecology. Ecosphere 10:e02567.</w:t>
      </w:r>
    </w:p>
    <w:bookmarkEnd w:id="113"/>
    <w:bookmarkStart w:id="114" w:name="ref-Lane18"/>
    <w:p>
      <w:pPr>
        <w:pStyle w:val="Bibliography"/>
      </w:pPr>
      <w:r>
        <w:rPr>
          <w:smallCaps/>
        </w:rPr>
        <w:t xml:space="preserve">Lane, B. A., S. Sandoval-Solis, E. D. Stein, S. M. Yarnell, G. B. Pasternack, and H. E. Dahlke</w:t>
      </w:r>
      <w:r>
        <w:t xml:space="preserve">. 2018. Beyond metrics? The role of hydrologic baseline archetypes in environmental water management. Enviromental Management 62:678–693.</w:t>
      </w:r>
    </w:p>
    <w:bookmarkEnd w:id="114"/>
    <w:bookmarkStart w:id="115" w:name="ref-Lewandowsky16"/>
    <w:p>
      <w:pPr>
        <w:pStyle w:val="Bibliography"/>
      </w:pPr>
      <w:r>
        <w:rPr>
          <w:smallCaps/>
        </w:rPr>
        <w:t xml:space="preserve">Lewandowsky, S., and D. Bishop</w:t>
      </w:r>
      <w:r>
        <w:t xml:space="preserve">. 2016. Research integrity: Don’t let transparency damage science. Nature 529:459–461.</w:t>
      </w:r>
    </w:p>
    <w:bookmarkEnd w:id="115"/>
    <w:bookmarkStart w:id="116" w:name="ref-Liaw02"/>
    <w:p>
      <w:pPr>
        <w:pStyle w:val="Bibliography"/>
      </w:pPr>
      <w:r>
        <w:rPr>
          <w:smallCaps/>
        </w:rPr>
        <w:t xml:space="preserve">Liaw, A., and M. Wiener</w:t>
      </w:r>
      <w:r>
        <w:t xml:space="preserve">. 2002. Classification and regression by randomForest. R News 2:18–22.</w:t>
      </w:r>
    </w:p>
    <w:bookmarkEnd w:id="116"/>
    <w:bookmarkStart w:id="117" w:name="ref-Linke11"/>
    <w:p>
      <w:pPr>
        <w:pStyle w:val="Bibliography"/>
      </w:pPr>
      <w:r>
        <w:rPr>
          <w:smallCaps/>
        </w:rPr>
        <w:t xml:space="preserve">Linke, S., E. Turak, and J. Nel</w:t>
      </w:r>
      <w:r>
        <w:t xml:space="preserve">. 2011. Freshwater conservation planning: The case for systematic approaches. Freshwater Biology 56:6–20.</w:t>
      </w:r>
    </w:p>
    <w:bookmarkEnd w:id="117"/>
    <w:bookmarkStart w:id="118" w:name="ref-Liu08"/>
    <w:p>
      <w:pPr>
        <w:pStyle w:val="Bibliography"/>
      </w:pPr>
      <w:r>
        <w:rPr>
          <w:smallCaps/>
        </w:rPr>
        <w:t xml:space="preserve">Liu, Y., H. Gupta, E. Springer, and T. Wagener</w:t>
      </w:r>
      <w:r>
        <w:t xml:space="preserve">. 2008. Linking science with environmental decision making: Experiences from an integrated modeling approach to supporting sustainable water resources management. Environmental Modelling &amp; Software 23:846–858.</w:t>
      </w:r>
    </w:p>
    <w:bookmarkEnd w:id="118"/>
    <w:bookmarkStart w:id="119" w:name="ref-Lortie14"/>
    <w:p>
      <w:pPr>
        <w:pStyle w:val="Bibliography"/>
      </w:pPr>
      <w:r>
        <w:rPr>
          <w:smallCaps/>
        </w:rPr>
        <w:t xml:space="preserve">Lortie, C. J.</w:t>
      </w:r>
      <w:r>
        <w:t xml:space="preserve"> </w:t>
      </w:r>
      <w:r>
        <w:t xml:space="preserve">2014. Formalized synthesis opportunities for ecology: Systematic reviews and meta-analyses. OIKOS 123:897–902.</w:t>
      </w:r>
    </w:p>
    <w:bookmarkEnd w:id="119"/>
    <w:bookmarkStart w:id="120" w:name="ref-Lowndes17"/>
    <w:p>
      <w:pPr>
        <w:pStyle w:val="Bibliography"/>
      </w:pPr>
      <w:r>
        <w:rPr>
          <w:smallCaps/>
        </w:rPr>
        <w:t xml:space="preserve">Lowndes, J. S. S., B. D. Best, C. Scarborough, J. C. Afflerbach, M. R. Frazier, C. C. O’Hara, N. Jiang, and B. S. Halpern</w:t>
      </w:r>
      <w:r>
        <w:t xml:space="preserve">. 2017. Our path to better science in less time using open data science tools. Nature Ecology &amp; Evolution 1:1–7.</w:t>
      </w:r>
    </w:p>
    <w:bookmarkEnd w:id="120"/>
    <w:bookmarkStart w:id="121" w:name="ref-Marwick16"/>
    <w:p>
      <w:pPr>
        <w:pStyle w:val="Bibliography"/>
      </w:pPr>
      <w:r>
        <w:rPr>
          <w:smallCaps/>
        </w:rP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w:t>
      </w:r>
      <w:r>
        <w:t xml:space="preserve">. 2016. Open science in archaeology. SAA Archaeological Record 17:8–14.</w:t>
      </w:r>
    </w:p>
    <w:bookmarkEnd w:id="121"/>
    <w:bookmarkStart w:id="122" w:name="ref-Mazor16"/>
    <w:p>
      <w:pPr>
        <w:pStyle w:val="Bibliography"/>
      </w:pPr>
      <w:r>
        <w:rPr>
          <w:smallCaps/>
        </w:rPr>
        <w:t xml:space="preserve">Mazor, R. D., A. C. Rehn, P. R. Ode, M. Engeln, K. C. Schiff, E. D. Stein, D. J. Gillett, D. B. Herbst, and C. P. Hawkins</w:t>
      </w:r>
      <w:r>
        <w:t xml:space="preserve">. 2016. Bioassessment in complex environments: Designing an index for consistent meaning in different settings. Freshwater Science 35:249–271.</w:t>
      </w:r>
    </w:p>
    <w:bookmarkEnd w:id="122"/>
    <w:bookmarkStart w:id="123" w:name="ref-Mazor14"/>
    <w:p>
      <w:pPr>
        <w:pStyle w:val="Bibliography"/>
      </w:pPr>
      <w:r>
        <w:rPr>
          <w:smallCaps/>
        </w:rPr>
        <w:t xml:space="preserve">Mazor, R. D., E. D. Stein, P. R. Ode, and K. Schiff</w:t>
      </w:r>
      <w:r>
        <w:t xml:space="preserve">. 2014. Integrating intermittent streams into watershed assessments: Applicability of an index of biotic integrity. Freshwater Science 35:459–474.</w:t>
      </w:r>
    </w:p>
    <w:bookmarkEnd w:id="123"/>
    <w:bookmarkStart w:id="124" w:name="ref-McDonald04"/>
    <w:p>
      <w:pPr>
        <w:pStyle w:val="Bibliography"/>
      </w:pPr>
      <w:r>
        <w:rPr>
          <w:smallCaps/>
        </w:rPr>
        <w:t xml:space="preserve">McDonald, M., R. L. Blair, D. Bolgrien, B. S. Brown, J. J. Dlugosz, S. S. Hale, S. F. Hedtke, D. T. Heggem, L. E. Jackson, K. B. Jones, B. M. Levinson, R. A. Linthurst, J. Messer, A. R. Olsen, J. F. Paul, S. G. Paulsen, J. L. Stoddard, K. Summers, and G. D. Veith</w:t>
      </w:r>
      <w:r>
        <w:t xml:space="preserve">. 2004. The US Environmental Protection Agency’s Environmental Monitoring and Assessment Program. Pages 649–668</w:t>
      </w:r>
      <w:r>
        <w:t xml:space="preserve"> </w:t>
      </w:r>
      <w:r>
        <w:rPr>
          <w:i/>
        </w:rPr>
        <w:t xml:space="preserve">in</w:t>
      </w:r>
      <w:r>
        <w:t xml:space="preserve"> </w:t>
      </w:r>
      <w:r>
        <w:t xml:space="preserve">G. B. Wiersma (editor). Environmental monitoring. CRC Press, Boca Raton, Florida, USA.</w:t>
      </w:r>
    </w:p>
    <w:bookmarkEnd w:id="124"/>
    <w:bookmarkStart w:id="125" w:name="ref-Michener97"/>
    <w:p>
      <w:pPr>
        <w:pStyle w:val="Bibliography"/>
      </w:pPr>
      <w:r>
        <w:rPr>
          <w:smallCaps/>
        </w:rPr>
        <w:t xml:space="preserve">Michener, W. K., J. W. Brunt, J. J. Helly, T. B. Kirchner, and S. G. Stafford</w:t>
      </w:r>
      <w:r>
        <w:t xml:space="preserve">. 1997. Nongeospatial metadata for the ecological sciences. Ecological Applications 7:330–342.</w:t>
      </w:r>
    </w:p>
    <w:bookmarkEnd w:id="125"/>
    <w:bookmarkStart w:id="126" w:name="ref-Mitchell05"/>
    <w:p>
      <w:pPr>
        <w:pStyle w:val="Bibliography"/>
      </w:pPr>
      <w:r>
        <w:rPr>
          <w:smallCaps/>
        </w:rPr>
        <w:t xml:space="preserve">Mitchell, B.</w:t>
      </w:r>
      <w:r>
        <w:t xml:space="preserve"> </w:t>
      </w:r>
      <w:r>
        <w:t xml:space="preserve">2005. Integrated water resource management, institutional arrangements, and land use planning. Environmental Planning A: Economy and Space 37:1335–1352.</w:t>
      </w:r>
    </w:p>
    <w:bookmarkEnd w:id="126"/>
    <w:bookmarkStart w:id="127" w:name="ref-Nichols16"/>
    <w:p>
      <w:pPr>
        <w:pStyle w:val="Bibliography"/>
      </w:pPr>
      <w:r>
        <w:rPr>
          <w:smallCaps/>
        </w:rPr>
        <w:t xml:space="preserve">Nichols, S. J., L. A. Barmuta, B. C. Chessman, P. E. Davies, F. J. Dyer, E. T. Harrison, C. P. Hawkins, I. Jones, B. J. Kefford, S. Linke, R. Marchant, L. Metzeling, K. Moon, R. Ogden, M. Peat, T. B. Reynoldson, and R. M. Thompson</w:t>
      </w:r>
      <w:r>
        <w:t xml:space="preserve">. 2016. The imperative need for nationally coordinated bioassessment of rivers and streams. Marine and Freshwater Research 68:599–613.</w:t>
      </w:r>
    </w:p>
    <w:bookmarkEnd w:id="127"/>
    <w:bookmarkStart w:id="128" w:name="ref-Nielsen11"/>
    <w:p>
      <w:pPr>
        <w:pStyle w:val="Bibliography"/>
      </w:pPr>
      <w:r>
        <w:rPr>
          <w:smallCaps/>
        </w:rPr>
        <w:t xml:space="preserve">Nielsen, M.</w:t>
      </w:r>
      <w:r>
        <w:t xml:space="preserve"> </w:t>
      </w:r>
      <w:r>
        <w:t xml:space="preserve">2011. Reinventing discovery: The new era of networked science. Page 272Reprint. Princeton University Press, Princeton, New Jersey, USA.</w:t>
      </w:r>
    </w:p>
    <w:bookmarkEnd w:id="128"/>
    <w:bookmarkStart w:id="129" w:name="ref-Niemi04"/>
    <w:p>
      <w:pPr>
        <w:pStyle w:val="Bibliography"/>
      </w:pPr>
      <w:r>
        <w:rPr>
          <w:smallCaps/>
        </w:rPr>
        <w:t xml:space="preserve">Niemi, G. J., and M. E. McDonald</w:t>
      </w:r>
      <w:r>
        <w:t xml:space="preserve">. 2004. Application of ecological indicators. Annual Review of Ecology, Evolution, and Systematics 35:89–111.</w:t>
      </w:r>
    </w:p>
    <w:bookmarkEnd w:id="129"/>
    <w:bookmarkStart w:id="130" w:name="ref-Ode16"/>
    <w:p>
      <w:pPr>
        <w:pStyle w:val="Bibliography"/>
      </w:pPr>
      <w:r>
        <w:rPr>
          <w:smallCaps/>
        </w:rPr>
        <w:t xml:space="preserve">Ode, P. R., A. C. Rehn, R. D. Mazor, K. C. Schiff, E. D. Stein, J. T. May, L. R. Brown, D. B. Herbst, D. Gillett, K. Lunde, and C. P. Hawkins</w:t>
      </w:r>
      <w:r>
        <w:t xml:space="preserve">. 2016. Evaluating the adequacy of a reference-site pool for ecological assessments in environmentally complex regions. Freshwater Science 35:237–248.</w:t>
      </w:r>
    </w:p>
    <w:bookmarkEnd w:id="130"/>
    <w:bookmarkStart w:id="131" w:name="ref-Oksanen18"/>
    <w:p>
      <w:pPr>
        <w:pStyle w:val="Bibliography"/>
      </w:pPr>
      <w:r>
        <w:rPr>
          <w:smallCaps/>
        </w:rPr>
        <w:t xml:space="preserve">Oksanen, J., F. G. Blanchet, M. Friendly, R. Kindt, P. Legendre, D. McGlinn, P. R. Minchin, R. B. O’Hara, G. L. Simpson, P. Solymos, M. H. H. Stevens, E. Szoecs, and H. Wagner</w:t>
      </w:r>
      <w:r>
        <w:t xml:space="preserve">. 2018. Vegan: Community ecology package.</w:t>
      </w:r>
    </w:p>
    <w:bookmarkEnd w:id="131"/>
    <w:bookmarkStart w:id="132" w:name="ref-Paul08"/>
    <w:p>
      <w:pPr>
        <w:pStyle w:val="Bibliography"/>
      </w:pPr>
      <w:r>
        <w:rPr>
          <w:smallCaps/>
        </w:rPr>
        <w:t xml:space="preserve">Paul, M. J., D. W. Bressler, A. H. Purcell, M. T. Barbour, E. T. Rankin, and V. H. Resh</w:t>
      </w:r>
      <w:r>
        <w:t xml:space="preserve">. 2008. Assessment tools for urban catchments: Defining observable biological potential. Journal of the American Water Resources Association 45:320–330.</w:t>
      </w:r>
    </w:p>
    <w:bookmarkEnd w:id="132"/>
    <w:bookmarkStart w:id="133" w:name="ref-Pebesma18"/>
    <w:p>
      <w:pPr>
        <w:pStyle w:val="Bibliography"/>
      </w:pPr>
      <w:r>
        <w:rPr>
          <w:smallCaps/>
        </w:rPr>
        <w:t xml:space="preserve">Pebesma, E.</w:t>
      </w:r>
      <w:r>
        <w:t xml:space="preserve"> </w:t>
      </w:r>
      <w:r>
        <w:t xml:space="preserve">2018. Sf: Simple features for r.</w:t>
      </w:r>
    </w:p>
    <w:bookmarkEnd w:id="133"/>
    <w:bookmarkStart w:id="134" w:name="ref-Pilkington16"/>
    <w:p>
      <w:pPr>
        <w:pStyle w:val="Bibliography"/>
      </w:pPr>
      <w:r>
        <w:rPr>
          <w:smallCaps/>
        </w:rPr>
        <w:t xml:space="preserve">Pilkington, M.</w:t>
      </w:r>
      <w:r>
        <w:t xml:space="preserve"> </w:t>
      </w:r>
      <w:r>
        <w:t xml:space="preserve">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4"/>
    <w:bookmarkStart w:id="135" w:name="ref-Pinheiro18"/>
    <w:p>
      <w:pPr>
        <w:pStyle w:val="Bibliography"/>
      </w:pPr>
      <w:r>
        <w:rPr>
          <w:smallCaps/>
        </w:rPr>
        <w:t xml:space="preserve">Pinheiro, J., D. Bates, S. DebRoy, D. Sarkar, and R Core Team</w:t>
      </w:r>
      <w:r>
        <w:t xml:space="preserve">. 2018. nlme: Linear and nonlinear mixed effects models.</w:t>
      </w:r>
    </w:p>
    <w:bookmarkEnd w:id="135"/>
    <w:bookmarkStart w:id="136" w:name="ref-Poikane14"/>
    <w:p>
      <w:pPr>
        <w:pStyle w:val="Bibliography"/>
      </w:pPr>
      <w:r>
        <w:rPr>
          <w:smallCaps/>
        </w:rPr>
        <w:t xml:space="preserve">Poikane, S., N. Zampoukas, A. Borja, S. P. Davies, W. van de Bund, and S. Birk</w:t>
      </w:r>
      <w:r>
        <w:t xml:space="preserve">. 2014. Intercalibration of aquatic ecological assessment methods in the European Union. Environmental Science &amp; Policy 44:237–246.</w:t>
      </w:r>
    </w:p>
    <w:bookmarkEnd w:id="136"/>
    <w:bookmarkStart w:id="137" w:name="ref-RDCT18"/>
    <w:p>
      <w:pPr>
        <w:pStyle w:val="Bibliography"/>
      </w:pPr>
      <w:r>
        <w:rPr>
          <w:smallCaps/>
        </w:rPr>
        <w:t xml:space="preserve">RDCT (R Development Core Team)</w:t>
      </w:r>
      <w:r>
        <w:t xml:space="preserve">. 2018. R: A language and environment for statistical computing, v3.5.1. R Foundation for Statistical Computing, Vienna, Austria.</w:t>
      </w:r>
    </w:p>
    <w:bookmarkEnd w:id="137"/>
    <w:bookmarkStart w:id="138" w:name="ref-Rehn18"/>
    <w:p>
      <w:pPr>
        <w:pStyle w:val="Bibliography"/>
      </w:pPr>
      <w:r>
        <w:rPr>
          <w:smallCaps/>
        </w:rPr>
        <w:t xml:space="preserve">Rehn, A. C., R. D. Mazor, and P. R. Ode</w:t>
      </w:r>
      <w:r>
        <w:t xml:space="preserv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38"/>
    <w:bookmarkStart w:id="139" w:name="ref-Shoredits13"/>
    <w:p>
      <w:pPr>
        <w:pStyle w:val="Bibliography"/>
      </w:pPr>
      <w:r>
        <w:rPr>
          <w:smallCaps/>
        </w:rPr>
        <w:t xml:space="preserve">Shoredits, A. S., and J. A. Clayton</w:t>
      </w:r>
      <w:r>
        <w:t xml:space="preserve">. 2013. Assessing the practice and challenges of stream restoration in urbanized environments of the USA. Geography Compass 7:358–372.</w:t>
      </w:r>
    </w:p>
    <w:bookmarkEnd w:id="139"/>
    <w:bookmarkStart w:id="140" w:name="ref-Slater19"/>
    <w:p>
      <w:pPr>
        <w:pStyle w:val="Bibliography"/>
      </w:pPr>
      <w:r>
        <w:rPr>
          <w:smallCaps/>
        </w:rPr>
        <w:t xml:space="preserve">Slater, L. J., G. Thirel, s. Harrigan, O. Delaigue, A. Hurley, A. Khouakhi, I. Prosdocimi, C. Vitolo, and K. smith</w:t>
      </w:r>
      <w:r>
        <w:t xml:space="preserve">. 2019. Using R in hydrology: A review of recent developments and future directions. Hydrology and Earth System Sciences 23:2939–2963.</w:t>
      </w:r>
    </w:p>
    <w:bookmarkEnd w:id="140"/>
    <w:bookmarkStart w:id="141" w:name="ref-Stein09"/>
    <w:p>
      <w:pPr>
        <w:pStyle w:val="Bibliography"/>
      </w:pPr>
      <w:r>
        <w:rPr>
          <w:smallCaps/>
        </w:rPr>
        <w:t xml:space="preserve">Stein, E. D., M. Brinson, M. C. Rains, W. Kleindl, and F. R. Hauer</w:t>
      </w:r>
      <w:r>
        <w:t xml:space="preserve">. 2009. Wetland assessment alphabet soup: How to choose (or not choose) the right assessment method. Society of Wetland Scientists Bulletin 26:20–24.</w:t>
      </w:r>
    </w:p>
    <w:bookmarkEnd w:id="141"/>
    <w:bookmarkStart w:id="142" w:name="ref-Stoddard08"/>
    <w:p>
      <w:pPr>
        <w:pStyle w:val="Bibliography"/>
      </w:pPr>
      <w:r>
        <w:rPr>
          <w:smallCaps/>
        </w:rPr>
        <w:t xml:space="preserve">Stoddard, J. L., A. T. Herlihy, D. V. Peck, R. M. Hughes, T. R. Whittier, and E. Tarquinio</w:t>
      </w:r>
      <w:r>
        <w:t xml:space="preserve">. 2008. A process for creating multimetric indices for large-scale aquatic surveys. Journal of the North American Benthological Society 27:878–891.</w:t>
      </w:r>
    </w:p>
    <w:bookmarkEnd w:id="142"/>
    <w:bookmarkStart w:id="143" w:name="ref-Taylor18"/>
    <w:p>
      <w:pPr>
        <w:pStyle w:val="Bibliography"/>
      </w:pPr>
      <w:r>
        <w:rPr>
          <w:smallCaps/>
        </w:rPr>
        <w:t xml:space="preserve">Taylor, J. M., J. A. Back, B. W. Brooks, and R. S. King</w:t>
      </w:r>
      <w:r>
        <w:t xml:space="preserve">. 2018. Spatial, temporal and experimental: Three study design cornerstones for establishing defensible numeric criteria in freshwater ecosystems. Journal of Applied Ecology 55:2114–2123.</w:t>
      </w:r>
    </w:p>
    <w:bookmarkEnd w:id="143"/>
    <w:bookmarkStart w:id="144" w:name="ref-Taylor14"/>
    <w:p>
      <w:pPr>
        <w:pStyle w:val="Bibliography"/>
      </w:pPr>
      <w:r>
        <w:rPr>
          <w:smallCaps/>
        </w:rPr>
        <w:t xml:space="preserve">Taylor, J. M., R. S. King, A. A. Pease, and K. O. Winemiller</w:t>
      </w:r>
      <w:r>
        <w:t xml:space="preserve">. 2014. Nonlinear response of stream ecosystem structure to low-level phosphorus enrichment. Freshwater Biology 59:969–984.</w:t>
      </w:r>
    </w:p>
    <w:bookmarkEnd w:id="144"/>
    <w:bookmarkStart w:id="145" w:name="ref-Touchon16"/>
    <w:p>
      <w:pPr>
        <w:pStyle w:val="Bibliography"/>
      </w:pPr>
      <w:r>
        <w:rPr>
          <w:smallCaps/>
        </w:rPr>
        <w:t xml:space="preserve">Touchon, J. C., and M. W. McCoy</w:t>
      </w:r>
      <w:r>
        <w:t xml:space="preserve">. 2016. The mismatch between current statistical practice and doctoral training in ecology. Ecosphere 7:e01394.</w:t>
      </w:r>
    </w:p>
    <w:bookmarkEnd w:id="145"/>
    <w:bookmarkStart w:id="146" w:name="ref-Wickham09"/>
    <w:p>
      <w:pPr>
        <w:pStyle w:val="Bibliography"/>
      </w:pPr>
      <w:r>
        <w:rPr>
          <w:smallCaps/>
        </w:rPr>
        <w:t xml:space="preserve">Wickham, H.</w:t>
      </w:r>
      <w:r>
        <w:t xml:space="preserve"> </w:t>
      </w:r>
      <w:r>
        <w:t xml:space="preserve">2009. Ggplot2: Elegant graphics for data analysis. Springer-Verlag. New York.</w:t>
      </w:r>
    </w:p>
    <w:bookmarkEnd w:id="146"/>
    <w:bookmarkStart w:id="147" w:name="ref-Wickham14c"/>
    <w:p>
      <w:pPr>
        <w:pStyle w:val="Bibliography"/>
      </w:pPr>
      <w:r>
        <w:rPr>
          <w:smallCaps/>
        </w:rPr>
        <w:t xml:space="preserve">Wickham, H.</w:t>
      </w:r>
      <w:r>
        <w:t xml:space="preserve"> </w:t>
      </w:r>
      <w:r>
        <w:t xml:space="preserve">2014. Tidy data. Journal of Statistical Software 59:1–23.</w:t>
      </w:r>
    </w:p>
    <w:bookmarkEnd w:id="147"/>
    <w:bookmarkStart w:id="148" w:name="ref-Wickham15"/>
    <w:p>
      <w:pPr>
        <w:pStyle w:val="Bibliography"/>
      </w:pPr>
      <w:r>
        <w:rPr>
          <w:smallCaps/>
        </w:rPr>
        <w:t xml:space="preserve">Wickham, H.</w:t>
      </w:r>
      <w:r>
        <w:t xml:space="preserve"> </w:t>
      </w:r>
      <w:r>
        <w:t xml:space="preserve">2015. R packages. Page 182. O’Reilly, Sebastopol, California.</w:t>
      </w:r>
    </w:p>
    <w:bookmarkEnd w:id="148"/>
    <w:bookmarkStart w:id="149" w:name="ref-Wickham17b"/>
    <w:p>
      <w:pPr>
        <w:pStyle w:val="Bibliography"/>
      </w:pPr>
      <w:r>
        <w:rPr>
          <w:smallCaps/>
        </w:rPr>
        <w:t xml:space="preserve">Wickham, H.</w:t>
      </w:r>
      <w:r>
        <w:t xml:space="preserve"> </w:t>
      </w:r>
      <w:r>
        <w:t xml:space="preserve">2017. Tidyverse: Easily install and load the ’tidyverse’.</w:t>
      </w:r>
    </w:p>
    <w:bookmarkEnd w:id="149"/>
    <w:bookmarkStart w:id="150" w:name="ref-Wickham18"/>
    <w:p>
      <w:pPr>
        <w:pStyle w:val="Bibliography"/>
      </w:pPr>
      <w:r>
        <w:rPr>
          <w:smallCaps/>
        </w:rPr>
        <w:t xml:space="preserve">Wickham, H., J. Hester, and W. Chang</w:t>
      </w:r>
      <w:r>
        <w:t xml:space="preserve">. 2018. Devtools: Tools to make developing r packages easier.</w:t>
      </w:r>
    </w:p>
    <w:bookmarkEnd w:id="150"/>
    <w:bookmarkStart w:id="151" w:name="ref-Wilkinson05"/>
    <w:p>
      <w:pPr>
        <w:pStyle w:val="Bibliography"/>
      </w:pPr>
      <w:r>
        <w:rPr>
          <w:smallCaps/>
        </w:rPr>
        <w:t xml:space="preserve">Wilkinson, L.</w:t>
      </w:r>
      <w:r>
        <w:t xml:space="preserve"> </w:t>
      </w:r>
      <w:r>
        <w:t xml:space="preserve">2005. The grammar of graphics. Page 691second. Statistics; Computing, Springer, New York.</w:t>
      </w:r>
    </w:p>
    <w:bookmarkEnd w:id="151"/>
    <w:bookmarkStart w:id="152" w:name="ref-Woelfle11"/>
    <w:p>
      <w:pPr>
        <w:pStyle w:val="Bibliography"/>
      </w:pPr>
      <w:r>
        <w:rPr>
          <w:smallCaps/>
        </w:rPr>
        <w:t xml:space="preserve">Woelfle, M., P. Olliaro, and M. H. Todd</w:t>
      </w:r>
      <w:r>
        <w:t xml:space="preserve">. 2011. Open science is a research accelerator. Nature Chemistry 3:745–748.</w:t>
      </w:r>
    </w:p>
    <w:bookmarkEnd w:id="152"/>
    <w:bookmarkStart w:id="153" w:name="ref-Wood17"/>
    <w:p>
      <w:pPr>
        <w:pStyle w:val="Bibliography"/>
      </w:pPr>
      <w:r>
        <w:rPr>
          <w:smallCaps/>
        </w:rPr>
        <w:t xml:space="preserve">Wood, S. N.</w:t>
      </w:r>
      <w:r>
        <w:t xml:space="preserve"> </w:t>
      </w:r>
      <w:r>
        <w:t xml:space="preserve">2017. Generalized additive models: An introduction with r. Page 476, 2nd editions. Chapman; Hall, CRC Press, London, United Kingdom.</w:t>
      </w:r>
    </w:p>
    <w:bookmarkEnd w:id="153"/>
    <w:bookmarkStart w:id="154" w:name="ref-Xie15"/>
    <w:p>
      <w:pPr>
        <w:pStyle w:val="Bibliography"/>
      </w:pPr>
      <w:r>
        <w:rPr>
          <w:smallCaps/>
        </w:rPr>
        <w:t xml:space="preserve">Xie, Y.</w:t>
      </w:r>
      <w:r>
        <w:t xml:space="preserve"> </w:t>
      </w:r>
      <w:r>
        <w:t xml:space="preserve">2015. Dynamic documents with R and knitr, 2nd editions. Chapman; Hall/CRC, Boca Raton, Florida.</w:t>
      </w:r>
    </w:p>
    <w:bookmarkEnd w:id="154"/>
    <w:bookmarkStart w:id="155" w:name="ref-Yuan04"/>
    <w:p>
      <w:pPr>
        <w:pStyle w:val="Bibliography"/>
      </w:pPr>
      <w:r>
        <w:rPr>
          <w:smallCaps/>
        </w:rPr>
        <w:t xml:space="preserve">Yuan, L. L.</w:t>
      </w:r>
      <w:r>
        <w:t xml:space="preserve"> </w:t>
      </w:r>
      <w:r>
        <w:t xml:space="preserve">2004. Assigning macroinvertebrate tolerance classifications using generalised additive models. Freshwater Biology 49:662–677.</w:t>
      </w:r>
    </w:p>
    <w:bookmarkEnd w:id="155"/>
    <w:bookmarkStart w:id="156" w:name="ref-Zipper19"/>
    <w:p>
      <w:pPr>
        <w:pStyle w:val="Bibliography"/>
      </w:pPr>
      <w:r>
        <w:rPr>
          <w:smallCaps/>
        </w:rPr>
        <w:t xml:space="preserve">Zipper, S. C., K. S. S. Whitney, J. M. Deines, K. M. Befus, U. Bhatia, S. J. Albers, J. Beecher, C. Brelsford, M. Garcia, T. Gleeson, F. O’Donnell, D. Resnik, and E. Schlager</w:t>
      </w:r>
      <w:r>
        <w:t xml:space="preserve">. 2019. Balancing open science and data privacy in the water sciences. Water Resources Research 55:1–10.</w:t>
      </w:r>
    </w:p>
    <w:bookmarkEnd w:id="156"/>
    <w:bookmarkEnd w:id="157"/>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hyperlink" Id="rId73" Target="http://doi.org/10.5281/zenodo.1218121" TargetMode="External" /><Relationship Type="http://schemas.openxmlformats.org/officeDocument/2006/relationships/hyperlink" Id="rId64" Target="http://opendefinition.org/" TargetMode="External" /><Relationship Type="http://schemas.openxmlformats.org/officeDocument/2006/relationships/hyperlink" Id="rId53" Target="https://carpentries.org" TargetMode="External" /><Relationship Type="http://schemas.openxmlformats.org/officeDocument/2006/relationships/hyperlink" Id="rId65" Target="https://creativecommons.org/about/program-areas/open-science/" TargetMode="External" /><Relationship Type="http://schemas.openxmlformats.org/officeDocument/2006/relationships/hyperlink" Id="rId37" Target="https://eflows.ucdavis.edu/hydrology"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6"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43"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73" Target="http://doi.org/10.5281/zenodo.1218121" TargetMode="External" /><Relationship Type="http://schemas.openxmlformats.org/officeDocument/2006/relationships/hyperlink" Id="rId64" Target="http://opendefinition.org/" TargetMode="External" /><Relationship Type="http://schemas.openxmlformats.org/officeDocument/2006/relationships/hyperlink" Id="rId53" Target="https://carpentries.org" TargetMode="External" /><Relationship Type="http://schemas.openxmlformats.org/officeDocument/2006/relationships/hyperlink" Id="rId65" Target="https://creativecommons.org/about/program-areas/open-science/" TargetMode="External" /><Relationship Type="http://schemas.openxmlformats.org/officeDocument/2006/relationships/hyperlink" Id="rId37" Target="https://eflows.ucdavis.edu/hydrology"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6"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43"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 Theroux (susannat@sccwrp.org), David J. Gillett (davidg@sccwrp.org), Belize Lane (belize.lane@usu.edu), Greg Gearheart (greg.gearheart@waterboards.ca.gov)</dc:creator>
  <cp:keywords/>
  <dcterms:created xsi:type="dcterms:W3CDTF">2019-08-05T16:56:59Z</dcterms:created>
  <dcterms:modified xsi:type="dcterms:W3CDTF">2019-08-05T16:56:59Z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freshwater-science.csl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