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png" ContentType="image/png"/>
  <Override PartName="/word/media/rId63.png" ContentType="image/png"/>
  <Override PartName="/word/media/rId6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Casey</w:t>
      </w:r>
      <w:r>
        <w:t xml:space="preserve"> </w:t>
      </w:r>
      <w:r>
        <w:t xml:space="preserve">O’Hara</w:t>
      </w:r>
      <w:r>
        <w:t xml:space="preserve"> </w:t>
      </w:r>
      <w:r>
        <w:t xml:space="preserve">(</w:t>
      </w:r>
      <w:hyperlink r:id="rId21">
        <w:r>
          <w:rPr>
            <w:rStyle w:val="Hyperlink"/>
          </w:rPr>
          <w:t xml:space="preserve">ohara@nceas.ucsb.edu</w:t>
        </w:r>
      </w:hyperlink>
      <w:r>
        <w:t xml:space="preserve">),</w:t>
      </w:r>
      <w:r>
        <w:t xml:space="preserve"> </w:t>
      </w:r>
      <w:r>
        <w:t xml:space="preserve">Julia</w:t>
      </w:r>
      <w:r>
        <w:t xml:space="preserve"> </w:t>
      </w:r>
      <w:r>
        <w:t xml:space="preserve">Stewart</w:t>
      </w:r>
      <w:r>
        <w:t xml:space="preserve"> </w:t>
      </w:r>
      <w:r>
        <w:t xml:space="preserve">Lowndes</w:t>
      </w:r>
      <w:r>
        <w:t xml:space="preserve"> </w:t>
      </w:r>
      <w:r>
        <w:t xml:space="preserve">(</w:t>
      </w:r>
      <w:hyperlink r:id="rId22">
        <w:r>
          <w:rPr>
            <w:rStyle w:val="Hyperlink"/>
          </w:rPr>
          <w:t xml:space="preserve">lowndes@nceas.ucsb.edu</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3">
        <w:r>
          <w:rPr>
            <w:rStyle w:val="Hyperlink"/>
          </w:rPr>
          <w:t xml:space="preserve">raphaelm@sccwrp.org</w:t>
        </w:r>
      </w:hyperlink>
      <w:r>
        <w:t xml:space="preserve">),</w:t>
      </w:r>
      <w:r>
        <w:t xml:space="preserve"> </w:t>
      </w:r>
      <w:r>
        <w:t xml:space="preserve">Susanna</w:t>
      </w:r>
      <w:r>
        <w:t xml:space="preserve"> </w:t>
      </w:r>
      <w:r>
        <w:t xml:space="preserve">Theroux</w:t>
      </w:r>
      <w:r>
        <w:t xml:space="preserve"> </w:t>
      </w:r>
      <w:r>
        <w:t xml:space="preserve">(</w:t>
      </w:r>
      <w:hyperlink r:id="rId24">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5">
        <w:r>
          <w:rPr>
            <w:rStyle w:val="Hyperlink"/>
          </w:rPr>
          <w:t xml:space="preserve">davidg@sccwrp.org</w:t>
        </w:r>
      </w:hyperlink>
      <w:r>
        <w:t xml:space="preserve">),</w:t>
      </w:r>
      <w:r>
        <w:t xml:space="preserve"> </w:t>
      </w:r>
      <w:r>
        <w:t xml:space="preserve">Belize</w:t>
      </w:r>
      <w:r>
        <w:t xml:space="preserve"> </w:t>
      </w:r>
      <w:r>
        <w:t xml:space="preserve">Lane</w:t>
      </w:r>
      <w:r>
        <w:t xml:space="preserve"> </w:t>
      </w:r>
      <w:r>
        <w:t xml:space="preserve">(</w:t>
      </w:r>
      <w:hyperlink r:id="rId26">
        <w:r>
          <w:rPr>
            <w:rStyle w:val="Hyperlink"/>
          </w:rPr>
          <w:t xml:space="preserve">belize.lane@usu.edu</w:t>
        </w:r>
      </w:hyperlink>
      <w:r>
        <w:t xml:space="preserve">),</w:t>
      </w:r>
      <w:r>
        <w:t xml:space="preserve"> </w:t>
      </w:r>
      <w:r>
        <w:t xml:space="preserve">Greg</w:t>
      </w:r>
      <w:r>
        <w:t xml:space="preserve"> </w:t>
      </w:r>
      <w:r>
        <w:t xml:space="preserve">Gearheart</w:t>
      </w:r>
      <w:r>
        <w:t xml:space="preserve"> </w:t>
      </w:r>
      <w:r>
        <w:t xml:space="preserve">(</w:t>
      </w:r>
      <w:hyperlink r:id="rId27">
        <w:r>
          <w:rPr>
            <w:rStyle w:val="Hyperlink"/>
          </w:rPr>
          <w:t xml:space="preserve">greg.gearheart@waterboards.ca.gov</w:t>
        </w:r>
      </w:hyperlink>
      <w:r>
        <w:t xml:space="preserve">)</w:t>
      </w:r>
    </w:p>
    <w:p>
      <w:pPr>
        <w:pStyle w:val="FirstParagraph"/>
      </w:pPr>
      <w:r>
        <w:t xml:space="preserve">Compiled 2020-02-28 16:23:11</w:t>
      </w:r>
    </w:p>
    <w:p>
      <w:pPr>
        <w:pStyle w:val="Heading1"/>
      </w:pPr>
      <w:bookmarkStart w:id="28" w:name="abstract"/>
      <w:r>
        <w:t xml:space="preserve">Abstract</w:t>
      </w:r>
      <w:bookmarkEnd w:id="28"/>
    </w:p>
    <w:p>
      <w:pPr>
        <w:pStyle w:val="FirstParagraph"/>
      </w:pPr>
      <w:r>
        <w:t xml:space="preserve">Open science principles that seek to democratize science can effectively bridge the gap between researchers and environmental managers. However, widespread adoption has yet to gain traction for the development and application of bioassessment products. At the core of this philosophy is the concept that research should be reproducible and transparent, in addition to having long-term value through effective data preservation and sharing. In this paper, we review core open science concepts that have recently been adopted in the ecological sciences and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pPr>
        <w:pStyle w:val="Heading1"/>
      </w:pPr>
      <w:bookmarkStart w:id="29" w:name="introduction"/>
      <w:r>
        <w:t xml:space="preserve">Introduction</w:t>
      </w:r>
      <w:bookmarkEnd w:id="29"/>
    </w:p>
    <w:p>
      <w:pPr>
        <w:pStyle w:val="FirstParagraph"/>
      </w:pPr>
      <w:r>
        <w:t xml:space="preserve">Bioassessment is an essential element of aquatic monitoring programs that helps guide decisions for managing the ecological integrity of environmental resources. Legal mandates to assess biological condition have stimulated the development of bioassessment programs and tools in the United States (Clean Water Act, CWA), Canada (Canada Waters Act), and Europe (Water Framework Directive). Decades of research have supported the development of assessment indices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et al.</w:t>
      </w:r>
      <w:r>
        <w:t xml:space="preserve"> </w:t>
      </w:r>
      <w:hyperlink w:anchor="ref-Borja09">
        <w:r>
          <w:rPr>
            <w:rStyle w:val="Hyperlink"/>
          </w:rPr>
          <w:t xml:space="preserve">2009</w:t>
        </w:r>
      </w:hyperlink>
      <w:r>
        <w:t xml:space="preserve">)</w:t>
      </w:r>
      <w:r>
        <w:t xml:space="preserve">. Substantial technical advances have been made in measuring biological responses to environmental change</w:t>
      </w:r>
      <w:r>
        <w:t xml:space="preserve"> </w:t>
      </w:r>
      <w:r>
        <w:t xml:space="preserve">(Hawkins et al.</w:t>
      </w:r>
      <w:r>
        <w:t xml:space="preserve"> </w:t>
      </w:r>
      <w:hyperlink w:anchor="ref-Hawkins00">
        <w:r>
          <w:rPr>
            <w:rStyle w:val="Hyperlink"/>
          </w:rPr>
          <w:t xml:space="preserve">2000</w:t>
        </w:r>
      </w:hyperlink>
      <w:hyperlink w:anchor="ref-Hawkins00">
        <w:r>
          <w:rPr>
            <w:rStyle w:val="Hyperlink"/>
          </w:rPr>
          <w:t xml:space="preserve">a</w:t>
        </w:r>
      </w:hyperlink>
      <w:r>
        <w:t xml:space="preserve">,</w:t>
      </w:r>
      <w:r>
        <w:t xml:space="preserve"> </w:t>
      </w:r>
      <w:hyperlink w:anchor="ref-Hawkins00b">
        <w:r>
          <w:rPr>
            <w:rStyle w:val="Hyperlink"/>
          </w:rPr>
          <w:t xml:space="preserve">2000</w:t>
        </w:r>
      </w:hyperlink>
      <w:hyperlink w:anchor="ref-Hawkins00b">
        <w:r>
          <w:rPr>
            <w:rStyle w:val="Hyperlink"/>
          </w:rPr>
          <w:t xml:space="preserve">b</w:t>
        </w:r>
      </w:hyperlink>
      <w:r>
        <w:t xml:space="preserve">)</w:t>
      </w:r>
      <w:r>
        <w:t xml:space="preserve">, how these responses can be distinguished from natural environmental variation</w:t>
      </w:r>
      <w:r>
        <w:t xml:space="preserve"> </w:t>
      </w:r>
      <w:r>
        <w:t xml:space="preserve">(Stoddard et al.</w:t>
      </w:r>
      <w:r>
        <w:t xml:space="preserve"> </w:t>
      </w:r>
      <w:hyperlink w:anchor="ref-Stoddard06">
        <w:r>
          <w:rPr>
            <w:rStyle w:val="Hyperlink"/>
          </w:rPr>
          <w:t xml:space="preserve">2006</w:t>
        </w:r>
      </w:hyperlink>
      <w:r>
        <w:t xml:space="preserve">, Hawkins et al.</w:t>
      </w:r>
      <w:r>
        <w:t xml:space="preserve"> </w:t>
      </w:r>
      <w:hyperlink w:anchor="ref-Hawkins10">
        <w:r>
          <w:rPr>
            <w:rStyle w:val="Hyperlink"/>
          </w:rPr>
          <w:t xml:space="preserve">2010</w:t>
        </w:r>
      </w:hyperlink>
      <w:r>
        <w:t xml:space="preserve">)</w:t>
      </w:r>
      <w:r>
        <w:t xml:space="preserve">, and interpreting the impacts of these changes</w:t>
      </w:r>
      <w:r>
        <w:t xml:space="preserve"> </w:t>
      </w:r>
      <w:r>
        <w:t xml:space="preserve">(Davies and Jackson</w:t>
      </w:r>
      <w:r>
        <w:t xml:space="preserve"> </w:t>
      </w:r>
      <w:hyperlink w:anchor="ref-Davies06">
        <w:r>
          <w:rPr>
            <w:rStyle w:val="Hyperlink"/>
          </w:rPr>
          <w:t xml:space="preserve">2006</w:t>
        </w:r>
      </w:hyperlink>
      <w:r>
        <w:t xml:space="preserve">)</w:t>
      </w:r>
      <w:r>
        <w:t xml:space="preserve">.</w:t>
      </w:r>
    </w:p>
    <w:p>
      <w:pPr>
        <w:pStyle w:val="BodyText"/>
      </w:pPr>
      <w:r>
        <w:t xml:space="preserve">Integrating bioassessment products (e.g., scoring indices, causal assessment protocols) into management or regulatory frameworks can be challenging, despite the technological advances</w:t>
      </w:r>
      <w:r>
        <w:t xml:space="preserve"> </w:t>
      </w:r>
      <w:r>
        <w:t xml:space="preserve">(Kuehne et al.</w:t>
      </w:r>
      <w:r>
        <w:t xml:space="preserve"> </w:t>
      </w:r>
      <w:hyperlink w:anchor="ref-Kuehne17">
        <w:r>
          <w:rPr>
            <w:rStyle w:val="Hyperlink"/>
          </w:rPr>
          <w:t xml:space="preserve">2017</w:t>
        </w:r>
      </w:hyperlink>
      <w:r>
        <w:t xml:space="preserve">)</w:t>
      </w:r>
      <w:r>
        <w:t xml:space="preserve">. How a bioassessment product is used in practice to inform decisions and prioritize management actions can differ from why it may have been originally developed. Numerous assessment products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highlighted</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w:t>
      </w:r>
      <w:r>
        <w:t xml:space="preserve"> </w:t>
      </w:r>
      <w:r>
        <w:t xml:space="preserve">Kuehne et al. (</w:t>
      </w:r>
      <w:hyperlink w:anchor="ref-Kuehne19">
        <w:r>
          <w:rPr>
            <w:rStyle w:val="Hyperlink"/>
          </w:rPr>
          <w:t xml:space="preserve">2019</w:t>
        </w:r>
      </w:hyperlink>
      <w:r>
        <w:t xml:space="preserve">)</w:t>
      </w:r>
      <w:r>
        <w:t xml:space="preserve"> </w:t>
      </w:r>
      <w:r>
        <w:t xml:space="preserve">recently highlighted a lack of institutional connectivity among actors with expertise in freshwater assessment as a hallmark of the status quo in which applied science is conducted. Moreover, existing indices may not be easily calculated by others beyond initial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products can be a point of frustration for managers given a lack of guidance for choosing among alternatives, particularly as to how different assessment products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democratize all aspects of the scientific method can help meet these needs and there is a unique opportunity in bioassessment to leverage openness to support public resources. Others have advocated more broadly for inclusion of open science principles in the ecological sciences</w:t>
      </w:r>
      <w:r>
        <w:t xml:space="preserve"> </w:t>
      </w:r>
      <w:r>
        <w:t xml:space="preserve">(Hampton et al.</w:t>
      </w:r>
      <w:r>
        <w:t xml:space="preserve"> </w:t>
      </w:r>
      <w:hyperlink w:anchor="ref-Hampton15">
        <w:r>
          <w:rPr>
            <w:rStyle w:val="Hyperlink"/>
          </w:rPr>
          <w:t xml:space="preserve">2015</w:t>
        </w:r>
      </w:hyperlink>
      <w:r>
        <w:t xml:space="preserve">,</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Open science has also influenced how research workflows are conceptualized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hydrology, Slater et al.</w:t>
      </w:r>
      <w:r>
        <w:t xml:space="preserve"> </w:t>
      </w:r>
      <w:hyperlink w:anchor="ref-Slater19">
        <w:r>
          <w:rPr>
            <w:rStyle w:val="Hyperlink"/>
          </w:rPr>
          <w:t xml:space="preserve">2019</w:t>
        </w:r>
      </w:hyperlink>
      <w:r>
        <w:t xml:space="preserve">, vegetation sciences, Collins</w:t>
      </w:r>
      <w:r>
        <w:t xml:space="preserve"> </w:t>
      </w:r>
      <w:hyperlink w:anchor="ref-Collins16">
        <w:r>
          <w:rPr>
            <w:rStyle w:val="Hyperlink"/>
          </w:rPr>
          <w:t xml:space="preserve">2016</w:t>
        </w:r>
      </w:hyperlink>
      <w:r>
        <w:t xml:space="preserve">)</w:t>
      </w:r>
      <w:r>
        <w:t xml:space="preserve">. Adopting an open science paradigm in bioassessment is particularly relevant compared with other fields given the explicit need to develop products that are accessible to the management community. Legal and ethical precedents in bioassessment may also necessitate open data sharing given that environmental monitoring programs are often established to protect and maintain publicly-owned natural resources.</w:t>
      </w:r>
    </w:p>
    <w:p>
      <w:pPr>
        <w:pStyle w:val="BodyText"/>
      </w:pPr>
      <w:r>
        <w:t xml:space="preserve">This review demonstrates tools and approaches for open science to empower the research and management community to embrace a new mode of thinking for bioassessment applications. These approaches are expected to benefit the bioassessment research community by augmenting existing workflows for developing assessment products and improving their ability to address environmental issues by bridging the gap between the scientific, management, and regulatory communities. As such, this paper is written primarily for the research team that develops bioassessment products, but we also write for the funders and users (e.g., regulators and managers) of these products to emphasize the value of investing in open science for the protection of public resources. Herein, open science</w:t>
      </w:r>
      <w:r>
        <w:t xml:space="preserve"> </w:t>
      </w:r>
      <w:r>
        <w:t xml:space="preserve">‘</w:t>
      </w:r>
      <w:r>
        <w:t xml:space="preserve">tools</w:t>
      </w:r>
      <w:r>
        <w:t xml:space="preserve">’</w:t>
      </w:r>
      <w:r>
        <w:t xml:space="preserve"> </w:t>
      </w:r>
      <w:r>
        <w:t xml:space="preserve">describe best practices and specific applications that use an open philosophy to support applied science.</w:t>
      </w:r>
    </w:p>
    <w:p>
      <w:pPr>
        <w:pStyle w:val="Heading1"/>
      </w:pPr>
      <w:bookmarkStart w:id="30" w:name="principles-of-open-science"/>
      <w:r>
        <w:t xml:space="preserve">Principles of open science</w:t>
      </w:r>
      <w:bookmarkEnd w:id="30"/>
    </w:p>
    <w:p>
      <w:pPr>
        <w:pStyle w:val="FirstParagraph"/>
      </w:pPr>
      <w:r>
        <w:t xml:space="preserve">Conventional modes of creating scientific products and more contemporary approaches that align with open science principles share the same goals. Both are motivated by principles of the scientific method that make the process of discovery transparent and repeatable. Where the conventional and open science approaches diverge is the extent to which technological advances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the uptake of research methods and findings by environmental managers. The research paper is conventionally viewed as a communication tool for scientists to report and share results among peers. Researchers access periodicals to stay informed of scientific advances and use the information to replicate and improve on methods for follow-up analysis. Although the primary literature continues to serve this critical role, this workflow is problematic when scientific products are needed to serve interests outside of the research community. For example, the paper as an endpoint for environmental managers fails to deliver products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products. Numerous studies have documented implementation failures as a result of siloing among research communities where the flow of information does not extend beyond institutional walls</w:t>
      </w:r>
      <w:r>
        <w:t xml:space="preserve"> </w:t>
      </w:r>
      <w:r>
        <w:t xml:space="preserve">(e.g., Mitchell</w:t>
      </w:r>
      <w:r>
        <w:t xml:space="preserve"> </w:t>
      </w:r>
      <w:hyperlink w:anchor="ref-Mitchell05">
        <w:r>
          <w:rPr>
            <w:rStyle w:val="Hyperlink"/>
          </w:rPr>
          <w:t xml:space="preserve">2005</w:t>
        </w:r>
      </w:hyperlink>
      <w:r>
        <w:t xml:space="preserve">, Liu et al.</w:t>
      </w:r>
      <w:r>
        <w:t xml:space="preserve"> </w:t>
      </w:r>
      <w:hyperlink w:anchor="ref-Liu08">
        <w:r>
          <w:rPr>
            <w:rStyle w:val="Hyperlink"/>
          </w:rPr>
          <w:t xml:space="preserve">2008</w:t>
        </w:r>
      </w:hyperlink>
      <w:r>
        <w:t xml:space="preserve">)</w:t>
      </w:r>
      <w:r>
        <w:t xml:space="preserve">. Information loss over time is another concern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 particularly as intimate knowledge of study details is lost as new projects are initiated or individuals leave institutions.</w:t>
      </w:r>
    </w:p>
    <w:p>
      <w:pPr>
        <w:pStyle w:val="Heading2"/>
      </w:pPr>
      <w:bookmarkStart w:id="31" w:name="Xbf8c292c1daddbce5945243d231da1b60c0d135"/>
      <w:r>
        <w:t xml:space="preserve">Open data as a component of the open science process</w:t>
      </w:r>
      <w:bookmarkEnd w:id="31"/>
    </w:p>
    <w:p>
      <w:pPr>
        <w:pStyle w:val="FirstParagraph"/>
      </w:pPr>
      <w:r>
        <w:t xml:space="preserve">Open data is a fundamental component of the broader open science process described in Figure</w:t>
      </w:r>
      <w:r>
        <w:t xml:space="preserve"> </w:t>
      </w:r>
      <w:r>
        <w:t xml:space="preserve">1</w:t>
      </w:r>
      <w:r>
        <w:t xml:space="preserve">. Under this mode of thinking, the research team becomes stewards of its data. For bioassessment data, government institutions may be the primary stewards of information that supports product development within a broader research team. Stewardship allows the data to be treated as a dynamic product with a traceable and replicable provenance (i.e., origin), rather than proprietary and serving only the internal needs of an immediate research goal. Metadata that describe the structure and history of a dataset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data to a federated repository (i.e., a decentralized database system for coordination and sharing), can facilitate communication for researchers and those for which the research was developed</w:t>
      </w:r>
      <w:r>
        <w:t xml:space="preserve"> </w:t>
      </w:r>
      <w:r>
        <w:t xml:space="preserve">(Bond-Lamberty et al.</w:t>
      </w:r>
      <w:r>
        <w:t xml:space="preserve"> </w:t>
      </w:r>
      <w:hyperlink w:anchor="ref-BondLamberty16">
        <w:r>
          <w:rPr>
            <w:rStyle w:val="Hyperlink"/>
          </w:rPr>
          <w:t xml:space="preserve">2016</w:t>
        </w:r>
      </w:hyperlink>
      <w:r>
        <w:t xml:space="preserve">)</w:t>
      </w:r>
      <w:r>
        <w:t xml:space="preserve">.</w:t>
      </w:r>
    </w:p>
    <w:p>
      <w:pPr>
        <w:pStyle w:val="BodyText"/>
      </w:pPr>
      <w:r>
        <w:t xml:space="preserve">Open data can benefit research by contributing to an increase in novel products created through collaboration. Collaborative publications have increased in the environmental sciences as research teams leverage open data to create synthesis products that allow novel insights from comparisons across multiple datasets. Quantitative meta-analyses and systematic reviews are increasingly used to extract information from the primary literature</w:t>
      </w:r>
      <w:r>
        <w:t xml:space="preserve"> </w:t>
      </w:r>
      <w:r>
        <w:t xml:space="preserve">(Carpenter et al.</w:t>
      </w:r>
      <w:r>
        <w:t xml:space="preserve"> </w:t>
      </w:r>
      <w:hyperlink w:anchor="ref-Carpenter09">
        <w:r>
          <w:rPr>
            <w:rStyle w:val="Hyperlink"/>
          </w:rPr>
          <w:t xml:space="preserve">2009</w:t>
        </w:r>
      </w:hyperlink>
      <w:r>
        <w:t xml:space="preserve">, 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to facilitate open process and the creation of open data are now easily accessible to environmental scientists</w:t>
      </w:r>
      <w:r>
        <w:t xml:space="preserve"> </w:t>
      </w:r>
      <w:r>
        <w:t xml:space="preserve">(Yenni et al.</w:t>
      </w:r>
      <w:r>
        <w:t xml:space="preserve"> </w:t>
      </w:r>
      <w:hyperlink w:anchor="ref-Yenni19">
        <w:r>
          <w:rPr>
            <w:rStyle w:val="Hyperlink"/>
          </w:rPr>
          <w:t xml:space="preserve">2019</w:t>
        </w:r>
      </w:hyperlink>
      <w:r>
        <w:t xml:space="preserve">)</w:t>
      </w:r>
      <w:r>
        <w:t xml:space="preserve">. Version control software (e.g, Git, GitHub), open source programming languages (e.g, R, Python), and integrated development environments (IDEs, e.g., RStudio, Spyder) can all be leveraged to dynamically create and share open data products that can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 </w:t>
      </w:r>
      <w:r>
        <w:t xml:space="preserve">and have proven useful in recent applications in the hydrologic sciences</w:t>
      </w:r>
      <w:r>
        <w:t xml:space="preserve"> </w:t>
      </w:r>
      <w:r>
        <w:t xml:space="preserve">(Idaszak et al.</w:t>
      </w:r>
      <w:r>
        <w:t xml:space="preserve"> </w:t>
      </w:r>
      <w:hyperlink w:anchor="ref-Idaszak17">
        <w:r>
          <w:rPr>
            <w:rStyle w:val="Hyperlink"/>
          </w:rPr>
          <w:t xml:space="preserve">2017</w:t>
        </w:r>
      </w:hyperlink>
      <w:r>
        <w:t xml:space="preserve">, Slater et al.</w:t>
      </w:r>
      <w:r>
        <w:t xml:space="preserve"> </w:t>
      </w:r>
      <w:hyperlink w:anchor="ref-Slater19">
        <w:r>
          <w:rPr>
            <w:rStyle w:val="Hyperlink"/>
          </w:rPr>
          <w:t xml:space="preserve">2019</w:t>
        </w:r>
      </w:hyperlink>
      <w:r>
        <w:t xml:space="preserve">)</w:t>
      </w:r>
      <w:r>
        <w:t xml:space="preserve">.</w:t>
      </w:r>
    </w:p>
    <w:p>
      <w:pPr>
        <w:pStyle w:val="BodyText"/>
      </w:pPr>
      <w:r>
        <w:t xml:space="preserve">Open access to data can also benefit management and regulatory communities. Openness can improve the value of data from monitoring programs by facilitating data discovery and synthesis, often through the adoption of a common metadata structure and integration of data within federated data networks (e.g.,</w:t>
      </w:r>
      <w:r>
        <w:t xml:space="preserve"> </w:t>
      </w:r>
      <w:hyperlink r:id="rId32">
        <w:r>
          <w:rPr>
            <w:rStyle w:val="Hyperlink"/>
          </w:rPr>
          <w:t xml:space="preserve">DataONE</w:t>
        </w:r>
      </w:hyperlink>
      <w:r>
        <w:t xml:space="preserve">,</w:t>
      </w:r>
      <w:r>
        <w:t xml:space="preserve"> </w:t>
      </w:r>
      <w:hyperlink r:id="rId33">
        <w:r>
          <w:rPr>
            <w:rStyle w:val="Hyperlink"/>
          </w:rPr>
          <w:t xml:space="preserve">iRODS</w:t>
        </w:r>
      </w:hyperlink>
      <w:r>
        <w:t xml:space="preserve">). Research institutions can also use open data maintained by management or regulatory communities to develop products that directly support the mission of the latter, e.g., assessment methods developed from long-term monitoring datasets that identify priority areas to focus management actions or fulfill regulatory obligations.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Similar concepts are used in</w:t>
      </w:r>
      <w:r>
        <w:t xml:space="preserve"> </w:t>
      </w:r>
      <w:r>
        <w:t xml:space="preserve">“</w:t>
      </w:r>
      <w:r>
        <w:t xml:space="preserve">blockchain</w:t>
      </w:r>
      <w:r>
        <w:t xml:space="preserve">”</w:t>
      </w:r>
      <w:r>
        <w:t xml:space="preserve"> </w:t>
      </w:r>
      <w:r>
        <w:t xml:space="preserve">technologies that allow public financial transactions in an open, distributed format, as for trading in cryptocurrencies</w:t>
      </w:r>
      <w:r>
        <w:t xml:space="preserve"> </w:t>
      </w:r>
      <w:r>
        <w:t xml:space="preserve">(Pilkington</w:t>
      </w:r>
      <w:r>
        <w:t xml:space="preserve"> </w:t>
      </w:r>
      <w:hyperlink w:anchor="ref-Pilkington16">
        <w:r>
          <w:rPr>
            <w:rStyle w:val="Hyperlink"/>
          </w:rPr>
          <w:t xml:space="preserve">2016</w:t>
        </w:r>
      </w:hyperlink>
      <w:r>
        <w:t xml:space="preserve">)</w:t>
      </w:r>
      <w:r>
        <w:t xml:space="preserve">. Increased trust could facilitate eventual adoption of proposed rules or regulations that are based on research products created from open data. More efficient and effective implementation of potential regulations may also be possible if supporting data are openly available.</w:t>
      </w:r>
    </w:p>
    <w:p>
      <w:pPr>
        <w:pStyle w:val="Heading1"/>
      </w:pPr>
      <w:bookmarkStart w:id="34" w:name="X82402b96a662d353687d6a528d81154bdf223ef"/>
      <w:r>
        <w:t xml:space="preserve">Applying open science principles to bioassessment</w:t>
      </w:r>
      <w:bookmarkEnd w:id="34"/>
    </w:p>
    <w:p>
      <w:pPr>
        <w:pStyle w:val="FirstParagraph"/>
      </w:pPr>
      <w:r>
        <w:t xml:space="preserve">Here we provide a detailed description of open science processes that the bioassessment community could leverage to create reproducible, transparent, and discoverable research products for environmental managers. The below examples require understanding the distinction between the general open science process in Figure</w:t>
      </w:r>
      <w:r>
        <w:t xml:space="preserve"> </w:t>
      </w:r>
      <w:r>
        <w:t xml:space="preserve">1</w:t>
      </w:r>
      <w:r>
        <w:t xml:space="preserve">, open data as an individual component of the open science process, and the technology-based tools that can be used to achieve these ends. Both the tools and open data are critical components that facilitate the broader process to achieve the principles outlined in Table</w:t>
      </w:r>
      <w:r>
        <w:t xml:space="preserve"> </w:t>
      </w:r>
      <w:r>
        <w:t xml:space="preserve">1</w:t>
      </w:r>
      <w:r>
        <w:t xml:space="preserve">.</w:t>
      </w:r>
      <w:r>
        <w:t xml:space="preserve"> </w:t>
      </w:r>
      <w:r>
        <w:t xml:space="preserve">“</w:t>
      </w:r>
      <w:r>
        <w:t xml:space="preserve">Openness</w:t>
      </w:r>
      <w:r>
        <w:t xml:space="preserve">”</w:t>
      </w:r>
      <w:r>
        <w:t xml:space="preserve"> </w:t>
      </w:r>
      <w:r>
        <w:t xml:space="preserve">of process, tools, and data exists on a continuum, and incremental improvements can transform an individual’s and research group’s practice over time. We encourage awareness that an open process adopts the open science tools that are appropriate for a research question and the creation of open data can be a fundamental component of the process. Acceptance by the research team and collaborators of the concepts described in Table</w:t>
      </w:r>
      <w:r>
        <w:t xml:space="preserve"> </w:t>
      </w:r>
      <w:r>
        <w:t xml:space="preserve">1</w:t>
      </w:r>
      <w:r>
        <w:t xml:space="preserve"> </w:t>
      </w:r>
      <w:r>
        <w:t xml:space="preserve">is critical to achieving openness.</w:t>
      </w:r>
    </w:p>
    <w:p>
      <w:pPr>
        <w:pStyle w:val="BodyText"/>
      </w:pPr>
      <w:r>
        <w:t xml:space="preserve">The overall process is shown in Figure</w:t>
      </w:r>
      <w:r>
        <w:t xml:space="preserve"> </w:t>
      </w:r>
      <w:r>
        <w:t xml:space="preserve">2</w:t>
      </w:r>
      <w:r>
        <w:t xml:space="preserve"> </w:t>
      </w:r>
      <w:r>
        <w:t xml:space="preserve">as an expansion of general concepts in Figure</w:t>
      </w:r>
      <w:r>
        <w:t xml:space="preserve"> </w:t>
      </w:r>
      <w:r>
        <w:t xml:space="preserve">1</w:t>
      </w:r>
      <w:r>
        <w:t xml:space="preserve">.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tasks of the research team. However, the open science process is distinguished by the flow of information to and from the research phase that can benefit the specific project and the science of bioassessment as a whole.</w:t>
      </w:r>
    </w:p>
    <w:p>
      <w:pPr>
        <w:pStyle w:val="Heading3"/>
      </w:pPr>
      <w:bookmarkStart w:id="35" w:name="developing-bioassessment-goals"/>
      <w:r>
        <w:t xml:space="preserve">Developing bioassessment goals</w:t>
      </w:r>
      <w:bookmarkEnd w:id="35"/>
    </w:p>
    <w:p>
      <w:pPr>
        <w:pStyle w:val="FirstParagraph"/>
      </w:pPr>
      <w:r>
        <w:t xml:space="preserve">In an open science process, the goals identified by the research team for developing a bioassessment product should occur through direct, two-way interaction with the management or regulatory institution that requires the product. Although such an approach has historically been used to develop bioassessment products, the interaction in an open science workflow differs in how information is exchanged. This exchange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w:t>
      </w:r>
      <w:r>
        <w:t xml:space="preserve"> </w:t>
      </w:r>
      <w:hyperlink r:id="rId36">
        <w:r>
          <w:rPr>
            <w:rStyle w:val="Hyperlink"/>
          </w:rPr>
          <w:t xml:space="preserve">Google documents</w:t>
        </w:r>
      </w:hyperlink>
      <w:r>
        <w:t xml:space="preserve">,</w:t>
      </w:r>
      <w:r>
        <w:t xml:space="preserve"> </w:t>
      </w:r>
      <w:hyperlink r:id="rId37">
        <w:r>
          <w:rPr>
            <w:rStyle w:val="Hyperlink"/>
          </w:rPr>
          <w:t xml:space="preserve">Slack</w:t>
        </w:r>
      </w:hyperlink>
      <w:r>
        <w:t xml:space="preserve"> </w:t>
      </w:r>
      <w:r>
        <w:t xml:space="preserve">discussion channels, and open lab notebooks can be instrumental for collaboration. More informal approaches, such as blogging and sharing ideas on social media, can expose new concepts to the broader community for guidance</w:t>
      </w:r>
      <w:r>
        <w:t xml:space="preserve"> </w:t>
      </w:r>
      <w:r>
        <w:t xml:space="preserve">(Woelfle et al.</w:t>
      </w:r>
      <w:r>
        <w:t xml:space="preserve"> </w:t>
      </w:r>
      <w:hyperlink w:anchor="ref-Woelfle11">
        <w:r>
          <w:rPr>
            <w:rStyle w:val="Hyperlink"/>
          </w:rPr>
          <w:t xml:space="preserve">2011</w:t>
        </w:r>
      </w:hyperlink>
      <w:r>
        <w:t xml:space="preserve">, Darling et al.</w:t>
      </w:r>
      <w:r>
        <w:t xml:space="preserve"> </w:t>
      </w:r>
      <w:hyperlink w:anchor="ref-Darling13">
        <w:r>
          <w:rPr>
            <w:rStyle w:val="Hyperlink"/>
          </w:rPr>
          <w:t xml:space="preserve">2013</w:t>
        </w:r>
      </w:hyperlink>
      <w:r>
        <w:t xml:space="preserve">)</w:t>
      </w:r>
      <w:r>
        <w:t xml:space="preserve">. Overall, the research team should use these tools to identify stakeholder needs while also considering the balance between the research goals and limitations of the data to meet these goals. This approach will ensure that the needs of the management and stakeholder communities will be consistent with the services provided by the research product.</w:t>
      </w:r>
    </w:p>
    <w:p>
      <w:pPr>
        <w:pStyle w:val="Heading3"/>
      </w:pPr>
      <w:bookmarkStart w:id="38" w:name="curating-bioassessment-data"/>
      <w:r>
        <w:t xml:space="preserve">Curating bioassessment data</w:t>
      </w:r>
      <w:bookmarkEnd w:id="38"/>
    </w:p>
    <w:p>
      <w:pPr>
        <w:pStyle w:val="FirstParagraph"/>
      </w:pPr>
      <w:r>
        <w:t xml:space="preserve">After project goals are established, the research team identifies requirements and sources of data that need to be synthesized to meet the research needs. Bioassessment data, or more generally, biological data obtained from field sampling have a unique set of challenges that require added vigilance in data stewardship</w:t>
      </w:r>
      <w:r>
        <w:t xml:space="preserve"> </w:t>
      </w:r>
      <w:r>
        <w:t xml:space="preserve">(Cao and Hawkins</w:t>
      </w:r>
      <w:r>
        <w:t xml:space="preserve"> </w:t>
      </w:r>
      <w:hyperlink w:anchor="ref-Cao11">
        <w:r>
          <w:rPr>
            <w:rStyle w:val="Hyperlink"/>
          </w:rPr>
          <w:t xml:space="preserve">2011</w:t>
        </w:r>
      </w:hyperlink>
      <w:r>
        <w:t xml:space="preserve">)</w:t>
      </w:r>
      <w:r>
        <w:t xml:space="preserve">. Species identification requires a tradeoff between taxonomic specificity and cost</w:t>
      </w:r>
      <w:r>
        <w:t xml:space="preserve"> </w:t>
      </w:r>
      <w:r>
        <w:t xml:space="preserve">(Lenat and Resh</w:t>
      </w:r>
      <w:r>
        <w:t xml:space="preserve"> </w:t>
      </w:r>
      <w:hyperlink w:anchor="ref-Lenat01">
        <w:r>
          <w:rPr>
            <w:rStyle w:val="Hyperlink"/>
          </w:rPr>
          <w:t xml:space="preserve">2001</w:t>
        </w:r>
      </w:hyperlink>
      <w:r>
        <w:t xml:space="preserve">, Chessman et al.</w:t>
      </w:r>
      <w:r>
        <w:t xml:space="preserve"> </w:t>
      </w:r>
      <w:hyperlink w:anchor="ref-Chessman07">
        <w:r>
          <w:rPr>
            <w:rStyle w:val="Hyperlink"/>
          </w:rPr>
          <w:t xml:space="preserve">2007</w:t>
        </w:r>
      </w:hyperlink>
      <w:r>
        <w:t xml:space="preserve">)</w:t>
      </w:r>
      <w:r>
        <w:t xml:space="preserve">. Species names also change regularly requiring updates to standard taxonomic effort (</w:t>
      </w:r>
      <w:hyperlink r:id="rId39">
        <w:r>
          <w:rPr>
            <w:rStyle w:val="Hyperlink"/>
          </w:rPr>
          <w:t xml:space="preserve">STE</w:t>
        </w:r>
      </w:hyperlink>
      <w:r>
        <w:t xml:space="preserve">) tables that are critical for many biological indices. Unidentified or ambiguous taxa must also be explicitly treated in analysis workflows</w:t>
      </w:r>
      <w:r>
        <w:t xml:space="preserve"> </w:t>
      </w:r>
      <w:r>
        <w:t xml:space="preserve">(Cuffney et al.</w:t>
      </w:r>
      <w:r>
        <w:t xml:space="preserve"> </w:t>
      </w:r>
      <w:hyperlink w:anchor="ref-Cuffney07">
        <w:r>
          <w:rPr>
            <w:rStyle w:val="Hyperlink"/>
          </w:rPr>
          <w:t xml:space="preserve">2007</w:t>
        </w:r>
      </w:hyperlink>
      <w:r>
        <w:t xml:space="preserve">)</w:t>
      </w:r>
      <w:r>
        <w:t xml:space="preserve">, e.g., are they treated as missing values or are they substituted with coarser taxonomic designations? Environmental data that describe physical or chemical conditions are also critical to support development of an assessment index, as well as understanding potential stressors or background condition that could influence biological condition.</w:t>
      </w:r>
    </w:p>
    <w:p>
      <w:pPr>
        <w:pStyle w:val="BodyText"/>
      </w:pPr>
      <w:r>
        <w:t xml:space="preserve">Open science tools can facilitate the curation of bioassessment data by addressing the above challenges. For example, a multimetric index may require taxonomic data collected at multiple sites by different institutions, whereas the output data may include summary scores, individual metrics, and any additional supporting information to assess the quality of the output. In an open science workflow, these data products can be documented using a standardized metadata language (e.g., Ecological Metadata Language Standard, or</w:t>
      </w:r>
      <w:r>
        <w:t xml:space="preserve"> </w:t>
      </w:r>
      <w:hyperlink r:id="rId40">
        <w:r>
          <w:rPr>
            <w:rStyle w:val="Hyperlink"/>
          </w:rPr>
          <w:t xml:space="preserve">EML</w:t>
        </w:r>
      </w:hyperlink>
      <w:r>
        <w:t xml:space="preserve">)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provide metadata to help others understand the context of the data</w:t>
      </w:r>
      <w:r>
        <w:t xml:space="preserve"> </w:t>
      </w:r>
      <w:r>
        <w:t xml:space="preserve">(e.g., Idaszak et al.</w:t>
      </w:r>
      <w:r>
        <w:t xml:space="preserve"> </w:t>
      </w:r>
      <w:hyperlink w:anchor="ref-Idaszak17">
        <w:r>
          <w:rPr>
            <w:rStyle w:val="Hyperlink"/>
          </w:rPr>
          <w:t xml:space="preserve">2017</w:t>
        </w:r>
      </w:hyperlink>
      <w:r>
        <w:t xml:space="preserve">)</w:t>
      </w:r>
      <w:r>
        <w:t xml:space="preserve">. Finally, the dataset can be assigned a unique digital object identifier (DOI, e.g., through</w:t>
      </w:r>
      <w:r>
        <w:t xml:space="preserve"> </w:t>
      </w:r>
      <w:hyperlink r:id="rId41">
        <w:r>
          <w:rPr>
            <w:rStyle w:val="Hyperlink"/>
          </w:rPr>
          <w:t xml:space="preserve">Zenodo</w:t>
        </w:r>
      </w:hyperlink>
      <w:r>
        <w:t xml:space="preserve">) that provides a permanent address and is also citable to allow researchers to track usage of a bioassessment data product.</w:t>
      </w:r>
    </w:p>
    <w:p>
      <w:pPr>
        <w:pStyle w:val="BodyText"/>
      </w:pPr>
      <w:r>
        <w:t xml:space="preserve">In an open paradigm,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application of a bioassessment product. The synthesized data product can be used by the research team to create interactive applications for stakeholders to share and explore the data and is also fully integrated into summary reports using software for generating dynamic documents</w:t>
      </w:r>
      <w:r>
        <w:t xml:space="preserve"> </w:t>
      </w:r>
      <w:r>
        <w:t xml:space="preserve">(e.g, using</w:t>
      </w:r>
      <w:r>
        <w:t xml:space="preserve"> </w:t>
      </w:r>
      <w:r>
        <w:rPr>
          <w:rStyle w:val="VerbatimChar"/>
        </w:rPr>
        <w:t xml:space="preserve">knitr</w:t>
      </w:r>
      <w:r>
        <w:t xml:space="preserve">, Xie</w:t>
      </w:r>
      <w:r>
        <w:t xml:space="preserve"> </w:t>
      </w:r>
      <w:hyperlink w:anchor="ref-Xie15">
        <w:r>
          <w:rPr>
            <w:rStyle w:val="Hyperlink"/>
          </w:rPr>
          <w:t xml:space="preserve">2015</w:t>
        </w:r>
      </w:hyperlink>
      <w:r>
        <w:t xml:space="preserve">, RMarkdown, Allaire et al.</w:t>
      </w:r>
      <w:r>
        <w:t xml:space="preserve"> </w:t>
      </w:r>
      <w:hyperlink w:anchor="ref-Allaire18">
        <w:r>
          <w:rPr>
            <w:rStyle w:val="Hyperlink"/>
          </w:rPr>
          <w:t xml:space="preserve">2018</w:t>
        </w:r>
      </w:hyperlink>
      <w:r>
        <w:t xml:space="preserve">, Jupyter notebooks, Kluyver et al.</w:t>
      </w:r>
      <w:r>
        <w:t xml:space="preserve"> </w:t>
      </w:r>
      <w:hyperlink w:anchor="ref-Kluyver16">
        <w:r>
          <w:rPr>
            <w:rStyle w:val="Hyperlink"/>
          </w:rPr>
          <w:t xml:space="preserve">2016</w:t>
        </w:r>
      </w:hyperlink>
      <w:r>
        <w:t xml:space="preserve">)</w:t>
      </w:r>
      <w:r>
        <w:t xml:space="preserve">. Continuous integration services can automate quality control and regularly update data products as new information is collected</w:t>
      </w:r>
      <w:r>
        <w:t xml:space="preserve"> </w:t>
      </w:r>
      <w:r>
        <w:t xml:space="preserve">(Yenni et al.</w:t>
      </w:r>
      <w:r>
        <w:t xml:space="preserve"> </w:t>
      </w:r>
      <w:hyperlink w:anchor="ref-Yenni19">
        <w:r>
          <w:rPr>
            <w:rStyle w:val="Hyperlink"/>
          </w:rPr>
          <w:t xml:space="preserve">2019</w:t>
        </w:r>
      </w:hyperlink>
      <w:r>
        <w:t xml:space="preserve">)</w:t>
      </w:r>
      <w:r>
        <w:t xml:space="preserve">. The data product also becomes available on an open data repository that is discoverable by other researchers and can contribute to alternative scientific advances beyond the immediate goals (e.g., Hydroshare for the hydrologic sciences,</w:t>
      </w:r>
      <w:r>
        <w:t xml:space="preserve"> </w:t>
      </w:r>
      <w:r>
        <w:t xml:space="preserve">Idaszak et al. (</w:t>
      </w:r>
      <w:hyperlink w:anchor="ref-Idaszak17">
        <w:r>
          <w:rPr>
            <w:rStyle w:val="Hyperlink"/>
          </w:rPr>
          <w:t xml:space="preserve">2017</w:t>
        </w:r>
      </w:hyperlink>
      <w:r>
        <w:t xml:space="preserve">)</w:t>
      </w:r>
      <w:r>
        <w:t xml:space="preserve">).</w:t>
      </w:r>
    </w:p>
    <w:p>
      <w:pPr>
        <w:pStyle w:val="Heading3"/>
      </w:pPr>
      <w:bookmarkStart w:id="42" w:name="using-r-for-bioassessment-application"/>
      <w:r>
        <w:t xml:space="preserve">Using R for bioassessment application</w:t>
      </w:r>
      <w:bookmarkEnd w:id="42"/>
    </w:p>
    <w:p>
      <w:pPr>
        <w:pStyle w:val="FirstParagraph"/>
      </w:pPr>
      <w:r>
        <w:t xml:space="preserve">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is one of the most commonly used analysis platforms in the environmental sciences</w:t>
      </w:r>
      <w:r>
        <w:t xml:space="preserve"> </w:t>
      </w:r>
      <w:r>
        <w:t xml:space="preserve">(Lai et al.</w:t>
      </w:r>
      <w:r>
        <w:t xml:space="preserve"> </w:t>
      </w:r>
      <w:hyperlink w:anchor="ref-Lai19">
        <w:r>
          <w:rPr>
            <w:rStyle w:val="Hyperlink"/>
          </w:rPr>
          <w:t xml:space="preserve">2019</w:t>
        </w:r>
      </w:hyperlink>
      <w:r>
        <w:t xml:space="preserve">, Slater et al.</w:t>
      </w:r>
      <w:r>
        <w:t xml:space="preserve"> </w:t>
      </w:r>
      <w:hyperlink w:anchor="ref-Slater19">
        <w:r>
          <w:rPr>
            <w:rStyle w:val="Hyperlink"/>
          </w:rPr>
          <w:t xml:space="preserve">2019</w:t>
        </w:r>
      </w:hyperlink>
      <w:r>
        <w:t xml:space="preserve">)</w:t>
      </w:r>
      <w:r>
        <w:t xml:space="preserve"> </w:t>
      </w:r>
      <w:r>
        <w:t xml:space="preserve">and many existing R packages have value for the bioassessment community (Table</w:t>
      </w:r>
      <w:r>
        <w:t xml:space="preserve"> </w:t>
      </w:r>
      <w:r>
        <w:t xml:space="preserve">2</w:t>
      </w:r>
      <w:r>
        <w:t xml:space="preserve">). For managing the day to day tasks of working with multiple datasets, the</w:t>
      </w:r>
      <w:r>
        <w:t xml:space="preserve"> </w:t>
      </w:r>
      <w:r>
        <w:rPr>
          <w:rStyle w:val="VerbatimChar"/>
        </w:rPr>
        <w:t xml:space="preserve">tidyverse</w:t>
      </w:r>
      <w:r>
        <w:t xml:space="preserve"> </w:t>
      </w:r>
      <w:r>
        <w:t xml:space="preserve">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These packages are developed around the concept of</w:t>
      </w:r>
      <w:r>
        <w:t xml:space="preserve"> </w:t>
      </w:r>
      <w:r>
        <w:t xml:space="preserve">“</w:t>
      </w:r>
      <w:r>
        <w:t xml:space="preserve">tidy</w:t>
      </w:r>
      <w:r>
        <w:t xml:space="preserve">”</w:t>
      </w:r>
      <w:r>
        <w:t xml:space="preserve"> </w:t>
      </w:r>
      <w:r>
        <w:t xml:space="preserve">data that provide a common and natural framework for working with data</w:t>
      </w:r>
      <w:r>
        <w:t xml:space="preserve"> </w:t>
      </w:r>
      <w:r>
        <w:t xml:space="preserve">(Wickham</w:t>
      </w:r>
      <w:r>
        <w:t xml:space="preserve"> </w:t>
      </w:r>
      <w:hyperlink w:anchor="ref-Wickham14c">
        <w:r>
          <w:rPr>
            <w:rStyle w:val="Hyperlink"/>
          </w:rPr>
          <w:t xml:space="preserve">2014</w:t>
        </w:r>
      </w:hyperlink>
      <w:r>
        <w:t xml:space="preserve">)</w:t>
      </w:r>
      <w:r>
        <w:t xml:space="preserve">. The</w:t>
      </w:r>
      <w:r>
        <w:t xml:space="preserve"> </w:t>
      </w:r>
      <w:r>
        <w:rPr>
          <w:rStyle w:val="VerbatimChar"/>
        </w:rPr>
        <w:t xml:space="preserve">tidyverse</w:t>
      </w:r>
      <w:r>
        <w:t xml:space="preserve"> </w:t>
      </w:r>
      <w:r>
        <w:t xml:space="preserve">also includes the powerful</w:t>
      </w:r>
      <w:r>
        <w:t xml:space="preserve"> </w:t>
      </w:r>
      <w:r>
        <w:rPr>
          <w:rStyle w:val="VerbatimChar"/>
        </w:rPr>
        <w:t xml:space="preserve">ggplot2</w:t>
      </w:r>
      <w:r>
        <w:t xml:space="preserve"> </w:t>
      </w:r>
      <w:r>
        <w:t xml:space="preserve">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instructions that can be built piecewise and is a departure from other graphics packages that represent a collection of special cases that limit the freedom of the analyst. In bioassessment,</w:t>
      </w:r>
      <w:r>
        <w:t xml:space="preserve"> </w:t>
      </w:r>
      <w:r>
        <w:rPr>
          <w:rStyle w:val="VerbatimChar"/>
        </w:rPr>
        <w:t xml:space="preserve">ggplot2</w:t>
      </w:r>
      <w:r>
        <w:t xml:space="preserve"> </w:t>
      </w:r>
      <w:r>
        <w:t xml:space="preserve">can be used both in an exploratory role during the development phase and also to create publication quality graphics. More importantly, this package provides the building blocks to create effective data visualizations that convey important components of a bioassessment product to managers and stakeholders.</w:t>
      </w:r>
    </w:p>
    <w:p>
      <w:pPr>
        <w:pStyle w:val="BodyText"/>
      </w:pPr>
      <w:r>
        <w:t xml:space="preserve">Bioassessment data are inherently spatial and recent package development has greatly improved the ability to analyze and map geospatial data in R. The</w:t>
      </w:r>
      <w:r>
        <w:t xml:space="preserve"> </w:t>
      </w:r>
      <w:r>
        <w:rPr>
          <w:rStyle w:val="VerbatimChar"/>
        </w:rPr>
        <w:t xml:space="preserve">raster</w:t>
      </w:r>
      <w:r>
        <w:t xml:space="preserve"> </w:t>
      </w:r>
      <w:r>
        <w:t xml:space="preserve">package can used to read/write, manipulate, analyze, and model grid-based spatial data</w:t>
      </w:r>
      <w:r>
        <w:t xml:space="preserve"> </w:t>
      </w:r>
      <w:r>
        <w:t xml:space="preserve">(Hijmans</w:t>
      </w:r>
      <w:r>
        <w:t xml:space="preserve"> </w:t>
      </w:r>
      <w:hyperlink w:anchor="ref-Hijmans19">
        <w:r>
          <w:rPr>
            <w:rStyle w:val="Hyperlink"/>
          </w:rPr>
          <w:t xml:space="preserve">2019</w:t>
        </w:r>
      </w:hyperlink>
      <w:r>
        <w:t xml:space="preserve">)</w:t>
      </w:r>
      <w:r>
        <w:t xml:space="preserve">, which are often common supporting layers for bioassessment (e.g., elevation or climate data). For vector data (i.e., points, lines, and polygons), the</w:t>
      </w:r>
      <w:r>
        <w:t xml:space="preserve"> </w:t>
      </w:r>
      <w:r>
        <w:rPr>
          <w:rStyle w:val="VerbatimChar"/>
        </w:rPr>
        <w:t xml:space="preserve">sf</w:t>
      </w:r>
      <w:r>
        <w:t xml:space="preserve"> </w:t>
      </w:r>
      <w:r>
        <w:t xml:space="preserve">package (</w:t>
      </w:r>
      <w:r>
        <w:t xml:space="preserve">“</w:t>
      </w:r>
      <w:r>
        <w:t xml:space="preserve">simple features</w:t>
      </w:r>
      <w:r>
        <w:t xml:space="preserve">”</w:t>
      </w:r>
      <w:r>
        <w:t xml:space="preserve">,</w:t>
      </w:r>
      <w:r>
        <w:t xml:space="preserve"> </w:t>
      </w:r>
      <w:r>
        <w:t xml:space="preserve">Pebesma (</w:t>
      </w:r>
      <w:hyperlink w:anchor="ref-Pebesma18">
        <w:r>
          <w:rPr>
            <w:rStyle w:val="Hyperlink"/>
          </w:rPr>
          <w:t xml:space="preserve">2018</w:t>
        </w:r>
      </w:hyperlink>
      <w:r>
        <w:t xml:space="preserve">)</w:t>
      </w:r>
      <w:r>
        <w:t xml:space="preserve">) was first released in 2016 and has quickly become the most highly-used approach for working with spatial information in R. The</w:t>
      </w:r>
      <w:r>
        <w:t xml:space="preserve"> </w:t>
      </w:r>
      <w:r>
        <w:rPr>
          <w:rStyle w:val="VerbatimChar"/>
        </w:rPr>
        <w:t xml:space="preserve">sf</w:t>
      </w:r>
      <w:r>
        <w:t xml:space="preserve"> </w:t>
      </w:r>
      <w:r>
        <w:t xml:space="preserve">package uses principles of data storage that parallel those from the</w:t>
      </w:r>
      <w:r>
        <w:t xml:space="preserve"> </w:t>
      </w:r>
      <w:r>
        <w:rPr>
          <w:rStyle w:val="VerbatimChar"/>
        </w:rPr>
        <w:t xml:space="preserve">tidyverse</w:t>
      </w:r>
      <w:r>
        <w:t xml:space="preserve"> </w:t>
      </w:r>
      <w:r>
        <w:t xml:space="preserve">by representing spatial objects in a tidy and tabular format. This facilitates analysis by presenting complex spatial structures in a readable format that can be integrated in workflows with existing packages, including other mapping packages</w:t>
      </w:r>
      <w:r>
        <w:t xml:space="preserve"> </w:t>
      </w:r>
      <w:r>
        <w:t xml:space="preserve">(e.g.,</w:t>
      </w:r>
      <w:r>
        <w:t xml:space="preserve"> </w:t>
      </w:r>
      <w:r>
        <w:rPr>
          <w:rStyle w:val="VerbatimChar"/>
        </w:rPr>
        <w:t xml:space="preserve">leaflet</w:t>
      </w:r>
      <w:r>
        <w:t xml:space="preserve">, Cheng et al.</w:t>
      </w:r>
      <w:r>
        <w:t xml:space="preserve"> </w:t>
      </w:r>
      <w:hyperlink w:anchor="ref-Cheng18">
        <w:r>
          <w:rPr>
            <w:rStyle w:val="Hyperlink"/>
          </w:rPr>
          <w:t xml:space="preserve">2018</w:t>
        </w:r>
      </w:hyperlink>
      <w:r>
        <w:t xml:space="preserve">, or</w:t>
      </w:r>
      <w:r>
        <w:t xml:space="preserve"> </w:t>
      </w:r>
      <w:r>
        <w:rPr>
          <w:rStyle w:val="VerbatimChar"/>
        </w:rPr>
        <w:t xml:space="preserve">mapview</w:t>
      </w:r>
      <w:r>
        <w:t xml:space="preserve">, Appelhans et al.</w:t>
      </w:r>
      <w:r>
        <w:t xml:space="preserve"> </w:t>
      </w:r>
      <w:hyperlink w:anchor="ref-Appelhans18">
        <w:r>
          <w:rPr>
            <w:rStyle w:val="Hyperlink"/>
          </w:rPr>
          <w:t xml:space="preserve">2018</w:t>
        </w:r>
      </w:hyperlink>
      <w:r>
        <w:t xml:space="preserve">)</w:t>
      </w:r>
      <w:r>
        <w:t xml:space="preserve">. This allows the research team to use a workflow that is focused in a single environment, rather than using separate software for statistical and geospatial analysis.</w:t>
      </w:r>
    </w:p>
    <w:p>
      <w:pPr>
        <w:pStyle w:val="BodyText"/>
      </w:pPr>
      <w:r>
        <w:t xml:space="preserve">Several existing R packages can be used to develop statistical models of bioassessment data that are a necessary component of many analyses. Random forest models have been used to develop predictive bioassessment indices that compare observed taxa to modeled expectations (i.e., O/E indices). The</w:t>
      </w:r>
      <w:r>
        <w:t xml:space="preserve"> </w:t>
      </w:r>
      <w:r>
        <w:rPr>
          <w:rStyle w:val="VerbatimChar"/>
        </w:rPr>
        <w:t xml:space="preserve">randomForest</w:t>
      </w:r>
      <w:r>
        <w:t xml:space="preserve"> </w:t>
      </w:r>
      <w:r>
        <w:t xml:space="preserve">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w:t>
      </w:r>
      <w:r>
        <w:t xml:space="preserve"> </w:t>
      </w:r>
      <w:r>
        <w:t xml:space="preserve">(Laan and Hawkins</w:t>
      </w:r>
      <w:r>
        <w:t xml:space="preserve"> </w:t>
      </w:r>
      <w:hyperlink w:anchor="ref-VanderLaa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Many other modeling packages are available in R that can support index development, such as exploratory analyses to evaluate biological response or identifying significant associations of organisms with stressor gradients. The</w:t>
      </w:r>
      <w:r>
        <w:t xml:space="preserve"> </w:t>
      </w:r>
      <w:r>
        <w:rPr>
          <w:rStyle w:val="VerbatimChar"/>
        </w:rPr>
        <w:t xml:space="preserve">nlme</w:t>
      </w:r>
      <w:r>
        <w:t xml:space="preserve"> </w:t>
      </w:r>
      <w:r>
        <w:t xml:space="preserve">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w:t>
      </w:r>
      <w:r>
        <w:t xml:space="preserve"> </w:t>
      </w:r>
      <w:r>
        <w:rPr>
          <w:rStyle w:val="VerbatimChar"/>
        </w:rPr>
        <w:t xml:space="preserve">nlme</w:t>
      </w:r>
      <w:r>
        <w:t xml:space="preserve"> </w:t>
      </w:r>
      <w:r>
        <w:t xml:space="preserve">package can develop models for nested sampling designs, such as repeat visits to sample sites or otherwise confounding variables that contribute information but are not unique observations</w:t>
      </w:r>
      <w:r>
        <w:t xml:space="preserve"> </w:t>
      </w:r>
      <w:r>
        <w:t xml:space="preserve">(Mazor et al.</w:t>
      </w:r>
      <w:r>
        <w:t xml:space="preserve"> </w:t>
      </w:r>
      <w:hyperlink w:anchor="ref-Mazor14">
        <w:r>
          <w:rPr>
            <w:rStyle w:val="Hyperlink"/>
          </w:rPr>
          <w:t xml:space="preserve">2014</w:t>
        </w:r>
      </w:hyperlink>
      <w:r>
        <w:t xml:space="preserve">)</w:t>
      </w:r>
      <w:r>
        <w:t xml:space="preserve">. The</w:t>
      </w:r>
      <w:r>
        <w:t xml:space="preserve"> </w:t>
      </w:r>
      <w:r>
        <w:rPr>
          <w:rStyle w:val="VerbatimChar"/>
        </w:rPr>
        <w:t xml:space="preserve">mgcv</w:t>
      </w:r>
      <w:r>
        <w:t xml:space="preserve"> </w:t>
      </w:r>
      <w:r>
        <w:t xml:space="preserve">package provides similar functionality as</w:t>
      </w:r>
      <w:r>
        <w:t xml:space="preserve"> </w:t>
      </w:r>
      <w:r>
        <w:rPr>
          <w:rStyle w:val="VerbatimChar"/>
        </w:rPr>
        <w:t xml:space="preserve">nlme</w:t>
      </w:r>
      <w:r>
        <w:t xml:space="preserve">, but uses an additive modeling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 The</w:t>
      </w:r>
      <w:r>
        <w:t xml:space="preserve"> </w:t>
      </w:r>
      <w:r>
        <w:rPr>
          <w:rStyle w:val="VerbatimChar"/>
        </w:rPr>
        <w:t xml:space="preserve">mgcv</w:t>
      </w:r>
      <w:r>
        <w:t xml:space="preserve"> </w:t>
      </w:r>
      <w:r>
        <w:t xml:space="preserve">package is often applied to model biological response to stressor gradients</w:t>
      </w:r>
      <w:r>
        <w:t xml:space="preserve"> </w:t>
      </w:r>
      <w:r>
        <w:t xml:space="preserve">(Yuan</w:t>
      </w:r>
      <w:r>
        <w:t xml:space="preserve"> </w:t>
      </w:r>
      <w:hyperlink w:anchor="ref-Yuan04">
        <w:r>
          <w:rPr>
            <w:rStyle w:val="Hyperlink"/>
          </w:rPr>
          <w:t xml:space="preserve">2004</w:t>
        </w:r>
      </w:hyperlink>
      <w:r>
        <w:t xml:space="preserve">, Taylor et al.</w:t>
      </w:r>
      <w:r>
        <w:t xml:space="preserve"> </w:t>
      </w:r>
      <w:hyperlink w:anchor="ref-Taylor14">
        <w:r>
          <w:rPr>
            <w:rStyle w:val="Hyperlink"/>
          </w:rPr>
          <w:t xml:space="preserve">2014</w:t>
        </w:r>
      </w:hyperlink>
      <w:r>
        <w:t xml:space="preserve">)</w:t>
      </w:r>
      <w:r>
        <w:t xml:space="preserve">.</w:t>
      </w:r>
    </w:p>
    <w:p>
      <w:pPr>
        <w:pStyle w:val="BodyText"/>
      </w:pPr>
      <w:r>
        <w:t xml:space="preserve">Other R packages have been developed specifically for bioassessment. For example, the</w:t>
      </w:r>
      <w:r>
        <w:t xml:space="preserve"> </w:t>
      </w:r>
      <w:r>
        <w:rPr>
          <w:rStyle w:val="VerbatimChar"/>
        </w:rPr>
        <w:t xml:space="preserve">TITAN2</w:t>
      </w:r>
      <w:r>
        <w:t xml:space="preserve"> </w:t>
      </w:r>
      <w:r>
        <w:t xml:space="preserve">package can be used to develop quantitative evidence of taxon-specific changes in abundance and occurrence across environmental gradients</w:t>
      </w:r>
      <w:r>
        <w:t xml:space="preserve"> </w:t>
      </w:r>
      <w:r>
        <w:t xml:space="preserve">(Baker et al.</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or establishing numeric criteria</w:t>
      </w:r>
      <w:r>
        <w:t xml:space="preserve"> </w:t>
      </w:r>
      <w:r>
        <w:t xml:space="preserve">(Taylor et al.</w:t>
      </w:r>
      <w:r>
        <w:t xml:space="preserve"> </w:t>
      </w:r>
      <w:hyperlink w:anchor="ref-Taylor18">
        <w:r>
          <w:rPr>
            <w:rStyle w:val="Hyperlink"/>
          </w:rPr>
          <w:t xml:space="preserve">2018</w:t>
        </w:r>
      </w:hyperlink>
      <w:r>
        <w:t xml:space="preserve">)</w:t>
      </w:r>
      <w:r>
        <w:t xml:space="preserve">. The results can be also be used post hoc to evaluate potential response of a biological index with changing environmental conditions, such as proposed management actions for rehabilitation</w:t>
      </w:r>
      <w:r>
        <w:t xml:space="preserve"> </w:t>
      </w:r>
      <w:r>
        <w:t xml:space="preserve">(King et al.</w:t>
      </w:r>
      <w:r>
        <w:t xml:space="preserve"> </w:t>
      </w:r>
      <w:hyperlink w:anchor="ref-King11">
        <w:r>
          <w:rPr>
            <w:rStyle w:val="Hyperlink"/>
          </w:rPr>
          <w:t xml:space="preserve">2011</w:t>
        </w:r>
      </w:hyperlink>
      <w:r>
        <w:t xml:space="preserve">)</w:t>
      </w:r>
      <w:r>
        <w:t xml:space="preserve">. Alternatively, the</w:t>
      </w:r>
      <w:r>
        <w:t xml:space="preserve"> </w:t>
      </w:r>
      <w:r>
        <w:rPr>
          <w:rStyle w:val="VerbatimChar"/>
        </w:rPr>
        <w:t xml:space="preserve">indicspecies</w:t>
      </w:r>
      <w:r>
        <w:t xml:space="preserve"> </w:t>
      </w:r>
      <w:r>
        <w:t xml:space="preserve">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that occur at particular sites if continuous environmental data are unavailable, such as those that are representative of reference conditions</w:t>
      </w:r>
      <w:r>
        <w:t xml:space="preserve"> </w:t>
      </w:r>
      <w:r>
        <w:t xml:space="preserve">(Bried et al.</w:t>
      </w:r>
      <w:r>
        <w:t xml:space="preserve"> </w:t>
      </w:r>
      <w:hyperlink w:anchor="ref-Bried14">
        <w:r>
          <w:rPr>
            <w:rStyle w:val="Hyperlink"/>
          </w:rPr>
          <w:t xml:space="preserve">2014</w:t>
        </w:r>
      </w:hyperlink>
      <w:r>
        <w:t xml:space="preserve">)</w:t>
      </w:r>
      <w:r>
        <w:t xml:space="preserve">. Finally, the</w:t>
      </w:r>
      <w:r>
        <w:t xml:space="preserve"> </w:t>
      </w:r>
      <w:r>
        <w:rPr>
          <w:rStyle w:val="VerbatimChar"/>
        </w:rPr>
        <w:t xml:space="preserve">vegan</w:t>
      </w:r>
      <w:r>
        <w:t xml:space="preserve"> </w:t>
      </w:r>
      <w:r>
        <w:t xml:space="preserve">package has been a staple among community ecologists for multivariate analyses in R, such as clustering and ordination</w:t>
      </w:r>
      <w:r>
        <w:t xml:space="preserve"> </w:t>
      </w:r>
      <w:r>
        <w:t xml:space="preserve">(Oksanen et al.</w:t>
      </w:r>
      <w:r>
        <w:t xml:space="preserve"> </w:t>
      </w:r>
      <w:hyperlink w:anchor="ref-Oksanen18">
        <w:r>
          <w:rPr>
            <w:rStyle w:val="Hyperlink"/>
          </w:rPr>
          <w:t xml:space="preserve">2018</w:t>
        </w:r>
      </w:hyperlink>
      <w:r>
        <w:t xml:space="preserve">)</w:t>
      </w:r>
      <w:r>
        <w:t xml:space="preserve">.</w:t>
      </w:r>
    </w:p>
    <w:p>
      <w:pPr>
        <w:pStyle w:val="BodyText"/>
      </w:pPr>
      <w:r>
        <w:t xml:space="preserve">Although the R network includes over 10000 user contributed packages, only a handful of these packages are specific to bioassessment. Community practices have allowed R to reach new audiences where new packages build on the work of others and are transportable between users and operating systems, rather than all researchers reinventing the wheel through duplicated effort. Formalized communities, such as</w:t>
      </w:r>
      <w:r>
        <w:t xml:space="preserve"> </w:t>
      </w:r>
      <w:hyperlink r:id="rId43">
        <w:r>
          <w:rPr>
            <w:rStyle w:val="Hyperlink"/>
          </w:rPr>
          <w:t xml:space="preserve">rOpenSci</w:t>
        </w:r>
      </w:hyperlink>
      <w:r>
        <w:t xml:space="preserve">, encourage standardization and review of contributed packages within the ecological sciences to make scientific data retrieval reproducible. Several tools have also been developed and published in the last five years that greatly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et al.</w:t>
      </w:r>
      <w:r>
        <w:t xml:space="preserve"> </w:t>
      </w:r>
      <w:hyperlink w:anchor="ref-Wickham18">
        <w:r>
          <w:rPr>
            <w:rStyle w:val="Hyperlink"/>
          </w:rPr>
          <w:t xml:space="preserve">2018</w:t>
        </w:r>
      </w:hyperlink>
      <w:r>
        <w:t xml:space="preserve">)</w:t>
      </w:r>
      <w:r>
        <w:t xml:space="preserve">. The advantages of creating and sharing R packages that are specific to bioassessment applications are important for several reasons. First, an R package compartmentalizes technical instructions developed during the research phase that can be executed by anyone with access to the software. This allows the technical elements required for the execution of a bioassessment product to be included,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for different package functions.</w:t>
      </w:r>
    </w:p>
    <w:p>
      <w:pPr>
        <w:pStyle w:val="BodyText"/>
      </w:pPr>
      <w:r>
        <w:t xml:space="preserve">Finally, R can be used to create interactive applications that deliver bioassessment products to stakeholders and managers in entirely novel contexts. In particular, the</w:t>
      </w:r>
      <w:r>
        <w:t xml:space="preserve"> </w:t>
      </w:r>
      <w:r>
        <w:rPr>
          <w:rStyle w:val="VerbatimChar"/>
        </w:rPr>
        <w:t xml:space="preserve">shiny</w:t>
      </w:r>
      <w:r>
        <w:t xml:space="preserve"> </w:t>
      </w:r>
      <w:r>
        <w:t xml:space="preserve">package was first released for R in 2012 and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w:t>
      </w:r>
      <w:r>
        <w:t xml:space="preserve"> </w:t>
      </w:r>
      <w:r>
        <w:rPr>
          <w:rStyle w:val="VerbatimChar"/>
        </w:rPr>
        <w:t xml:space="preserve">shiny</w:t>
      </w:r>
      <w:r>
        <w:t xml:space="preserve"> </w:t>
      </w:r>
      <w:r>
        <w:t xml:space="preserve">application is an interactive user interface that is developed with R code, but is a standalone product that can be used without any programming experience. These applications are deployed online and can extend the reach of bioassessment products to those that require the information for decision-making but otherwise do not have the time or resources to learn R. Applications built in</w:t>
      </w:r>
      <w:r>
        <w:t xml:space="preserve"> </w:t>
      </w:r>
      <w:r>
        <w:rPr>
          <w:rStyle w:val="VerbatimChar"/>
        </w:rPr>
        <w:t xml:space="preserve">shiny</w:t>
      </w:r>
      <w:r>
        <w:t xml:space="preserve"> </w:t>
      </w:r>
      <w:r>
        <w:t xml:space="preserve">can also be easily linked to other R packages. For example, a</w:t>
      </w:r>
      <w:r>
        <w:t xml:space="preserve"> </w:t>
      </w:r>
      <w:r>
        <w:rPr>
          <w:rStyle w:val="VerbatimChar"/>
        </w:rPr>
        <w:t xml:space="preserve">shiny</w:t>
      </w:r>
      <w:r>
        <w:t xml:space="preserve"> </w:t>
      </w:r>
      <w:r>
        <w:t xml:space="preserve">website could be created to allow users to upload raw data and estimate and report bioassessment scores using an R package developed externally. This can extend the accessibility of a bioassessment product while maintaining the technical integrity of the original tool. Moreover,</w:t>
      </w:r>
      <w:r>
        <w:t xml:space="preserve"> </w:t>
      </w:r>
      <w:r>
        <w:rPr>
          <w:rStyle w:val="VerbatimChar"/>
        </w:rPr>
        <w:t xml:space="preserve">shiny</w:t>
      </w:r>
      <w:r>
        <w:t xml:space="preserve"> </w:t>
      </w:r>
      <w:r>
        <w:t xml:space="preserve">applications are completely customizable and can be tailored by the developer to the specific needs of any user. This distinction separates</w:t>
      </w:r>
      <w:r>
        <w:t xml:space="preserve"> </w:t>
      </w:r>
      <w:r>
        <w:rPr>
          <w:rStyle w:val="VerbatimChar"/>
        </w:rPr>
        <w:t xml:space="preserve">shiny</w:t>
      </w:r>
      <w:r>
        <w:t xml:space="preserve"> </w:t>
      </w:r>
      <w:r>
        <w:t xml:space="preserve">from other web-based analysis platforms.</w:t>
      </w:r>
    </w:p>
    <w:p>
      <w:pPr>
        <w:pStyle w:val="Heading1"/>
      </w:pPr>
      <w:bookmarkStart w:id="44" w:name="X397973545fdf2dcf48aebc59a90e0d17c54c534"/>
      <w:r>
        <w:t xml:space="preserve">Open science in practice: The SCAPE project</w:t>
      </w:r>
      <w:bookmarkEnd w:id="44"/>
    </w:p>
    <w:p>
      <w:pPr>
        <w:pStyle w:val="FirstParagraph"/>
      </w:pPr>
      <w:r>
        <w:t xml:space="preserve">Although bioassessment products have been sufficiently developed in California (USA),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Mazor et al.</w:t>
      </w:r>
      <w:r>
        <w:t xml:space="preserve"> </w:t>
      </w:r>
      <w:hyperlink w:anchor="ref-Mazor16">
        <w:r>
          <w:rPr>
            <w:rStyle w:val="Hyperlink"/>
          </w:rPr>
          <w:t xml:space="preserve">2016</w:t>
        </w:r>
      </w:hyperlink>
      <w:r>
        <w:t xml:space="preserve">, Ode et al.</w:t>
      </w:r>
      <w:r>
        <w:t xml:space="preserve"> </w:t>
      </w:r>
      <w:hyperlink w:anchor="ref-Ode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et al.</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products. However, these products are not used at a statewide scale to inform decisions and past efforts for stream management have only used a fraction of available products. A synthesis of condition assessments is needed to effectively implement bioassessment products in California and data must be presented in a context that is relevant to the needs of decision makers.</w:t>
      </w:r>
    </w:p>
    <w:p>
      <w:pPr>
        <w:pStyle w:val="BodyText"/>
      </w:pPr>
      <w:r>
        <w:t xml:space="preserve">Recent regulatory initiatives in California have established a foundation for openness that could greatly improve the application of bioassessment products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45">
        <w:r>
          <w:rPr>
            <w:rStyle w:val="Hyperlink"/>
          </w:rPr>
          <w:t xml:space="preserve">AB 1755, Dodd, 2015-2016</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46">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 These recent initiatives in California have similarly been observed at the national level. For example, the</w:t>
      </w:r>
      <w:r>
        <w:t xml:space="preserve"> </w:t>
      </w:r>
      <w:hyperlink r:id="rId47">
        <w:r>
          <w:rPr>
            <w:rStyle w:val="Hyperlink"/>
          </w:rPr>
          <w:t xml:space="preserve">Data Coalition</w:t>
        </w:r>
      </w:hyperlink>
      <w:r>
        <w:t xml:space="preserve"> </w:t>
      </w:r>
      <w:r>
        <w:t xml:space="preserve">is an advocacy group that operates on behalf of the private and public sector for the publication of government data in a standardized and open format. The</w:t>
      </w:r>
      <w:r>
        <w:t xml:space="preserve"> </w:t>
      </w:r>
      <w:hyperlink r:id="rId48">
        <w:r>
          <w:rPr>
            <w:rStyle w:val="Hyperlink"/>
          </w:rPr>
          <w:t xml:space="preserve">Internet of Water</w:t>
        </w:r>
      </w:hyperlink>
      <w:r>
        <w:t xml:space="preserve"> </w:t>
      </w:r>
      <w:r>
        <w:t xml:space="preserve">also operates at the national-level by focusing on strengthening connections between data producers and users through centralized data hubs and data standards.</w:t>
      </w:r>
    </w:p>
    <w:p>
      <w:pPr>
        <w:pStyle w:val="BodyText"/>
      </w:pPr>
      <w:r>
        <w:t xml:space="preserve">Open science tools have recently been used in California to address bioassessment implementation challenges in developed landscapes. The Stream Classification and Priority Explorer, or SCAPE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 Beck et al.</w:t>
      </w:r>
      <w:r>
        <w:t xml:space="preserve"> </w:t>
      </w:r>
      <w:hyperlink w:anchor="ref-Beck19b">
        <w:r>
          <w:rPr>
            <w:rStyle w:val="Hyperlink"/>
          </w:rPr>
          <w:t xml:space="preserve">2019</w:t>
        </w:r>
      </w:hyperlink>
      <w:r>
        <w:t xml:space="preserve">)</w:t>
      </w:r>
      <w:r>
        <w:t xml:space="preserve">, was developed using an open science framework to help identify reasonable management goals for wadeable streams using existing bioassessment and watershed data. The SCAPE tool represents both a modeling approach to help prioritize management goals (Figure</w:t>
      </w:r>
      <w:r>
        <w:t xml:space="preserve"> </w:t>
      </w:r>
      <w:r>
        <w:t xml:space="preserve">3</w:t>
      </w:r>
      <w:r>
        <w:t xml:space="preserve">) and a set of open science products for direct application to environmental managers. The modeling component addresses a practical problem of achieving reference conditions in developed landscapes, where channel modification is common. Using the National Hydrography Dataset</w:t>
      </w:r>
      <w:r>
        <w:t xml:space="preserve"> </w:t>
      </w:r>
      <w:r>
        <w:t xml:space="preserve">(NHD-Plus; McKay et al.</w:t>
      </w:r>
      <w:r>
        <w:t xml:space="preserve"> </w:t>
      </w:r>
      <w:hyperlink w:anchor="ref-McKay12">
        <w:r>
          <w:rPr>
            <w:rStyle w:val="Hyperlink"/>
          </w:rPr>
          <w:t xml:space="preserve">2012</w:t>
        </w:r>
      </w:hyperlink>
      <w:r>
        <w:t xml:space="preserve">)</w:t>
      </w:r>
      <w:r>
        <w:t xml:space="preserve"> </w:t>
      </w:r>
      <w:r>
        <w:t xml:space="preserve">and watershed predictors</w:t>
      </w:r>
      <w:r>
        <w:t xml:space="preserve"> </w:t>
      </w:r>
      <w:r>
        <w:t xml:space="preserve">(StreamCat; Hill et al.</w:t>
      </w:r>
      <w:r>
        <w:t xml:space="preserve"> </w:t>
      </w:r>
      <w:hyperlink w:anchor="ref-Hill16">
        <w:r>
          <w:rPr>
            <w:rStyle w:val="Hyperlink"/>
          </w:rPr>
          <w:t xml:space="preserve">2016</w:t>
        </w:r>
      </w:hyperlink>
      <w:r>
        <w:t xml:space="preserve">)</w:t>
      </w:r>
      <w:r>
        <w:t xml:space="preserve">, the model classifies stream segments as biologically</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Open science tools were critically important for translating and delivering SCAPE products to decision-makers. Local stakeholder engagement to identify research goals guided the technical development process of SCAPE. All analyses, including model development and validation, were conducted using R. A version control system (Git) and online hosting (</w:t>
      </w:r>
      <w:hyperlink r:id="rId49">
        <w:r>
          <w:rPr>
            <w:rStyle w:val="Hyperlink"/>
          </w:rPr>
          <w:t xml:space="preserve">GitHub</w:t>
        </w:r>
      </w:hyperlink>
      <w:r>
        <w:t xml:space="preserve">) also allowed full transparency of decisions that were made to create the SCAPE model. A permanent DOI was assigned through Zenodo to track downloads and portability of source code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w:t>
      </w:r>
      <w:r>
        <w:t xml:space="preserve">. Importantly, an online, interactive web page (</w:t>
      </w:r>
      <w:hyperlink r:id="rId50">
        <w:r>
          <w:rPr>
            <w:rStyle w:val="Hyperlink"/>
          </w:rPr>
          <w:t xml:space="preserve">https://sccwrp.shinyapps.io/SCAPE</w:t>
        </w:r>
      </w:hyperlink>
      <w:r>
        <w:t xml:space="preserve">) greatly increased the impact and relevance of SCAPE by improving stakeholder understanding through direct interaction with key decision points that influenced model output. A manuscript describing the technical components of the model was created using</w:t>
      </w:r>
      <w:r>
        <w:t xml:space="preserve"> </w:t>
      </w:r>
      <w:r>
        <w:rPr>
          <w:rStyle w:val="VerbatimChar"/>
        </w:rPr>
        <w:t xml:space="preserve">knitr</w:t>
      </w:r>
      <w:r>
        <w:t xml:space="preserve"> </w:t>
      </w:r>
      <w:r>
        <w:t xml:space="preserve">and</w:t>
      </w:r>
      <w:r>
        <w:t xml:space="preserve"> </w:t>
      </w:r>
      <w:r>
        <w:rPr>
          <w:rStyle w:val="VerbatimChar"/>
        </w:rPr>
        <w:t xml:space="preserve">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also minimized the potential of introducing errors into tables or figures by eliminating the need to copy results between different writing platforms. Finally, a geospatial data file from the model was also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b</w:t>
        </w:r>
      </w:hyperlink>
      <w:r>
        <w:t xml:space="preserve">)</w:t>
      </w:r>
      <w:r>
        <w:t xml:space="preserve">.</w:t>
      </w:r>
    </w:p>
    <w:p>
      <w:pPr>
        <w:pStyle w:val="Heading1"/>
      </w:pPr>
      <w:bookmarkStart w:id="51" w:name="limitations-and-opportunities"/>
      <w:r>
        <w:t xml:space="preserve">Limitations and opportunities</w:t>
      </w:r>
      <w:bookmarkEnd w:id="51"/>
    </w:p>
    <w:p>
      <w:pPr>
        <w:pStyle w:val="FirstParagraph"/>
      </w:pPr>
      <w:r>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w:t>
      </w:r>
      <w:r>
        <w:t xml:space="preserve"> </w:t>
      </w:r>
      <w:r>
        <w:t xml:space="preserve">(e.g., Idaszak et al.</w:t>
      </w:r>
      <w:r>
        <w:t xml:space="preserve"> </w:t>
      </w:r>
      <w:hyperlink w:anchor="ref-Idaszak17">
        <w:r>
          <w:rPr>
            <w:rStyle w:val="Hyperlink"/>
          </w:rPr>
          <w:t xml:space="preserve">2017</w:t>
        </w:r>
      </w:hyperlink>
      <w:r>
        <w:t xml:space="preserve">)</w:t>
      </w:r>
      <w:r>
        <w:t xml:space="preserve">.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and research teams that have never been exposed to the core concepts. Most importantly, education and training (e.g., through</w:t>
      </w:r>
      <w:r>
        <w:t xml:space="preserve"> </w:t>
      </w:r>
      <w:hyperlink r:id="rId52">
        <w:r>
          <w:rPr>
            <w:rStyle w:val="Hyperlink"/>
          </w:rPr>
          <w:t xml:space="preserve">The Carpentries</w:t>
        </w:r>
      </w:hyperlink>
      <w:r>
        <w:t xml:space="preserve">)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users realize the value of investing in learning a new skill.</w:t>
      </w:r>
    </w:p>
    <w:p>
      <w:pPr>
        <w:pStyle w:val="BodyText"/>
      </w:pPr>
      <w:r>
        <w:t xml:space="preserve">Advocates of open science also recognize the limitations of teaching in that not all audiences can be reached and not all materials are retained or even used after training. A strategy of empowering trainees to become trainers and teach others at their home institutions (e.g., train-the-trainer</w:t>
      </w:r>
      <w:r>
        <w:t xml:space="preserve"> </w:t>
      </w:r>
      <w:hyperlink r:id="rId53">
        <w:r>
          <w:rPr>
            <w:rStyle w:val="Hyperlink"/>
          </w:rPr>
          <w:t xml:space="preserve">workshops</w:t>
        </w:r>
      </w:hyperlink>
      <w:r>
        <w:t xml:space="preserve"> </w:t>
      </w:r>
      <w:r>
        <w:t xml:space="preserve">and</w:t>
      </w:r>
      <w:r>
        <w:t xml:space="preserve"> </w:t>
      </w:r>
      <w:hyperlink r:id="rId54">
        <w:r>
          <w:rPr>
            <w:rStyle w:val="Hyperlink"/>
          </w:rPr>
          <w:t xml:space="preserve">programs</w:t>
        </w:r>
      </w:hyperlink>
      <w:r>
        <w:t xml:space="preserve">) enables open science to reach more individuals, and benefits science more broadly as they develop technical and communication skills, and build local communities.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 These</w:t>
      </w:r>
      <w:r>
        <w:t xml:space="preserve"> </w:t>
      </w:r>
      <w:r>
        <w:t xml:space="preserve">“</w:t>
      </w:r>
      <w:r>
        <w:t xml:space="preserve">champions</w:t>
      </w:r>
      <w:r>
        <w:t xml:space="preserve">”</w:t>
      </w:r>
      <w:r>
        <w:t xml:space="preserve"> </w:t>
      </w:r>
      <w:r>
        <w:t xml:space="preserve">can be a voice of encouragement for others by demonstrating how new tools can be introduced and learned over time through shared experiences</w:t>
      </w:r>
      <w:r>
        <w:t xml:space="preserve"> </w:t>
      </w:r>
      <w:r>
        <w:t xml:space="preserve">(Lowndes et al.</w:t>
      </w:r>
      <w:r>
        <w:t xml:space="preserve"> </w:t>
      </w:r>
      <w:hyperlink w:anchor="ref-Lowndes17">
        <w:r>
          <w:rPr>
            <w:rStyle w:val="Hyperlink"/>
          </w:rPr>
          <w:t xml:space="preserve">2017</w:t>
        </w:r>
      </w:hyperlink>
      <w:r>
        <w:t xml:space="preserve">)</w:t>
      </w:r>
      <w:r>
        <w:t xml:space="preserve">. This also encourages the development of a community of practice that shares and learns together to navigate the collection of existing and developing open science tools</w:t>
      </w:r>
      <w:r>
        <w:t xml:space="preserve"> </w:t>
      </w:r>
      <w:r>
        <w:t xml:space="preserve">(Stevens et al.</w:t>
      </w:r>
      <w:r>
        <w:t xml:space="preserve"> </w:t>
      </w:r>
      <w:hyperlink w:anchor="ref-Stevens18">
        <w:r>
          <w:rPr>
            <w:rStyle w:val="Hyperlink"/>
          </w:rPr>
          <w:t xml:space="preserve">2018</w:t>
        </w:r>
      </w:hyperlink>
      <w:r>
        <w:t xml:space="preserve">)</w:t>
      </w:r>
      <w:r>
        <w:t xml:space="preserve">. Champions of open science should also be vocal proponents that spread awareness of the value of open science tools, particularly to those that make decisions on project resources. Department heads or administrative leaders may not be aware of the value of investing in open science, particularly if the consequences of not doing so are externalized in indirect costs that are not budgeted. A change in mindset may be needed where open science is viewed as a core tool that is critical to maintaining relevance of a research program in the future</w:t>
      </w:r>
      <w:r>
        <w:t xml:space="preserve"> </w:t>
      </w:r>
      <w:r>
        <w:t xml:space="preserve">(Hampton et al.</w:t>
      </w:r>
      <w:r>
        <w:t xml:space="preserve"> </w:t>
      </w:r>
      <w:hyperlink w:anchor="ref-Hampton17">
        <w:r>
          <w:rPr>
            <w:rStyle w:val="Hyperlink"/>
          </w:rPr>
          <w:t xml:space="preserve">2017</w:t>
        </w:r>
      </w:hyperlink>
      <w:r>
        <w:t xml:space="preserve">)</w:t>
      </w:r>
      <w:r>
        <w:t xml:space="preserve">.</w:t>
      </w:r>
    </w:p>
    <w:p>
      <w:pPr>
        <w:pStyle w:val="BodyText"/>
      </w:pPr>
      <w:r>
        <w:t xml:space="preserve">Many scientists feel they cannot prioritize learning new skills given existing demands on their time, particularly if the benefits of these approaches, such as the value for the research team of sharing their data, are not apparent or immediate. Short-term funding and even political cycles can disincentivize scientists from spending time on anything but contractually obligated deliverables, which as noted above, may not effectively apply science in decision-making. This is an acute concern for early career scientists that have higher demands on establishing reputation and credentials, where investments in open science may be seen as detracting from progress</w:t>
      </w:r>
      <w:r>
        <w:t xml:space="preserve"> </w:t>
      </w:r>
      <w:r>
        <w:t xml:space="preserve">(Allen and Mehler</w:t>
      </w:r>
      <w:r>
        <w:t xml:space="preserve"> </w:t>
      </w:r>
      <w:hyperlink w:anchor="ref-Allen19">
        <w:r>
          <w:rPr>
            <w:rStyle w:val="Hyperlink"/>
          </w:rPr>
          <w:t xml:space="preserve">2019</w:t>
        </w:r>
      </w:hyperlink>
      <w:r>
        <w:t xml:space="preserve">)</w:t>
      </w:r>
      <w:r>
        <w:t xml:space="preserve">. As an alternative, a practical solution is to actively encourage the investment in open science within the research team or lab, as opposed to placing the burden on the individual as an isolated researcher</w:t>
      </w:r>
      <w:r>
        <w:t xml:space="preserve"> </w:t>
      </w:r>
      <w:r>
        <w:t xml:space="preserve">(i.e., team science, Cheruvelil and Soranno</w:t>
      </w:r>
      <w:r>
        <w:t xml:space="preserve"> </w:t>
      </w:r>
      <w:hyperlink w:anchor="ref-Cheruvelil18">
        <w:r>
          <w:rPr>
            <w:rStyle w:val="Hyperlink"/>
          </w:rPr>
          <w:t xml:space="preserve">2018</w:t>
        </w:r>
      </w:hyperlink>
      <w:r>
        <w:t xml:space="preserve">)</w:t>
      </w:r>
      <w:r>
        <w:t xml:space="preserve">. Laboratory or department heads should allow and encourage research staff to invest time in learning new skills and exploring new ideas, even if this does not immediately benefit the latest project. Over time, small investments in developing new skills will have long-term payoffs, particularly if a growing skillset among the research team encourages networking and peer instruction</w:t>
      </w:r>
      <w:r>
        <w:t xml:space="preserve"> </w:t>
      </w:r>
      <w:r>
        <w:t xml:space="preserve">(Lowndes et al.</w:t>
      </w:r>
      <w:r>
        <w:t xml:space="preserve"> </w:t>
      </w:r>
      <w:hyperlink w:anchor="ref-Lowndes17">
        <w:r>
          <w:rPr>
            <w:rStyle w:val="Hyperlink"/>
          </w:rPr>
          <w:t xml:space="preserve">2017</w:t>
        </w:r>
      </w:hyperlink>
      <w:r>
        <w:t xml:space="preserve">, Allen and Mehler</w:t>
      </w:r>
      <w:r>
        <w:t xml:space="preserve"> </w:t>
      </w:r>
      <w:hyperlink w:anchor="ref-Allen19">
        <w:r>
          <w:rPr>
            <w:rStyle w:val="Hyperlink"/>
          </w:rPr>
          <w:t xml:space="preserve">2019</w:t>
        </w:r>
      </w:hyperlink>
      <w:r>
        <w:t xml:space="preserve">)</w:t>
      </w:r>
      <w:r>
        <w:t xml:space="preserve">. Developing an environment where open science tools are highly valued and encouraged may also increase job satisfaction and benefit recruitment and retention if researchers are allowed the space and time to develop skills beyond the current project.</w:t>
      </w:r>
    </w:p>
    <w:p>
      <w:pPr>
        <w:pStyle w:val="BodyText"/>
      </w:pPr>
      <w:r>
        <w:t xml:space="preserve">The scientific culture within a discipline or institution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w:t>
      </w:r>
      <w:r>
        <w:t xml:space="preserve"> </w:t>
      </w:r>
      <w:r>
        <w:t xml:space="preserve">(Zipper et al.</w:t>
      </w:r>
      <w:r>
        <w:t xml:space="preserve"> </w:t>
      </w:r>
      <w:hyperlink w:anchor="ref-Zipper19">
        <w:r>
          <w:rPr>
            <w:rStyle w:val="Hyperlink"/>
          </w:rPr>
          <w:t xml:space="preserve">2019</w:t>
        </w:r>
      </w:hyperlink>
      <w:r>
        <w:t xml:space="preserve">)</w:t>
      </w:r>
      <w:r>
        <w:t xml:space="preserve">.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 Allen and Mehler</w:t>
      </w:r>
      <w:r>
        <w:t xml:space="preserve"> </w:t>
      </w:r>
      <w:hyperlink w:anchor="ref-Allen19">
        <w:r>
          <w:rPr>
            <w:rStyle w:val="Hyperlink"/>
          </w:rPr>
          <w:t xml:space="preserve">2019</w:t>
        </w:r>
      </w:hyperlink>
      <w:r>
        <w:t xml:space="preserve">)</w:t>
      </w:r>
      <w:r>
        <w:t xml:space="preserve">, particularly where the developed products can have important regulatory implications.</w:t>
      </w:r>
    </w:p>
    <w:p>
      <w:pPr>
        <w:pStyle w:val="BodyText"/>
      </w:pPr>
      <w:r>
        <w:t xml:space="preserve">Feedback and criticism are fundamental and natural parts of the scientific process. Scientists receive feedback at many stages in the conventional scientific workflow (e.g., internal review, peer-review, presentations at conferences). Potentially new and challenging avenues for feedback are created in an open workflow. A concern is that openness can provide a platform for antagonistic or even hostile views, which could alter or degrade the scientific product</w:t>
      </w:r>
      <w:r>
        <w:t xml:space="preserve"> </w:t>
      </w:r>
      <w:r>
        <w:t xml:space="preserve">(Landman and Glantz</w:t>
      </w:r>
      <w:r>
        <w:t xml:space="preserve"> </w:t>
      </w:r>
      <w:hyperlink w:anchor="ref-Landman09">
        <w:r>
          <w:rPr>
            <w:rStyle w:val="Hyperlink"/>
          </w:rPr>
          <w:t xml:space="preserve">2009</w:t>
        </w:r>
      </w:hyperlink>
      <w:r>
        <w:t xml:space="preserve">, Lewandowsky and Bishop</w:t>
      </w:r>
      <w:r>
        <w:t xml:space="preserve"> </w:t>
      </w:r>
      <w:hyperlink w:anchor="ref-Lewandowsky16">
        <w:r>
          <w:rPr>
            <w:rStyle w:val="Hyperlink"/>
          </w:rPr>
          <w:t xml:space="preserve">2016</w:t>
        </w:r>
      </w:hyperlink>
      <w:r>
        <w:t xml:space="preserve">)</w:t>
      </w:r>
      <w:r>
        <w:t xml:space="preserve">. However, opportunities for addressing alternative viewpoints are critical to the open process of creating applied products, even if some voices are politically charged. This is especially true in bioassessment where finished products that could be adopted in regulation are often heavily scrutinized. It is in the interest of applied scientists to hear the concerns of all parties during the development phase. This is not to provide an avenue to erode the integrity or objectives of the science, but to enable full knowledge of the very real barriers to adoption that exist when science is applied in regulation. Openness that invites all voices to participate is a much more agreeable path to consensus than producing the science in isolation of those that it affects</w:t>
      </w:r>
      <w:r>
        <w:t xml:space="preserve"> </w:t>
      </w:r>
      <w:r>
        <w:t xml:space="preserve">(Pohjola and Tuomisto</w:t>
      </w:r>
      <w:r>
        <w:t xml:space="preserve"> </w:t>
      </w:r>
      <w:hyperlink w:anchor="ref-Pohjola11">
        <w:r>
          <w:rPr>
            <w:rStyle w:val="Hyperlink"/>
          </w:rPr>
          <w:t xml:space="preserve">2011</w:t>
        </w:r>
      </w:hyperlink>
      <w:r>
        <w:t xml:space="preserve">)</w:t>
      </w:r>
      <w:r>
        <w:t xml:space="preserve">. Ultimately, these products are developed to improve the environment as a public resource and the ideals promoted by an open science process directly align with these goals.</w:t>
      </w:r>
    </w:p>
    <w:p>
      <w:pPr>
        <w:pStyle w:val="BodyText"/>
      </w:pPr>
      <w:r>
        <w:t xml:space="preserve">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unintentionally hinder forward progress. Despite these reservations, many public institutions now advocate for increased openness because of the benefits that facilitate and engender public trust. Open data initiatives are now fairly common and represent a form of advocacy by public institutions for broader adoption of open science principles. Many national-level data products already exist that embrace openness to invest in the quality and availability of data (e.g., National Wata Quality Monitoring Council</w:t>
      </w:r>
      <w:r>
        <w:t xml:space="preserve"> </w:t>
      </w:r>
      <w:hyperlink r:id="rId55">
        <w:r>
          <w:rPr>
            <w:rStyle w:val="Hyperlink"/>
          </w:rPr>
          <w:t xml:space="preserve">initiatives</w:t>
        </w:r>
      </w:hyperlink>
      <w:r>
        <w:t xml:space="preserve">, US Geological Survey products through</w:t>
      </w:r>
      <w:r>
        <w:t xml:space="preserve"> </w:t>
      </w:r>
      <w:hyperlink r:id="rId56">
        <w:r>
          <w:rPr>
            <w:rStyle w:val="Hyperlink"/>
          </w:rPr>
          <w:t xml:space="preserve">NWIS</w:t>
        </w:r>
      </w:hyperlink>
      <w:r>
        <w:t xml:space="preserve"> </w:t>
      </w:r>
      <w:r>
        <w:t xml:space="preserve">and</w:t>
      </w:r>
      <w:r>
        <w:t xml:space="preserve"> </w:t>
      </w:r>
      <w:hyperlink r:id="rId57">
        <w:r>
          <w:rPr>
            <w:rStyle w:val="Hyperlink"/>
          </w:rPr>
          <w:t xml:space="preserve">BioData</w:t>
        </w:r>
      </w:hyperlink>
      <w:r>
        <w:t xml:space="preserve">, US Environmental Protection Agency through</w:t>
      </w:r>
      <w:r>
        <w:t xml:space="preserve"> </w:t>
      </w:r>
      <w:hyperlink r:id="rId58">
        <w:r>
          <w:rPr>
            <w:rStyle w:val="Hyperlink"/>
          </w:rPr>
          <w:t xml:space="preserve">STORET/WQX</w:t>
        </w:r>
      </w:hyperlink>
      <w:r>
        <w:t xml:space="preserve">). Although past efforts and recent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59" w:name="conclusions"/>
      <w:r>
        <w:t xml:space="preserve">Conclusions</w:t>
      </w:r>
      <w:bookmarkEnd w:id="59"/>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Heading1"/>
      </w:pPr>
      <w:bookmarkStart w:id="60" w:name="acknowledgments"/>
      <w:r>
        <w:t xml:space="preserve">Acknowledgments</w:t>
      </w:r>
      <w:bookmarkEnd w:id="60"/>
    </w:p>
    <w:p>
      <w:pPr>
        <w:pStyle w:val="FirstParagraph"/>
      </w:pPr>
      <w:r>
        <w:t xml:space="preserve">The authors acknowledge support from the San Gabriel River Regional Monitoring Program and the Sanitation Districts of Los Angeles County. We thank Eric Stein for reviewing an earlier draft of the manuscript. We thank Mike McManus for assistance with the conceptual diagrams.</w:t>
      </w:r>
    </w:p>
    <w:p>
      <w:pPr>
        <w:pStyle w:val="Heading1"/>
      </w:pPr>
      <w:bookmarkStart w:id="61" w:name="figures"/>
      <w:r>
        <w:t xml:space="preserve">Figures</w:t>
      </w:r>
      <w:bookmarkEnd w:id="61"/>
    </w:p>
    <w:p>
      <w:pPr>
        <w:pStyle w:val="CaptionedFigure"/>
      </w:pPr>
      <w:r>
        <w:drawing>
          <wp:inline>
            <wp:extent cx="5799382" cy="3246426"/>
            <wp:effectExtent b="0" l="0" r="0" t="0"/>
            <wp:docPr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62"/>
                    <a:stretch>
                      <a:fillRect/>
                    </a:stretch>
                  </pic:blipFill>
                  <pic:spPr bwMode="auto">
                    <a:xfrm>
                      <a:off x="0" y="0"/>
                      <a:ext cx="5799382" cy="3246426"/>
                    </a:xfrm>
                    <a:prstGeom prst="rect">
                      <a:avLst/>
                    </a:prstGeom>
                    <a:noFill/>
                    <a:ln w="9525">
                      <a:noFill/>
                      <a:headEnd/>
                      <a:tailEnd/>
                    </a:ln>
                  </pic:spPr>
                </pic:pic>
              </a:graphicData>
            </a:graphic>
          </wp:inline>
        </w:drawing>
      </w:r>
    </w:p>
    <w:p>
      <w:pPr>
        <w:pStyle w:val="ImageCaption"/>
      </w:pPr>
      <w:r>
        <w:t xml:space="preserve">Figure 1: A simplified workflow of the open science paradigm (adapted from</w:t>
      </w:r>
      <w:r>
        <w:t xml:space="preserve"> </w:t>
      </w:r>
      <w:r>
        <w:t xml:space="preserve">Hampton et al. (</w:t>
      </w:r>
      <w:hyperlink w:anchor="ref-Hampton15">
        <w:r>
          <w:rPr>
            <w:rStyle w:val="Hyperlink"/>
          </w:rPr>
          <w:t xml:space="preserve">2015</w:t>
        </w:r>
      </w:hyperlink>
      <w:r>
        <w:t xml:space="preserve">)</w:t>
      </w:r>
      <w:r>
        <w:t xml:space="preserve">).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w:t>
      </w:r>
    </w:p>
    <w:p>
      <w:pPr>
        <w:pStyle w:val="CaptionedFigure"/>
      </w:pPr>
      <w:r>
        <w:drawing>
          <wp:inline>
            <wp:extent cx="4688601" cy="3485766"/>
            <wp:effectExtent b="0" l="0" r="0" t="0"/>
            <wp:docPr descr="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open.png" id="0" name="Picture"/>
                    <pic:cNvPicPr>
                      <a:picLocks noChangeArrowheads="1" noChangeAspect="1"/>
                    </pic:cNvPicPr>
                  </pic:nvPicPr>
                  <pic:blipFill>
                    <a:blip r:embed="rId63"/>
                    <a:stretch>
                      <a:fillRect/>
                    </a:stretch>
                  </pic:blipFill>
                  <pic:spPr bwMode="auto">
                    <a:xfrm>
                      <a:off x="0" y="0"/>
                      <a:ext cx="4688601" cy="3485766"/>
                    </a:xfrm>
                    <a:prstGeom prst="rect">
                      <a:avLst/>
                    </a:prstGeom>
                    <a:noFill/>
                    <a:ln w="9525">
                      <a:noFill/>
                      <a:headEnd/>
                      <a:tailEnd/>
                    </a:ln>
                  </pic:spPr>
                </pic:pic>
              </a:graphicData>
            </a:graphic>
          </wp:inline>
        </w:drawing>
      </w:r>
    </w:p>
    <w:p>
      <w:pPr>
        <w:pStyle w:val="ImageCaption"/>
      </w:pPr>
      <w:r>
        <w:t xml:space="preserve">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CaptionedFigure"/>
      </w:pPr>
      <w:r>
        <w:drawing>
          <wp:inline>
            <wp:extent cx="5943600" cy="5619403"/>
            <wp:effectExtent b="0" l="0" r="0" t="0"/>
            <wp:docPr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itle="" id="1" name="Picture"/>
            <a:graphic>
              <a:graphicData uri="http://schemas.openxmlformats.org/drawingml/2006/picture">
                <pic:pic>
                  <pic:nvPicPr>
                    <pic:cNvPr descr="figs/scapex.png" id="0" name="Picture"/>
                    <pic:cNvPicPr>
                      <a:picLocks noChangeArrowheads="1" noChangeAspect="1"/>
                    </pic:cNvPicPr>
                  </pic:nvPicPr>
                  <pic:blipFill>
                    <a:blip r:embed="rId64"/>
                    <a:stretch>
                      <a:fillRect/>
                    </a:stretch>
                  </pic:blipFill>
                  <pic:spPr bwMode="auto">
                    <a:xfrm>
                      <a:off x="0" y="0"/>
                      <a:ext cx="5943600" cy="5619403"/>
                    </a:xfrm>
                    <a:prstGeom prst="rect">
                      <a:avLst/>
                    </a:prstGeom>
                    <a:noFill/>
                    <a:ln w="9525">
                      <a:noFill/>
                      <a:headEnd/>
                      <a:tailEnd/>
                    </a:ln>
                  </pic:spPr>
                </pic:pic>
              </a:graphicData>
            </a:graphic>
          </wp:inline>
        </w:drawing>
      </w:r>
    </w:p>
    <w:p>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w:t>
      </w:r>
    </w:p>
    <w:p>
      <w:pPr>
        <w:pStyle w:val="Heading1"/>
      </w:pPr>
      <w:bookmarkStart w:id="65" w:name="tables"/>
      <w:r>
        <w:t xml:space="preserve">Tables</w:t>
      </w:r>
      <w:bookmarkEnd w:id="65"/>
    </w:p>
    <w:p>
      <w:pPr>
        <w:pStyle w:val="TableCaption"/>
      </w:pPr>
      <w:r>
        <w:t xml:space="preserve">Table 1: Core definitions and principles of open science, from Open Knowledge International,</w:t>
      </w:r>
      <w:r>
        <w:t xml:space="preserve"> </w:t>
      </w:r>
      <w:hyperlink r:id="rId66">
        <w:r>
          <w:rPr>
            <w:rStyle w:val="Hyperlink"/>
          </w:rPr>
          <w:t xml:space="preserve">http://opendefinition.org/</w:t>
        </w:r>
      </w:hyperlink>
      <w:r>
        <w:t xml:space="preserve">, Creative Commons,</w:t>
      </w:r>
      <w:r>
        <w:t xml:space="preserve"> </w:t>
      </w:r>
      <w:hyperlink r:id="rId67">
        <w:r>
          <w:rPr>
            <w:rStyle w:val="Hyperlink"/>
          </w:rPr>
          <w:t xml:space="preserve">https://creativecommons.org/about/program-areas/open-science/</w:t>
        </w:r>
      </w:hyperlink>
      <w:r>
        <w:t xml:space="preserve">, D. Gezelter,</w:t>
      </w:r>
      <w:r>
        <w:t xml:space="preserve"> </w:t>
      </w:r>
      <w:hyperlink r:id="rId68">
        <w:r>
          <w:rPr>
            <w:rStyle w:val="Hyperlink"/>
          </w:rPr>
          <w:t xml:space="preserve">http://openscience.org/</w:t>
        </w:r>
      </w:hyperlink>
      <w:r>
        <w:t xml:space="preserve">, and</w:t>
      </w:r>
      <w:r>
        <w:t xml:space="preserve"> </w:t>
      </w:r>
      <w:r>
        <w:t xml:space="preserve">Powers and Hampton (</w:t>
      </w:r>
      <w:hyperlink w:anchor="ref-Powers19">
        <w:r>
          <w:rPr>
            <w:rStyle w:val="Hyperlink"/>
          </w:rPr>
          <w:t xml:space="preserve">2019</w:t>
        </w:r>
      </w:hyperlink>
      <w:r>
        <w:t xml:space="preserve">)</w:t>
      </w:r>
    </w:p>
    <w:tbl>
      <w:tblPr>
        <w:tblStyle w:val="Table"/>
        <w:tblW w:type="pct" w:w="0.0"/>
        <w:tblLook w:firstRow="1"/>
        <w:tblCaption w:val="Table 1: Core definitions and principles of open science, from Open Knowledge International, http://opendefinition.org/, Creative Commons, https://creativecommons.org/about/program-areas/open-science/, D. Gezelter, http://openscience.org/, and Powers and Hampton (2019)"/>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Practicing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Reproducible</w:t>
            </w:r>
          </w:p>
        </w:tc>
        <w:tc>
          <w:p>
            <w:pPr>
              <w:pStyle w:val="Compact"/>
              <w:jc w:val="left"/>
            </w:pPr>
            <w:r>
              <w:t xml:space="preserve">Producing equivalent outcomes from the same data set, or in the case of computational reproducibility, producing equivalent outcomes from the same data set using the same code and software as the original study</w:t>
            </w:r>
          </w:p>
        </w:tc>
      </w:tr>
      <w:tr>
        <w:tc>
          <w:p>
            <w:pPr>
              <w:pStyle w:val="Compact"/>
              <w:jc w:val="left"/>
            </w:pPr>
            <w:r>
              <w:t xml:space="preserve">Principle 1</w:t>
            </w:r>
          </w:p>
        </w:tc>
        <w:tc>
          <w:p>
            <w:pPr>
              <w:pStyle w:val="Compact"/>
              <w:jc w:val="left"/>
            </w:pPr>
            <w:r>
              <w:t xml:space="preserve">Transparency in experimental methods, observations,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The use of web-based tools to facilitate scientific collaboration and reproducibility</w:t>
            </w:r>
          </w:p>
        </w:tc>
      </w:tr>
    </w:tbl>
    <w:p>
      <w:pPr>
        <w:pStyle w:val="TableCaption"/>
      </w:pPr>
      <w:r>
        <w:t xml:space="preserve">Table 2: R packages that can be used in the development and application of bioassessment products.</w:t>
      </w:r>
    </w:p>
    <w:tbl>
      <w:tblPr>
        <w:tblStyle w:val="Table"/>
        <w:tblW w:type="pct" w:w="0.0"/>
        <w:tblLook w:firstRow="1"/>
        <w:tblCaption w:val="Table 2: R packages that can be used in the development and applic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rPr>
                <w:rStyle w:val="VerbatimChar"/>
              </w:rPr>
              <w:t xml:space="preserve">tidyverse</w:t>
            </w:r>
            <w:r>
              <w:t xml:space="preserve"> </w:t>
            </w:r>
            <w:r>
              <w:t xml:space="preserve">(Wickham 2017)</w:t>
            </w:r>
          </w:p>
        </w:tc>
        <w:tc>
          <w:p>
            <w:pPr>
              <w:pStyle w:val="Compact"/>
              <w:jc w:val="left"/>
            </w:pPr>
            <w:r>
              <w:t xml:space="preserve">A suite of packages to import, wrangle, explore, and plot data. Includes the popular</w:t>
            </w:r>
            <w:r>
              <w:t xml:space="preserve"> </w:t>
            </w:r>
            <w:r>
              <w:rPr>
                <w:rStyle w:val="VerbatimChar"/>
              </w:rPr>
              <w:t xml:space="preserve">ggplot2</w:t>
            </w:r>
            <w:r>
              <w:t xml:space="preserve"> </w:t>
            </w:r>
            <w:r>
              <w:t xml:space="preserve">and</w:t>
            </w:r>
            <w:r>
              <w:t xml:space="preserve"> </w:t>
            </w:r>
            <w:r>
              <w:rPr>
                <w:rStyle w:val="VerbatimChar"/>
              </w:rPr>
              <w:t xml:space="preserve">dplyr</w:t>
            </w:r>
            <w:r>
              <w:t xml:space="preserve"> </w:t>
            </w:r>
            <w:r>
              <w:t xml:space="preserve">packages.</w:t>
            </w:r>
          </w:p>
        </w:tc>
      </w:tr>
      <w:tr>
        <w:tc>
          <w:p>
            <w:pPr>
              <w:pStyle w:val="Compact"/>
              <w:jc w:val="left"/>
            </w:pPr>
            <w:r>
              <w:t xml:space="preserve">Mapping, geospatial</w:t>
            </w:r>
          </w:p>
        </w:tc>
        <w:tc>
          <w:p>
            <w:pPr>
              <w:pStyle w:val="Compact"/>
              <w:jc w:val="left"/>
            </w:pPr>
            <w:r>
              <w:rPr>
                <w:rStyle w:val="VerbatimChar"/>
              </w:rPr>
              <w:t xml:space="preserve">sf</w:t>
            </w:r>
            <w:r>
              <w:t xml:space="preserve"> </w:t>
            </w:r>
            <w:r>
              <w:t xml:space="preserve">(Pebesma 2018)</w:t>
            </w:r>
          </w:p>
        </w:tc>
        <w:tc>
          <w:p>
            <w:pPr>
              <w:pStyle w:val="Compact"/>
              <w:jc w:val="left"/>
            </w:pPr>
            <w:r>
              <w:t xml:space="preserve">A simple features architecture for working with vectorized spatial data, including common geospatial analysis functions</w:t>
            </w:r>
          </w:p>
        </w:tc>
      </w:tr>
      <w:tr>
        <w:tc>
          <w:p/>
        </w:tc>
        <w:tc>
          <w:p>
            <w:pPr>
              <w:pStyle w:val="Compact"/>
              <w:jc w:val="left"/>
            </w:pPr>
            <w:r>
              <w:rPr>
                <w:rStyle w:val="VerbatimChar"/>
              </w:rPr>
              <w:t xml:space="preserve">raster</w:t>
            </w:r>
            <w:r>
              <w:t xml:space="preserve"> </w:t>
            </w:r>
            <w:r>
              <w:t xml:space="preserve">(Hijmans 2019)</w:t>
            </w:r>
          </w:p>
        </w:tc>
        <w:tc>
          <w:p>
            <w:pPr>
              <w:pStyle w:val="Compact"/>
              <w:jc w:val="left"/>
            </w:pPr>
            <w:r>
              <w:t xml:space="preserve">Reading, writing, manipulating, analyzing, and modeling gridded spatial data</w:t>
            </w:r>
          </w:p>
        </w:tc>
      </w:tr>
      <w:tr>
        <w:tc>
          <w:p/>
        </w:tc>
        <w:tc>
          <w:p>
            <w:pPr>
              <w:pStyle w:val="Compact"/>
              <w:jc w:val="left"/>
            </w:pPr>
            <w:r>
              <w:rPr>
                <w:rStyle w:val="VerbatimChar"/>
              </w:rPr>
              <w:t xml:space="preserve">leaflet</w:t>
            </w:r>
            <w:r>
              <w:t xml:space="preserve"> </w:t>
            </w:r>
            <w:r>
              <w:t xml:space="preserve">(Cheng et al. 2018)</w:t>
            </w:r>
          </w:p>
        </w:tc>
        <w:tc>
          <w:p>
            <w:pPr>
              <w:pStyle w:val="Compact"/>
              <w:jc w:val="left"/>
            </w:pPr>
            <w:r>
              <w:t xml:space="preserve">Integration of R with the popular JavaScript</w:t>
            </w:r>
            <w:r>
              <w:t xml:space="preserve"> </w:t>
            </w:r>
            <w:r>
              <w:rPr>
                <w:rStyle w:val="VerbatimChar"/>
              </w:rPr>
              <w:t xml:space="preserve">leaflet</w:t>
            </w:r>
            <w:r>
              <w:t xml:space="preserve"> </w:t>
            </w:r>
            <w:r>
              <w:t xml:space="preserve">library for interactive maps</w:t>
            </w:r>
          </w:p>
        </w:tc>
      </w:tr>
      <w:tr>
        <w:tc>
          <w:p/>
        </w:tc>
        <w:tc>
          <w:p>
            <w:pPr>
              <w:pStyle w:val="Compact"/>
              <w:jc w:val="left"/>
            </w:pPr>
            <w:r>
              <w:rPr>
                <w:rStyle w:val="VerbatimChar"/>
              </w:rPr>
              <w:t xml:space="preserve">mapview</w:t>
            </w:r>
            <w:r>
              <w:t xml:space="preserve"> </w:t>
            </w:r>
            <w:r>
              <w:t xml:space="preserve">(Appelhans et al. 2018)</w:t>
            </w:r>
          </w:p>
        </w:tc>
        <w:tc>
          <w:p>
            <w:pPr>
              <w:pStyle w:val="Compact"/>
              <w:jc w:val="left"/>
            </w:pPr>
            <w:r>
              <w:t xml:space="preserve">Creates interactive maps to quickly examine and visually investigate spatial data, built off</w:t>
            </w:r>
            <w:r>
              <w:t xml:space="preserve"> </w:t>
            </w:r>
            <w:r>
              <w:rPr>
                <w:rStyle w:val="VerbatimChar"/>
              </w:rPr>
              <w:t xml:space="preserve">leaflet</w:t>
            </w:r>
            <w:r>
              <w:t xml:space="preserve"> </w:t>
            </w:r>
            <w:r>
              <w:t xml:space="preserve">and integrated with</w:t>
            </w:r>
            <w:r>
              <w:t xml:space="preserve"> </w:t>
            </w:r>
            <w:r>
              <w:rPr>
                <w:rStyle w:val="VerbatimChar"/>
              </w:rPr>
              <w:t xml:space="preserve">sf</w:t>
            </w:r>
          </w:p>
        </w:tc>
      </w:tr>
      <w:tr>
        <w:tc>
          <w:p>
            <w:pPr>
              <w:pStyle w:val="Compact"/>
              <w:jc w:val="left"/>
            </w:pPr>
            <w:r>
              <w:t xml:space="preserve">Statistical modeling</w:t>
            </w:r>
          </w:p>
        </w:tc>
        <w:tc>
          <w:p>
            <w:pPr>
              <w:pStyle w:val="Compact"/>
              <w:jc w:val="left"/>
            </w:pPr>
            <w:r>
              <w:rPr>
                <w:rStyle w:val="VerbatimChar"/>
              </w:rPr>
              <w:t xml:space="preserve">randomForest</w:t>
            </w:r>
            <w:r>
              <w:t xml:space="preserve"> </w:t>
            </w:r>
            <w:r>
              <w:t xml:space="preserve">(Liaw and Wiener 2002)</w:t>
            </w:r>
          </w:p>
        </w:tc>
        <w:tc>
          <w:p>
            <w:pPr>
              <w:pStyle w:val="Compact"/>
              <w:jc w:val="left"/>
            </w:pPr>
            <w:r>
              <w:t xml:space="preserve">Create classification and regression trees for predictive modeling</w:t>
            </w:r>
          </w:p>
        </w:tc>
      </w:tr>
      <w:tr>
        <w:tc>
          <w:p/>
        </w:tc>
        <w:tc>
          <w:p>
            <w:pPr>
              <w:pStyle w:val="Compact"/>
              <w:jc w:val="left"/>
            </w:pPr>
            <w:r>
              <w:rPr>
                <w:rStyle w:val="VerbatimChar"/>
              </w:rPr>
              <w:t xml:space="preserve">nlme</w:t>
            </w:r>
            <w:r>
              <w:t xml:space="preserve"> </w:t>
            </w:r>
            <w:r>
              <w:t xml:space="preserve">(Pinheiro et al. 2018)</w:t>
            </w:r>
          </w:p>
        </w:tc>
        <w:tc>
          <w:p>
            <w:pPr>
              <w:pStyle w:val="Compact"/>
              <w:jc w:val="left"/>
            </w:pPr>
            <w:r>
              <w:t xml:space="preserve">Non-linear, mixed effects modeling</w:t>
            </w:r>
          </w:p>
        </w:tc>
      </w:tr>
      <w:tr>
        <w:tc>
          <w:p/>
        </w:tc>
        <w:tc>
          <w:p>
            <w:pPr>
              <w:pStyle w:val="Compact"/>
              <w:jc w:val="left"/>
            </w:pPr>
            <w:r>
              <w:rPr>
                <w:rStyle w:val="VerbatimChar"/>
              </w:rPr>
              <w:t xml:space="preserve">mgcv</w:t>
            </w:r>
            <w:r>
              <w:t xml:space="preserve"> </w:t>
            </w:r>
            <w:r>
              <w:t xml:space="preserve">(Wood 2017)</w:t>
            </w:r>
          </w:p>
        </w:tc>
        <w:tc>
          <w:p>
            <w:pPr>
              <w:pStyle w:val="Compact"/>
              <w:jc w:val="left"/>
            </w:pPr>
            <w:r>
              <w:t xml:space="preserve">Generalized additive modeling</w:t>
            </w:r>
          </w:p>
        </w:tc>
      </w:tr>
      <w:tr>
        <w:tc>
          <w:p>
            <w:pPr>
              <w:pStyle w:val="Compact"/>
              <w:jc w:val="left"/>
            </w:pPr>
            <w:r>
              <w:t xml:space="preserve">Community analysis</w:t>
            </w:r>
          </w:p>
        </w:tc>
        <w:tc>
          <w:p>
            <w:pPr>
              <w:pStyle w:val="Compact"/>
              <w:jc w:val="left"/>
            </w:pPr>
            <w:r>
              <w:rPr>
                <w:rStyle w:val="VerbatimChar"/>
              </w:rPr>
              <w:t xml:space="preserve">TITAN2</w:t>
            </w:r>
            <w:r>
              <w:t xml:space="preserve"> </w:t>
            </w:r>
            <w:r>
              <w:t xml:space="preserve">(Baker et al. 2015)</w:t>
            </w:r>
          </w:p>
        </w:tc>
        <w:tc>
          <w:p>
            <w:pPr>
              <w:pStyle w:val="Compact"/>
              <w:jc w:val="left"/>
            </w:pPr>
            <w:r>
              <w:t xml:space="preserve">Ecological community threshold analysis using indicator species scores</w:t>
            </w:r>
          </w:p>
        </w:tc>
      </w:tr>
      <w:tr>
        <w:tc>
          <w:p/>
        </w:tc>
        <w:tc>
          <w:p>
            <w:pPr>
              <w:pStyle w:val="Compact"/>
              <w:jc w:val="left"/>
            </w:pPr>
            <w:r>
              <w:rPr>
                <w:rStyle w:val="VerbatimChar"/>
              </w:rPr>
              <w:t xml:space="preserve">indicspecies</w:t>
            </w:r>
            <w:r>
              <w:t xml:space="preserve"> </w:t>
            </w:r>
            <w:r>
              <w:t xml:space="preserve">(De Caceres and Legendre 2009)</w:t>
            </w:r>
          </w:p>
        </w:tc>
        <w:tc>
          <w:p>
            <w:pPr>
              <w:pStyle w:val="Compact"/>
              <w:jc w:val="left"/>
            </w:pPr>
            <w:r>
              <w:t xml:space="preserve">Indicator species analysis</w:t>
            </w:r>
          </w:p>
        </w:tc>
      </w:tr>
      <w:tr>
        <w:tc>
          <w:p/>
        </w:tc>
        <w:tc>
          <w:p>
            <w:pPr>
              <w:pStyle w:val="Compact"/>
              <w:jc w:val="left"/>
            </w:pPr>
            <w:r>
              <w:rPr>
                <w:rStyle w:val="VerbatimChar"/>
              </w:rPr>
              <w:t xml:space="preserve">vegan</w:t>
            </w:r>
            <w:r>
              <w:t xml:space="preserve"> </w:t>
            </w:r>
            <w:r>
              <w:t xml:space="preserve">(Oksanen et al. 2018)</w:t>
            </w:r>
          </w:p>
        </w:tc>
        <w:tc>
          <w:p>
            <w:pPr>
              <w:pStyle w:val="Compact"/>
              <w:jc w:val="left"/>
            </w:pPr>
            <w:r>
              <w:t xml:space="preserve">Multivariate analysis for community ecology</w:t>
            </w:r>
          </w:p>
        </w:tc>
      </w:tr>
      <w:tr>
        <w:tc>
          <w:p>
            <w:pPr>
              <w:pStyle w:val="Compact"/>
              <w:jc w:val="left"/>
            </w:pPr>
            <w:r>
              <w:t xml:space="preserve">Science communication</w:t>
            </w:r>
          </w:p>
        </w:tc>
        <w:tc>
          <w:p>
            <w:pPr>
              <w:pStyle w:val="Compact"/>
              <w:jc w:val="left"/>
            </w:pPr>
            <w:r>
              <w:rPr>
                <w:rStyle w:val="VerbatimChar"/>
              </w:rPr>
              <w:t xml:space="preserve">shiny</w:t>
            </w:r>
            <w:r>
              <w:t xml:space="preserve"> </w:t>
            </w:r>
            <w:r>
              <w:t xml:space="preserve">(Chang et al. 2018)</w:t>
            </w:r>
          </w:p>
        </w:tc>
        <w:tc>
          <w:p>
            <w:pPr>
              <w:pStyle w:val="Compact"/>
              <w:jc w:val="left"/>
            </w:pPr>
            <w:r>
              <w:t xml:space="preserve">Reactive programming tools to create interactive and customizable web applications</w:t>
            </w:r>
          </w:p>
        </w:tc>
      </w:tr>
      <w:tr>
        <w:tc>
          <w:p/>
        </w:tc>
        <w:tc>
          <w:p>
            <w:pPr>
              <w:pStyle w:val="Compact"/>
              <w:jc w:val="left"/>
            </w:pPr>
            <w:r>
              <w:rPr>
                <w:rStyle w:val="VerbatimChar"/>
              </w:rPr>
              <w:t xml:space="preserve">rmarkdown</w:t>
            </w:r>
            <w:r>
              <w:t xml:space="preserve"> </w:t>
            </w:r>
            <w:r>
              <w:t xml:space="preserve">(Allaire et al. 2018)</w:t>
            </w:r>
          </w:p>
        </w:tc>
        <w:tc>
          <w:p>
            <w:pPr>
              <w:pStyle w:val="Compact"/>
              <w:jc w:val="left"/>
            </w:pPr>
            <w:r>
              <w:t xml:space="preserve">Tools for working with markdown markup languages in .Rmd files</w:t>
            </w:r>
          </w:p>
        </w:tc>
      </w:tr>
      <w:tr>
        <w:tc>
          <w:p/>
        </w:tc>
        <w:tc>
          <w:p>
            <w:pPr>
              <w:pStyle w:val="Compact"/>
              <w:jc w:val="left"/>
            </w:pPr>
            <w:r>
              <w:rPr>
                <w:rStyle w:val="VerbatimChar"/>
              </w:rPr>
              <w:t xml:space="preserve">knitr</w:t>
            </w:r>
            <w:r>
              <w:t xml:space="preserve"> </w:t>
            </w:r>
            <w:r>
              <w:t xml:space="preserve">(Xie 2015)</w:t>
            </w:r>
          </w:p>
        </w:tc>
        <w:tc>
          <w:p>
            <w:pPr>
              <w:pStyle w:val="Compact"/>
              <w:jc w:val="left"/>
            </w:pPr>
            <w:r>
              <w:t xml:space="preserve">Automated tools for markdown files that process integrated R code chunks</w:t>
            </w:r>
          </w:p>
        </w:tc>
      </w:tr>
    </w:tbl>
    <w:p>
      <w:pPr>
        <w:pStyle w:val="Heading1"/>
      </w:pPr>
      <w:bookmarkStart w:id="69" w:name="references"/>
      <w:r>
        <w:t xml:space="preserve">References</w:t>
      </w:r>
      <w:bookmarkEnd w:id="69"/>
    </w:p>
    <w:bookmarkStart w:id="162" w:name="refs"/>
    <w:bookmarkStart w:id="70" w:name="ref-Allaire18"/>
    <w:p>
      <w:pPr>
        <w:pStyle w:val="Bibliography"/>
      </w:pPr>
      <w:r>
        <w:t xml:space="preserve">Allaire, J., Y. Xie, J. McPherson, J. Luraschi, K. Ushey, A. Atkins, H. Wickham, J. Cheng, and W. Chang. 2018. Rmarkdown: Dynamic documents for r.</w:t>
      </w:r>
    </w:p>
    <w:bookmarkEnd w:id="70"/>
    <w:bookmarkStart w:id="71" w:name="ref-Allen19"/>
    <w:p>
      <w:pPr>
        <w:pStyle w:val="Bibliography"/>
      </w:pPr>
      <w:r>
        <w:t xml:space="preserve">Allen, C., and D. M. A. Mehler. 2019. Open science challenges, benefits and tips in early career and beyond. PLoS Biology 17:e3000246.</w:t>
      </w:r>
    </w:p>
    <w:bookmarkEnd w:id="71"/>
    <w:bookmarkStart w:id="72" w:name="ref-Appelhans18"/>
    <w:p>
      <w:pPr>
        <w:pStyle w:val="Bibliography"/>
      </w:pPr>
      <w:r>
        <w:t xml:space="preserve">Appelhans, T., F. Detsch, C. Reudenbach, and S. Woellauer. 2018. Mapview: Interactive viewing of spatial data in r.</w:t>
      </w:r>
    </w:p>
    <w:bookmarkEnd w:id="72"/>
    <w:bookmarkStart w:id="73" w:name="ref-Baker15"/>
    <w:p>
      <w:pPr>
        <w:pStyle w:val="Bibliography"/>
      </w:pPr>
      <w:r>
        <w:t xml:space="preserve">Baker, M. E., R. S. King, and D. Kahle. 2015. TITAN2: Threshold indicator taxa analysis.</w:t>
      </w:r>
    </w:p>
    <w:bookmarkEnd w:id="73"/>
    <w:bookmarkStart w:id="74" w:name="ref-Beck18c"/>
    <w:p>
      <w:pPr>
        <w:pStyle w:val="Bibliography"/>
      </w:pPr>
      <w:r>
        <w:t xml:space="preserve">Beck, M. W. 2018a. SCCWRP/SCAPE: v1.0 (Version 1.0). Zenodo, http://doi.org/10.5281/zenodo.1218121.</w:t>
      </w:r>
    </w:p>
    <w:bookmarkEnd w:id="74"/>
    <w:bookmarkStart w:id="75" w:name="ref-Beck18d"/>
    <w:p>
      <w:pPr>
        <w:pStyle w:val="Bibliography"/>
      </w:pPr>
      <w:r>
        <w:t xml:space="preserve">Beck, M. W. 2018b. Constrained streams for biological integrity in California. Knowledge Network for Biocomplexity. urn:uuid:75411f50-32ed-42a5-bbfd-26833c7a441f.</w:t>
      </w:r>
    </w:p>
    <w:bookmarkEnd w:id="75"/>
    <w:bookmarkStart w:id="76" w:name="ref-Beck09"/>
    <w:p>
      <w:pPr>
        <w:pStyle w:val="Bibliography"/>
      </w:pPr>
      <w:r>
        <w:t xml:space="preserve">Beck, M. W., and L. K. Hatch. 2009. A review of research on the development of lake indices of biotic integrity. Environmental Reviews 17:21–44.</w:t>
      </w:r>
    </w:p>
    <w:bookmarkEnd w:id="76"/>
    <w:bookmarkStart w:id="77" w:name="ref-Beck19b"/>
    <w:p>
      <w:pPr>
        <w:pStyle w:val="Bibliography"/>
      </w:pPr>
      <w:r>
        <w:t xml:space="preserve">Beck, M. W., R. D. Mazor, S. Johnson, K. Wisenbaker, J. Westfall, P. R. Ode, R. Hill, C. Loflen, M. Sutula, and E. D. Stein. 2019. Prioritizing management goals for stream biological integrity within the developed landscape context. Freshwater Science 38.</w:t>
      </w:r>
    </w:p>
    <w:bookmarkEnd w:id="77"/>
    <w:bookmarkStart w:id="78" w:name="ref-Birk12"/>
    <w:p>
      <w:pPr>
        <w:pStyle w:val="Bibliography"/>
      </w:pPr>
      <w:r>
        <w:t xml:space="preserve">Birk, S., W. Bonne, A. Borja, S. Brucet, A. Courrat, S. Poikane, A. Solimini, W. van de Bund, N. Zampoukas, and D. Hering. 2012. Three hundred ways to assess Europe’s surface waters: An almost complete overview of biological methods to implement the Water Framework Directive. Ecological Indicators 18:31–41.</w:t>
      </w:r>
    </w:p>
    <w:bookmarkEnd w:id="78"/>
    <w:bookmarkStart w:id="79" w:name="ref-BondLamberty16"/>
    <w:p>
      <w:pPr>
        <w:pStyle w:val="Bibliography"/>
      </w:pPr>
      <w:r>
        <w:t xml:space="preserve">Bond-Lamberty, B., A. P. Smith, and V. Bailey. 2016. Running an open experiment: Transparency and reproducibility in soil and ecosystem science. Environmental Research Letters 11:1–7.</w:t>
      </w:r>
    </w:p>
    <w:bookmarkEnd w:id="79"/>
    <w:bookmarkStart w:id="80" w:name="ref-Borja09"/>
    <w:p>
      <w:pPr>
        <w:pStyle w:val="Bibliography"/>
      </w:pPr>
      <w:r>
        <w:t xml:space="preserve">Borja, A., A. Ranasinghe, and S. B. Weisberg. 2009. Assessing ecological integrity in marine waters, using multiple indices and ecosystem components: Challenges for the future. Marine Pollution Bulletin 59:1–4.</w:t>
      </w:r>
    </w:p>
    <w:bookmarkEnd w:id="80"/>
    <w:bookmarkStart w:id="81" w:name="ref-Bried14"/>
    <w:p>
      <w:pPr>
        <w:pStyle w:val="Bibliography"/>
      </w:pPr>
      <w:r>
        <w:t xml:space="preserve">Bried, J. T., S. K. Jog, A. R. Dzialowski, and C. A. Davis. 2014. Potential vegetation criteria for identifying reference-quality wetlands in the south-central United States. Wetlands 34:1159–1169.</w:t>
      </w:r>
    </w:p>
    <w:bookmarkEnd w:id="81"/>
    <w:bookmarkStart w:id="82" w:name="ref-Cao11"/>
    <w:p>
      <w:pPr>
        <w:pStyle w:val="Bibliography"/>
      </w:pPr>
      <w:r>
        <w:t xml:space="preserve">Cao, Y., and C. Hawkins. 2011. The comparability of bioassessments: A review of conceptual and methodological issues. Journal of the North American Benthological Society 30:680–701.</w:t>
      </w:r>
    </w:p>
    <w:bookmarkEnd w:id="82"/>
    <w:bookmarkStart w:id="83" w:name="ref-Carpenter09"/>
    <w:p>
      <w:pPr>
        <w:pStyle w:val="Bibliography"/>
      </w:pPr>
      <w:r>
        <w:t xml:space="preserve">Carpenter, S. R., E. V. Armbrust, P. W. Arzberger, F. S. C. III, J. J. Elser, E. J. Hackett, A. R. Ives, P. M. Kareiva, M. A. Leibold, P. Lundberg, M. Mangel, N. Merchant, W. W. Murdoch, M. A. Palmer, D. P. C. Peters, S. T. A. Pickett, K. K. Smith, D. H. Wall, and A. S. Zimmerman. 2009. Accelerate synthesis in ecology and environmental sciences. BioScience 59:699–701.</w:t>
      </w:r>
    </w:p>
    <w:bookmarkEnd w:id="83"/>
    <w:bookmarkStart w:id="84" w:name="ref-Chang18"/>
    <w:p>
      <w:pPr>
        <w:pStyle w:val="Bibliography"/>
      </w:pPr>
      <w:r>
        <w:t xml:space="preserve">Chang, W., J. Cheng, J. Allaire, Y. Xie, and J. McPherson. 2018. Shiny: Web application framework for r.</w:t>
      </w:r>
    </w:p>
    <w:bookmarkEnd w:id="84"/>
    <w:bookmarkStart w:id="85" w:name="ref-Cheng18"/>
    <w:p>
      <w:pPr>
        <w:pStyle w:val="Bibliography"/>
      </w:pPr>
      <w:r>
        <w:t xml:space="preserve">Cheng, J., B. Karambelkar, and Y. Xie. 2018. Leaflet: Create interactive web maps with the javascript ’leaflet’ library.</w:t>
      </w:r>
    </w:p>
    <w:bookmarkEnd w:id="85"/>
    <w:bookmarkStart w:id="86" w:name="ref-Cheruvelil18"/>
    <w:p>
      <w:pPr>
        <w:pStyle w:val="Bibliography"/>
      </w:pPr>
      <w:r>
        <w:t xml:space="preserve">Cheruvelil, K. S., and P. A. Soranno. 2018. Data-intensive ecological research is catalyzed by open science and team science. BioScience 68:813–822.</w:t>
      </w:r>
    </w:p>
    <w:bookmarkEnd w:id="86"/>
    <w:bookmarkStart w:id="87" w:name="ref-Chessman07"/>
    <w:p>
      <w:pPr>
        <w:pStyle w:val="Bibliography"/>
      </w:pPr>
      <w:r>
        <w:t xml:space="preserve">Chessman, B., S. Williams, and C. Besley. 2007. Bioassessment of streams with macroinvertebrates: Effect of sampled habitat and taxonomic resolution. Journal of the North American Benthological Society 26:546–565.</w:t>
      </w:r>
    </w:p>
    <w:bookmarkEnd w:id="87"/>
    <w:bookmarkStart w:id="88" w:name="ref-Collins16"/>
    <w:p>
      <w:pPr>
        <w:pStyle w:val="Bibliography"/>
      </w:pPr>
      <w:r>
        <w:t xml:space="preserve">Collins, S. L. 2016. Vegetation science in the age of big data. Journal of Vegetation Science 27:865–867.</w:t>
      </w:r>
    </w:p>
    <w:bookmarkEnd w:id="88"/>
    <w:bookmarkStart w:id="89" w:name="ref-Cuffney07"/>
    <w:p>
      <w:pPr>
        <w:pStyle w:val="Bibliography"/>
      </w:pPr>
      <w:r>
        <w:t xml:space="preserve">Cuffney, T. F., M. D. Bilger, and A. M. Haigler. 2007. Ambiguous taxa: Effects on the characterization and interpetation of invertebrate assemblages. Journal of the North American Benthological Society 26:286–307.</w:t>
      </w:r>
    </w:p>
    <w:bookmarkEnd w:id="89"/>
    <w:bookmarkStart w:id="90" w:name="ref-Dale01"/>
    <w:p>
      <w:pPr>
        <w:pStyle w:val="Bibliography"/>
      </w:pPr>
      <w:r>
        <w:t xml:space="preserve">Dale, V. H., and S. C. Beyeler. 2001. Challenges in the development and use of ecological indicators. Ecological Indicators 1:3–10.</w:t>
      </w:r>
    </w:p>
    <w:bookmarkEnd w:id="90"/>
    <w:bookmarkStart w:id="91" w:name="ref-Darling13"/>
    <w:p>
      <w:pPr>
        <w:pStyle w:val="Bibliography"/>
      </w:pPr>
      <w:r>
        <w:t xml:space="preserve">Darling, E. S., D. Shiffman, I. M. Côte, and J. A. Drew. 2013. The role of Twitter in the life cycle of a scientific publication. Ideas in Ecology and Evolution 6:32–43.</w:t>
      </w:r>
    </w:p>
    <w:bookmarkEnd w:id="91"/>
    <w:bookmarkStart w:id="92" w:name="ref-Davies06"/>
    <w:p>
      <w:pPr>
        <w:pStyle w:val="Bibliography"/>
      </w:pPr>
      <w:r>
        <w:t xml:space="preserve">Davies, S. P., and S. K. Jackson. 2006. The biological condition gradient: A descriptive model for interpreting change in aquatic ecosystems. Ecological Applications 16:1251–1266.</w:t>
      </w:r>
    </w:p>
    <w:bookmarkEnd w:id="92"/>
    <w:bookmarkStart w:id="93" w:name="ref-DeCaceres09"/>
    <w:p>
      <w:pPr>
        <w:pStyle w:val="Bibliography"/>
      </w:pPr>
      <w:r>
        <w:t xml:space="preserve">De Caceres, M., and P. Legendre. 2009. Associations between species and groups of sites: Indices and statistical inference. Ecology.</w:t>
      </w:r>
    </w:p>
    <w:bookmarkEnd w:id="93"/>
    <w:bookmarkStart w:id="94" w:name="ref-Fetscher13"/>
    <w:p>
      <w:pPr>
        <w:pStyle w:val="Bibliography"/>
      </w:pPr>
      <w:r>
        <w:t xml:space="preserve">Fetscher, A. E., R. Stancheva, J. P. Kociolek, R. G. Sheath, E. D. Stein, R. D. Mazor, P. R. Ode, and L. B. Busse. 2013. Development and comparison of stream indices of biotic integrity using diatoms vs. Non-diatom algae vs. A combination. Journal of Applied Phycology 26:433–450.</w:t>
      </w:r>
    </w:p>
    <w:bookmarkEnd w:id="94"/>
    <w:bookmarkStart w:id="95" w:name="ref-Fore02"/>
    <w:p>
      <w:pPr>
        <w:pStyle w:val="Bibliography"/>
      </w:pPr>
      <w:r>
        <w:t xml:space="preserve">Fore, L. S., and C. Grafe. 2002. Using diatoms to assess the biological condition of large rivers in Idaho (U.S.A.). Freshwater Biology 47:2015–2037.</w:t>
      </w:r>
    </w:p>
    <w:bookmarkEnd w:id="95"/>
    <w:bookmarkStart w:id="96" w:name="ref-Grand12"/>
    <w:p>
      <w:pPr>
        <w:pStyle w:val="Bibliography"/>
      </w:pPr>
      <w:r>
        <w:t xml:space="preserve">Grand, A., C. Wilkinson, K. Bultitude, and A. F. T. Winfield. 2012. Open science: A new "trust technology"? Science Communication 34:679–689.</w:t>
      </w:r>
    </w:p>
    <w:bookmarkEnd w:id="96"/>
    <w:bookmarkStart w:id="97" w:name="ref-Hampton15"/>
    <w:p>
      <w:pPr>
        <w:pStyle w:val="Bibliography"/>
      </w:pPr>
      <w:r>
        <w:t xml:space="preserve">Hampton, S. E., S. S. Anderson, S. C. Bagby, C. Gries, X. Han, E. M. Hart, M. B. Jones, W. C. Lenhardt, A. MacDonald, W. K. Michener, J. Mudge, A. Pourmokhtarian, M. P. Schildhauer, K. H. Woo, and N. Zimmerman. 2015. The tao of open science for ecology. Ecosphere 6:1–13.</w:t>
      </w:r>
    </w:p>
    <w:bookmarkEnd w:id="97"/>
    <w:bookmarkStart w:id="98" w:name="ref-Hampton17"/>
    <w:p>
      <w:pPr>
        <w:pStyle w:val="Bibliography"/>
      </w:pPr>
      <w:r>
        <w:t xml:space="preserve">Hampton, S. E., M. B. Jones, L. A. Wasser, M. P. Schildhauer, S. R. Supp, J. Brun, R. R. Hernandez, C. Boettiger, S. L. Collins, L. J. Gross, D. S. Fernández, A. Budden, E. P. White, T. K. Teal, S. G. Labou, and J. E. Aukema. 2017. Skills and knowledge for data-intensive environmental research. Bioscience 67:546–557.</w:t>
      </w:r>
    </w:p>
    <w:bookmarkEnd w:id="98"/>
    <w:bookmarkStart w:id="99" w:name="ref-Hampton16"/>
    <w:p>
      <w:pPr>
        <w:pStyle w:val="Bibliography"/>
      </w:pPr>
      <w:r>
        <w:t xml:space="preserve">Hampton, S. E., C. A. Strasser, J. J. Tewksbury, W. K. Gram, A. E. Budden, A. L. Batcheller, C. S. Duke, and J. H. Porter. 2016. Big data and the future of ecology. Frontiers in Ecology and the Environment 11:156–162.</w:t>
      </w:r>
    </w:p>
    <w:bookmarkEnd w:id="99"/>
    <w:bookmarkStart w:id="100" w:name="ref-Hawkins00"/>
    <w:p>
      <w:pPr>
        <w:pStyle w:val="Bibliography"/>
      </w:pPr>
      <w:r>
        <w:t xml:space="preserve">Hawkins, C. P., R. H. Norris, J. Gerritsen, R. M. Hughes, S. K. Jackson, R. K. Johnson, and R. J. Stevenson. 2000a. Evaluation of the use of landscape classifications for the prediction of freshwater biota: Synthesis and recommendations. Journal of the North American Benthological Society 19:541–556.</w:t>
      </w:r>
    </w:p>
    <w:bookmarkEnd w:id="100"/>
    <w:bookmarkStart w:id="101" w:name="ref-Hawkins00b"/>
    <w:p>
      <w:pPr>
        <w:pStyle w:val="Bibliography"/>
      </w:pPr>
      <w:r>
        <w:t xml:space="preserve">Hawkins, C. P., R. H. Norris, J. N. Hogue, and J. W. Feminella. 2000b. Development and evaluation of predictive models for measuring the biological integrity of streams. Ecological Applications 10:1456–1477.</w:t>
      </w:r>
    </w:p>
    <w:bookmarkEnd w:id="101"/>
    <w:bookmarkStart w:id="102" w:name="ref-Hawkins10"/>
    <w:p>
      <w:pPr>
        <w:pStyle w:val="Bibliography"/>
      </w:pPr>
      <w:r>
        <w:t xml:space="preserve">Hawkins, C. P., J. R. Olson, and R. A. Hill. 2010. The reference condition: Predicting benchmarks for ecological and water-quality assessments. Journal of the North American Benthological Society 29:312–343.</w:t>
      </w:r>
    </w:p>
    <w:bookmarkEnd w:id="102"/>
    <w:bookmarkStart w:id="103" w:name="ref-Hering10"/>
    <w:p>
      <w:pPr>
        <w:pStyle w:val="Bibliography"/>
      </w:pPr>
      <w:r>
        <w:t xml:space="preserve">Hering, D., A. Borja, J. Carstensen, L. Carvalho, M. Elliott, C. K. Field, A. S. Heiskanen, R. K. Johnson, J. Moe, D. Pont, A. L. Solheim, and W. de Bund. 2010. The European Water Framework Directive at the age of 10: A critical review of the achievements with recommendations for the future. Science of the Total Environment 408:4007–4019.</w:t>
      </w:r>
    </w:p>
    <w:bookmarkEnd w:id="103"/>
    <w:bookmarkStart w:id="104" w:name="ref-Hijmans19"/>
    <w:p>
      <w:pPr>
        <w:pStyle w:val="Bibliography"/>
      </w:pPr>
      <w:r>
        <w:t xml:space="preserve">Hijmans, R. J. 2019. Raster: Geographic data analysis and modeling.</w:t>
      </w:r>
    </w:p>
    <w:bookmarkEnd w:id="104"/>
    <w:bookmarkStart w:id="105" w:name="ref-Hill16"/>
    <w:p>
      <w:pPr>
        <w:pStyle w:val="Bibliography"/>
      </w:pPr>
      <w:r>
        <w:t xml:space="preserve">Hill, R. A., M. H. Weber, S. G. Leibowitz, A. R. Olsen, and D. J. Thornbrugh. 2016. The Stream-Catchment (StreamCat) dataset: A database of watershed metrics for the conterminous United States. Journal of the American Water Resources Association 52:120–128.</w:t>
      </w:r>
    </w:p>
    <w:bookmarkEnd w:id="105"/>
    <w:bookmarkStart w:id="106" w:name="ref-Horsburgh16"/>
    <w:p>
      <w:pPr>
        <w:pStyle w:val="Bibliography"/>
      </w:pPr>
      <w:r>
        <w:t xml:space="preserve">Horsburgh, J. S., M. M. Morsy, A. M. Castronova, J. L. Goodall, T. Gan, H. Yi, M. J. Stealey, and D. G. Tarboton. 2016. Hydroshare: Sharing diverse environmental data types and models as social objects with application to the hydrology domain. Journal of the American Water Resources Association 52:873–889.</w:t>
      </w:r>
    </w:p>
    <w:bookmarkEnd w:id="106"/>
    <w:bookmarkStart w:id="107" w:name="ref-Hsu17"/>
    <w:p>
      <w:pPr>
        <w:pStyle w:val="Bibliography"/>
      </w:pPr>
      <w:r>
        <w:t xml:space="preserve">Hsu, L., E. Mayorga, J. S. Horsburgh, M. R. Carter, K. A. Lehnert, and s. L. Brantley. 2017. Enhancing interoperability and capabilities of earth science data using the Observations Data Model 2 (ODM2). Data Science Journal 16:1–16.</w:t>
      </w:r>
    </w:p>
    <w:bookmarkEnd w:id="107"/>
    <w:bookmarkStart w:id="108" w:name="ref-Idaszak17"/>
    <w:p>
      <w:pPr>
        <w:pStyle w:val="Bibliography"/>
      </w:pPr>
      <w:r>
        <w:t xml:space="preserve">Idaszak, R., D. G. Tarboton, H. Yi, L. Chistopherson, M. J. Stealey, B. Miles, P. Dash, A. Couch, C. Spealman, D. P. Ames, and J. S. Horsburgh. 2017. HydroShare - a case study of the application of modern software engineering to a large distributed federally-funded scientific software development project. Pages 217–233</w:t>
      </w:r>
      <w:r>
        <w:t xml:space="preserve"> </w:t>
      </w:r>
      <w:r>
        <w:rPr>
          <w:i/>
        </w:rPr>
        <w:t xml:space="preserve">in</w:t>
      </w:r>
      <w:r>
        <w:t xml:space="preserve"> </w:t>
      </w:r>
      <w:r>
        <w:t xml:space="preserve">J. Carver, N. P. C. Hong, and G. K. Thiruvathukal, editors. Chapter 10 in software engineering for science. Taylor &amp; Francis CRC Press, Boca Raton, Florida, USA.</w:t>
      </w:r>
    </w:p>
    <w:bookmarkEnd w:id="108"/>
    <w:bookmarkStart w:id="109" w:name="ref-Ihle17"/>
    <w:p>
      <w:pPr>
        <w:pStyle w:val="Bibliography"/>
      </w:pPr>
      <w:r>
        <w:t xml:space="preserve">Ihle, M., I. S. Winney, A. Krystalli, and M. Croucher. 2017. Striving for transparent and credible research: Practical guidelines for behavioral ecologists. Behavioral Ecology 28:348–354.</w:t>
      </w:r>
    </w:p>
    <w:bookmarkEnd w:id="109"/>
    <w:bookmarkStart w:id="110" w:name="ref-Karr86"/>
    <w:p>
      <w:pPr>
        <w:pStyle w:val="Bibliography"/>
      </w:pPr>
      <w:r>
        <w:t xml:space="preserve">Karr, J. R., K. D. Fausch, P. L. Angermeier, P. R. Yant, and I. J. Schlosser. 1986. Assessing biological integrity in running waters: A method and its rationale. Illinois Natural History Survey, Champaign, Illinois.</w:t>
      </w:r>
    </w:p>
    <w:bookmarkEnd w:id="110"/>
    <w:bookmarkStart w:id="111" w:name="ref-Kelly16"/>
    <w:p>
      <w:pPr>
        <w:pStyle w:val="Bibliography"/>
      </w:pPr>
      <w:r>
        <w:t xml:space="preserve">Kelly, M. G., S. Birk, N. J. Willby, L. Denys, S.Drakare, M. Kahlert, S. M. Karjalainen, A. Marchetto, J. A. Pitt, G. Urbanič, and S. Poikane. 2016. Redundancy in the ecological assessment of lakes: Are phytoplankton, macrophytes and phytobenthos all necessary? Science of the Total Environment 15:594–602.</w:t>
      </w:r>
    </w:p>
    <w:bookmarkEnd w:id="111"/>
    <w:bookmarkStart w:id="112" w:name="ref-Kerans94"/>
    <w:p>
      <w:pPr>
        <w:pStyle w:val="Bibliography"/>
      </w:pPr>
      <w:r>
        <w:t xml:space="preserve">Kerans, B. L., and J. R. Karr. 1994. A benthic index of biotic integrity (B-IBI) for rivers of the Tennessee Valley. Ecological Applications 4:768–785.</w:t>
      </w:r>
    </w:p>
    <w:bookmarkEnd w:id="112"/>
    <w:bookmarkStart w:id="113" w:name="ref-King11"/>
    <w:p>
      <w:pPr>
        <w:pStyle w:val="Bibliography"/>
      </w:pPr>
      <w:r>
        <w:t xml:space="preserve">King, R. S., M. E. Baker, P. F. Kazyak, and D. E. Weller. 2011. How novel is too novel? Stream community thresholds at exceptionally low levels of catchment urbanization. Ecological Applications 21:1659–1678.</w:t>
      </w:r>
    </w:p>
    <w:bookmarkEnd w:id="113"/>
    <w:bookmarkStart w:id="114" w:name="ref-Kluyver16"/>
    <w:p>
      <w:pPr>
        <w:pStyle w:val="Bibliography"/>
      </w:pPr>
      <w:r>
        <w:t xml:space="preserve">Kluyver, T., B. Ragan-Kelley, F. Pérez, B. Granger, M. Bussonnier, J. Frederic, K. Kelley, J. Hamrick, J. Grout, S. Corlay, P. Ivanov, D. Avila, S. Abdalla, and C. Willing. 2016. Jupyter notebooks – a publishing format for reproducible computational workflows. IOS Press.</w:t>
      </w:r>
    </w:p>
    <w:bookmarkEnd w:id="114"/>
    <w:bookmarkStart w:id="115" w:name="ref-Kuehne19"/>
    <w:p>
      <w:pPr>
        <w:pStyle w:val="Bibliography"/>
      </w:pPr>
      <w:r>
        <w:t xml:space="preserve">Kuehne, L. M., and A. L. Strecker, and J. D. Olden. 2019. Knowledge exchange and social capital for freshwater ecosystem assessments. BioScience 70:174–183.</w:t>
      </w:r>
    </w:p>
    <w:bookmarkEnd w:id="115"/>
    <w:bookmarkStart w:id="116" w:name="ref-Kuehne17"/>
    <w:p>
      <w:pPr>
        <w:pStyle w:val="Bibliography"/>
      </w:pPr>
      <w:r>
        <w:t xml:space="preserve">Kuehne, L. M., J. D. Olden, A. L. Strecker, J. J. Lawler, and D. M. Theobald. 2017. Past, present, and future of ecological integrity assessment for fresh waters. Frontiers in Ecology and the Environment 15:197–205.</w:t>
      </w:r>
    </w:p>
    <w:bookmarkEnd w:id="116"/>
    <w:bookmarkStart w:id="117" w:name="ref-VanderLaan14"/>
    <w:p>
      <w:pPr>
        <w:pStyle w:val="Bibliography"/>
      </w:pPr>
      <w:r>
        <w:t xml:space="preserve">Laan, J. J. V., and C. P. Hawkins. 2014. Enhancing the performance and interpretation of freshwater biological indices: An application in arid zone streams. Ecological Indicators 36:470–482.</w:t>
      </w:r>
    </w:p>
    <w:bookmarkEnd w:id="117"/>
    <w:bookmarkStart w:id="118" w:name="ref-Lai19"/>
    <w:p>
      <w:pPr>
        <w:pStyle w:val="Bibliography"/>
      </w:pPr>
      <w:r>
        <w:t xml:space="preserve">Lai, J., C. J. Lortie, R. A. Muenchen, J. Yang, and K. Ma. 2019. Evaluating the popularity of R in ecology. Ecosphere 10:e02567.</w:t>
      </w:r>
    </w:p>
    <w:bookmarkEnd w:id="118"/>
    <w:bookmarkStart w:id="119" w:name="ref-Landman09"/>
    <w:p>
      <w:pPr>
        <w:pStyle w:val="Bibliography"/>
      </w:pPr>
      <w:r>
        <w:t xml:space="preserve">Landman, A., and S. A. Glantz. 2009. Tobacco industry efforts to undermine policy-relevant research. American Journal of Public Health 99:45–58.</w:t>
      </w:r>
    </w:p>
    <w:bookmarkEnd w:id="119"/>
    <w:bookmarkStart w:id="120" w:name="ref-Lenat01"/>
    <w:p>
      <w:pPr>
        <w:pStyle w:val="Bibliography"/>
      </w:pPr>
      <w:r>
        <w:t xml:space="preserve">Lenat, D. R., and V. H. Resh. 2001. Taxonomy and stream ecology - the benefits of genus- and species-level identifications. Journal of the North American Benthological Society 20:287–298.</w:t>
      </w:r>
    </w:p>
    <w:bookmarkEnd w:id="120"/>
    <w:bookmarkStart w:id="121" w:name="ref-Lewandowsky16"/>
    <w:p>
      <w:pPr>
        <w:pStyle w:val="Bibliography"/>
      </w:pPr>
      <w:r>
        <w:t xml:space="preserve">Lewandowsky, S., and D. Bishop. 2016. Research integrity: Don’t let transparency damage science. Nature 529:459–461.</w:t>
      </w:r>
    </w:p>
    <w:bookmarkEnd w:id="121"/>
    <w:bookmarkStart w:id="122" w:name="ref-Liaw02"/>
    <w:p>
      <w:pPr>
        <w:pStyle w:val="Bibliography"/>
      </w:pPr>
      <w:r>
        <w:t xml:space="preserve">Liaw, A., and M. Wiener. 2002. Classification and regression by randomForest. R News 2:18–22.</w:t>
      </w:r>
    </w:p>
    <w:bookmarkEnd w:id="122"/>
    <w:bookmarkStart w:id="123" w:name="ref-Liu08"/>
    <w:p>
      <w:pPr>
        <w:pStyle w:val="Bibliography"/>
      </w:pPr>
      <w:r>
        <w:t xml:space="preserve">Liu, Y., H. Gupta, E. Springer, and T. Wagener. 2008. Linking science with environmental decision making: Experiences from an integrated modeling approach to supporting sustainable water resources management. Environmental Modelling &amp; Software 23:846–858.</w:t>
      </w:r>
    </w:p>
    <w:bookmarkEnd w:id="123"/>
    <w:bookmarkStart w:id="124" w:name="ref-Lortie14"/>
    <w:p>
      <w:pPr>
        <w:pStyle w:val="Bibliography"/>
      </w:pPr>
      <w:r>
        <w:t xml:space="preserve">Lortie, C. J. 2014. Formalized synthesis opportunities for ecology: Systematic reviews and meta-analyses. OIKOS 123:897–902.</w:t>
      </w:r>
    </w:p>
    <w:bookmarkEnd w:id="124"/>
    <w:bookmarkStart w:id="125" w:name="ref-Lowndes17"/>
    <w:p>
      <w:pPr>
        <w:pStyle w:val="Bibliography"/>
      </w:pPr>
      <w:r>
        <w:t xml:space="preserve">Lowndes, J. S. S., B. D. Best, C. Scarborough, J. C. Afflerbach, M. R. Frazier, C. C. O’Hara, N. Jiang, and B. S. Halpern. 2017. Our path to better science in less time using open data science tools. Nature Ecology &amp; Evolution 1:1–7.</w:t>
      </w:r>
    </w:p>
    <w:bookmarkEnd w:id="125"/>
    <w:bookmarkStart w:id="126" w:name="ref-Marwick16"/>
    <w:p>
      <w:pPr>
        <w:pStyle w:val="Bibliography"/>
      </w:pPr>
      <w:r>
        <w:t xml:space="preserve">Marwick, B., J. d’Alpoim Guedes, C. M. Barton, L. A. Bates, M. Baxter, A. Bevan, E. A. Bollwerk, R. K. Bocinsky, T. Brughmans, A. K. Carter, C. Conrad, D. A. Contreras, S. Costa, E. R. Crema, A. Daggett, B. Davies, B. L. Drake, T. S. Dye, P. France, R. Fullagar, D. Giusti, S. Graham, M. D. Harris, J. Hawks, S. Heath, D. Huffer, E. C. Kansa, S. W. Kansa, M. E. Madsen, J. Melcher, J. Negre, F. D. Neiman, R. Opitz, D. C. Orton, P. Przystupa, M. Raviele, J. Riel-Salvatore, P. Riris, I. Romanowska, N. Strupler, I. I. Ullah, H. G. V. Vlack, E. C. Watrall, C. Webster, J. Wells, J. Winters, and C. D. Wren. 2016. Open science in archaeology. SAA Archaeological Record 17:8–14.</w:t>
      </w:r>
    </w:p>
    <w:bookmarkEnd w:id="126"/>
    <w:bookmarkStart w:id="127" w:name="ref-Mazor16"/>
    <w:p>
      <w:pPr>
        <w:pStyle w:val="Bibliography"/>
      </w:pPr>
      <w:r>
        <w:t xml:space="preserve">Mazor, R. D., A. C. Rehn, P. R. Ode, M. Engeln, K. C. Schiff, E. D. Stein, D. J. Gillett, D. B. Herbst, and C. P. Hawkins. 2016. Bioassessment in complex environments: Designing an index for consistent meaning in different settings. Freshwater Science 35:249–271.</w:t>
      </w:r>
    </w:p>
    <w:bookmarkEnd w:id="127"/>
    <w:bookmarkStart w:id="128" w:name="ref-Mazor14"/>
    <w:p>
      <w:pPr>
        <w:pStyle w:val="Bibliography"/>
      </w:pPr>
      <w:r>
        <w:t xml:space="preserve">Mazor, R. D., E. D. Stein, P. R. Ode, and K. Schiff. 2014. Integrating intermittent streams into watershed assessments: Applicability of an index of biotic integrity. Freshwater Science 35:459–474.</w:t>
      </w:r>
    </w:p>
    <w:bookmarkEnd w:id="128"/>
    <w:bookmarkStart w:id="129" w:name="ref-McKay12"/>
    <w:p>
      <w:pPr>
        <w:pStyle w:val="Bibliography"/>
      </w:pPr>
      <w:r>
        <w:t xml:space="preserve">McKay, L., T. Bondelid, T. Dewald, J. Johnston, R. Moore, and A. Reah. 2012. NHDPlus Version 2: User Guide.</w:t>
      </w:r>
    </w:p>
    <w:bookmarkEnd w:id="129"/>
    <w:bookmarkStart w:id="130" w:name="ref-Michener97"/>
    <w:p>
      <w:pPr>
        <w:pStyle w:val="Bibliography"/>
      </w:pPr>
      <w:r>
        <w:t xml:space="preserve">Michener, W. K., J. W. Brunt, J. J. Helly, T. B. Kirchner, and S. G. Stafford. 1997. Nongeospatial metadata for the ecological sciences. Ecological Applications 7:330–342.</w:t>
      </w:r>
    </w:p>
    <w:bookmarkEnd w:id="130"/>
    <w:bookmarkStart w:id="131" w:name="ref-Mitchell05"/>
    <w:p>
      <w:pPr>
        <w:pStyle w:val="Bibliography"/>
      </w:pPr>
      <w:r>
        <w:t xml:space="preserve">Mitchell, B. 2005. Integrated water resource management, institutional arrangements, and land use planning. Environmental Planning A: Economy and Space 37:1335–1352.</w:t>
      </w:r>
    </w:p>
    <w:bookmarkEnd w:id="131"/>
    <w:bookmarkStart w:id="132" w:name="ref-Nichols16"/>
    <w:p>
      <w:pPr>
        <w:pStyle w:val="Bibliography"/>
      </w:pPr>
      <w:r>
        <w:t xml:space="preserve">Nichols, S. J., L. A. Barmuta, B. C. Chessman, P. E. Davies, F. J. Dyer, E. T. Harrison, C. P. Hawkins, I. Jones, B. J. Kefford, S. Linke, R. Marchant, L. Metzeling, K. Moon, R. Ogden, M. Peat, T. B. Reynoldson, and R. M. Thompson. 2016. The imperative need for nationally coordinated bioassessment of rivers and streams. Marine and Freshwater Research 68:599–613.</w:t>
      </w:r>
    </w:p>
    <w:bookmarkEnd w:id="132"/>
    <w:bookmarkStart w:id="133" w:name="ref-Ode16"/>
    <w:p>
      <w:pPr>
        <w:pStyle w:val="Bibliography"/>
      </w:pPr>
      <w:r>
        <w:t xml:space="preserve">Ode, P. R., A. C. Rehn, R. D. Mazor, K. C. Schiff, E. D. Stein, J. T. May, L. R. Brown, D. B. Herbst, D. Gillett, K. Lunde, and C. P. Hawkins. 2016. Evaluating the adequacy of a reference-site pool for ecological assessments in environmentally complex regions. Freshwater Science 35:237–248.</w:t>
      </w:r>
    </w:p>
    <w:bookmarkEnd w:id="133"/>
    <w:bookmarkStart w:id="134" w:name="ref-Oksanen18"/>
    <w:p>
      <w:pPr>
        <w:pStyle w:val="Bibliography"/>
      </w:pPr>
      <w:r>
        <w:t xml:space="preserve">Oksanen, J., F. G. Blanchet, M. Friendly, R. Kindt, P. Legendre, D. McGlinn, P. R. Minchin, R. B. O’Hara, G. L. Simpson, P. Solymos, M. H. H. Stevens, E. Szoecs, and H. Wagner. 2018. Vegan: Community ecology package.</w:t>
      </w:r>
    </w:p>
    <w:bookmarkEnd w:id="134"/>
    <w:bookmarkStart w:id="135" w:name="ref-Pebesma18"/>
    <w:p>
      <w:pPr>
        <w:pStyle w:val="Bibliography"/>
      </w:pPr>
      <w:r>
        <w:t xml:space="preserve">Pebesma, E. 2018. Sf: Simple features for r.</w:t>
      </w:r>
    </w:p>
    <w:bookmarkEnd w:id="135"/>
    <w:bookmarkStart w:id="136" w:name="ref-Pilkington16"/>
    <w:p>
      <w:pPr>
        <w:pStyle w:val="Bibliography"/>
      </w:pPr>
      <w:r>
        <w:t xml:space="preserve">Pilkington, M. 2016. Blockchain technology: Principles and applications. Pages 225–253</w:t>
      </w:r>
      <w:r>
        <w:t xml:space="preserve"> </w:t>
      </w:r>
      <w:r>
        <w:rPr>
          <w:i/>
        </w:rPr>
        <w:t xml:space="preserve">in</w:t>
      </w:r>
      <w:r>
        <w:t xml:space="preserve"> </w:t>
      </w:r>
      <w:r>
        <w:t xml:space="preserve">F. X. Olleros and M. Zhegu, editors. Research handbook on digital transformations. Edward Elgar Publishing, Cheltenham, United Kingdom.</w:t>
      </w:r>
    </w:p>
    <w:bookmarkEnd w:id="136"/>
    <w:bookmarkStart w:id="137" w:name="ref-Pinheiro18"/>
    <w:p>
      <w:pPr>
        <w:pStyle w:val="Bibliography"/>
      </w:pPr>
      <w:r>
        <w:t xml:space="preserve">Pinheiro, J., D. Bates, S. DebRoy, D. Sarkar, and R Core Team. 2018. nlme: Linear and nonlinear mixed effects models.</w:t>
      </w:r>
    </w:p>
    <w:bookmarkEnd w:id="137"/>
    <w:bookmarkStart w:id="138" w:name="ref-Pohjola11"/>
    <w:p>
      <w:pPr>
        <w:pStyle w:val="Bibliography"/>
      </w:pPr>
      <w:r>
        <w:t xml:space="preserve">Pohjola, M. V., and J. T. Tuomisto. 2011. Openness in participation, assessment, and policy making upon issues of environment and environmental health: A review of literature and recent project results. Environmental Health 10:1–13.</w:t>
      </w:r>
    </w:p>
    <w:bookmarkEnd w:id="138"/>
    <w:bookmarkStart w:id="139" w:name="ref-Poikane14"/>
    <w:p>
      <w:pPr>
        <w:pStyle w:val="Bibliography"/>
      </w:pPr>
      <w:r>
        <w:t xml:space="preserve">Poikane, S., N. Zampoukas, A. Borja, S. P. Davies, W. van de Bund, and S. Birk. 2014. Intercalibration of aquatic ecological assessment methods in the European Union. Environmental Science &amp; Policy 44:237–246.</w:t>
      </w:r>
    </w:p>
    <w:bookmarkEnd w:id="139"/>
    <w:bookmarkStart w:id="140" w:name="ref-Powers19"/>
    <w:p>
      <w:pPr>
        <w:pStyle w:val="Bibliography"/>
      </w:pPr>
      <w:r>
        <w:t xml:space="preserve">Powers, S. M., and S. E. Hampton. 2019. Open science, reproducibility, and transparency in ecology. Ecological Applications 29:e01822.</w:t>
      </w:r>
    </w:p>
    <w:bookmarkEnd w:id="140"/>
    <w:bookmarkStart w:id="141" w:name="ref-RDCT18"/>
    <w:p>
      <w:pPr>
        <w:pStyle w:val="Bibliography"/>
      </w:pPr>
      <w:r>
        <w:t xml:space="preserve">RDCT (R Development Core Team). 2018. R: A language and environment for statistical computing, v3.5.1. R Foundation for Statistical Computing, Vienna, Austria.</w:t>
      </w:r>
    </w:p>
    <w:bookmarkEnd w:id="141"/>
    <w:bookmarkStart w:id="142" w:name="ref-Rehn18"/>
    <w:p>
      <w:pPr>
        <w:pStyle w:val="Bibliography"/>
      </w:pPr>
      <w:r>
        <w:t xml:space="preserve">Rehn, A. C., R. D. Mazor, and P. R. Ode. 2018. An index to measure the quality of physical habitat in California wadeable streams. California Water Boards, Surface Water Ambient Monitoring Program, California Department of Fish; Wildlife, Southern California Coastal Water Research Project, Sacramento, California.</w:t>
      </w:r>
    </w:p>
    <w:bookmarkEnd w:id="142"/>
    <w:bookmarkStart w:id="143" w:name="ref-Slater19"/>
    <w:p>
      <w:pPr>
        <w:pStyle w:val="Bibliography"/>
      </w:pPr>
      <w:r>
        <w:t xml:space="preserve">Slater, L. J., G. Thirel, s. Harrigan, O. Delaigue, A. Hurley, A. Khouakhi, I. Prosdocimi, C. Vitolo, and K. smith. 2019. Using R in hydrology: A review of recent developments and future directions. Hydrology and Earth System Sciences 23:2939–2963.</w:t>
      </w:r>
    </w:p>
    <w:bookmarkEnd w:id="143"/>
    <w:bookmarkStart w:id="144" w:name="ref-Stein09"/>
    <w:p>
      <w:pPr>
        <w:pStyle w:val="Bibliography"/>
      </w:pPr>
      <w:r>
        <w:t xml:space="preserve">Stein, E. D., M. Brinson, M. C. Rains, W. Kleindl, and F. R. Hauer. 2009. Wetland assessment alphabet soup: How to choose (or not choose) the right assessment method. Society of Wetland Scientists Bulletin 26:20–24.</w:t>
      </w:r>
    </w:p>
    <w:bookmarkEnd w:id="144"/>
    <w:bookmarkStart w:id="145" w:name="ref-Stevens18"/>
    <w:p>
      <w:pPr>
        <w:pStyle w:val="Bibliography"/>
      </w:pPr>
      <w:r>
        <w:t xml:space="preserve">Stevens, S. L. R., M. Kuzak, C. Martinez, A. Moser, P. Bleeker, and M. Galland. 2018. Building a local community of practice in scientific programming for life scientists. PLoS Biology 16:e2005561.</w:t>
      </w:r>
    </w:p>
    <w:bookmarkEnd w:id="145"/>
    <w:bookmarkStart w:id="146" w:name="ref-Stoddard06"/>
    <w:p>
      <w:pPr>
        <w:pStyle w:val="Bibliography"/>
      </w:pPr>
      <w:r>
        <w:t xml:space="preserve">Stoddard, J. L., D. P. Larsen, C. P. Hawkins, R. K. Johnson, and R. H. Norris. 2006. Setting expectations for the ecological condition of streams: The concept of reference condition. Ecological Applications 16:1267–1276.</w:t>
      </w:r>
    </w:p>
    <w:bookmarkEnd w:id="146"/>
    <w:bookmarkStart w:id="147" w:name="ref-Taylor18"/>
    <w:p>
      <w:pPr>
        <w:pStyle w:val="Bibliography"/>
      </w:pPr>
      <w:r>
        <w:t xml:space="preserve">Taylor, J. M., J. A. Back, B. W. Brooks, and R. S. King. 2018. Spatial, temporal and experimental: Three study design cornerstones for establishing defensible numeric criteria in freshwater ecosystems. Journal of Applied Ecology 55:2114–2123.</w:t>
      </w:r>
    </w:p>
    <w:bookmarkEnd w:id="147"/>
    <w:bookmarkStart w:id="148" w:name="ref-Taylor14"/>
    <w:p>
      <w:pPr>
        <w:pStyle w:val="Bibliography"/>
      </w:pPr>
      <w:r>
        <w:t xml:space="preserve">Taylor, J. M., R. S. King, A. A. Pease, and K. O. Winemiller. 2014. Nonlinear response of stream ecosystem structure to low-level phosphorus enrichment. Freshwater Biology 59:969–984.</w:t>
      </w:r>
    </w:p>
    <w:bookmarkEnd w:id="148"/>
    <w:bookmarkStart w:id="149" w:name="ref-Touchon16"/>
    <w:p>
      <w:pPr>
        <w:pStyle w:val="Bibliography"/>
      </w:pPr>
      <w:r>
        <w:t xml:space="preserve">Touchon, J. C., and M. W. McCoy. 2016. The mismatch between current statistical practice and doctoral training in ecology. Ecosphere 7:e01394.</w:t>
      </w:r>
    </w:p>
    <w:bookmarkEnd w:id="149"/>
    <w:bookmarkStart w:id="150" w:name="ref-Wickham09"/>
    <w:p>
      <w:pPr>
        <w:pStyle w:val="Bibliography"/>
      </w:pPr>
      <w:r>
        <w:t xml:space="preserve">Wickham, H. 2009. Ggplot2: Elegant graphics for data analysis. Springer-Verlag. New York.</w:t>
      </w:r>
    </w:p>
    <w:bookmarkEnd w:id="150"/>
    <w:bookmarkStart w:id="151" w:name="ref-Wickham14c"/>
    <w:p>
      <w:pPr>
        <w:pStyle w:val="Bibliography"/>
      </w:pPr>
      <w:r>
        <w:t xml:space="preserve">Wickham, H. 2014. Tidy data. Journal of Statistical Software 59:1–23.</w:t>
      </w:r>
    </w:p>
    <w:bookmarkEnd w:id="151"/>
    <w:bookmarkStart w:id="152" w:name="ref-Wickham15"/>
    <w:p>
      <w:pPr>
        <w:pStyle w:val="Bibliography"/>
      </w:pPr>
      <w:r>
        <w:t xml:space="preserve">Wickham, H. 2015. R packages. Page 182. O’Reilly, Sebastopol, California.</w:t>
      </w:r>
    </w:p>
    <w:bookmarkEnd w:id="152"/>
    <w:bookmarkStart w:id="153" w:name="ref-Wickham17b"/>
    <w:p>
      <w:pPr>
        <w:pStyle w:val="Bibliography"/>
      </w:pPr>
      <w:r>
        <w:t xml:space="preserve">Wickham, H. 2017. Tidyverse: Easily install and load the ’tidyverse’.</w:t>
      </w:r>
    </w:p>
    <w:bookmarkEnd w:id="153"/>
    <w:bookmarkStart w:id="154" w:name="ref-Wickham18"/>
    <w:p>
      <w:pPr>
        <w:pStyle w:val="Bibliography"/>
      </w:pPr>
      <w:r>
        <w:t xml:space="preserve">Wickham, H., J. Hester, and W. Chang. 2018. Devtools: Tools to make developing r packages easier.</w:t>
      </w:r>
    </w:p>
    <w:bookmarkEnd w:id="154"/>
    <w:bookmarkStart w:id="155" w:name="ref-Wilkinson05"/>
    <w:p>
      <w:pPr>
        <w:pStyle w:val="Bibliography"/>
      </w:pPr>
      <w:r>
        <w:t xml:space="preserve">Wilkinson, L. 2005. The grammar of graphics. Page 691. second. Statistics; Computing, Springer, New York.</w:t>
      </w:r>
    </w:p>
    <w:bookmarkEnd w:id="155"/>
    <w:bookmarkStart w:id="156" w:name="ref-Woelfle11"/>
    <w:p>
      <w:pPr>
        <w:pStyle w:val="Bibliography"/>
      </w:pPr>
      <w:r>
        <w:t xml:space="preserve">Woelfle, M., P. Olliaro, and M. H. Todd. 2011. Open science is a research accelerator. Nature Chemistry 3:745–748.</w:t>
      </w:r>
    </w:p>
    <w:bookmarkEnd w:id="156"/>
    <w:bookmarkStart w:id="157" w:name="ref-Wood17"/>
    <w:p>
      <w:pPr>
        <w:pStyle w:val="Bibliography"/>
      </w:pPr>
      <w:r>
        <w:t xml:space="preserve">Wood, S. N. 2017. Generalized additive models: An introduction with r. Page 476. 2nd editions. Chapman; Hall, CRC Press, London, United Kingdom.</w:t>
      </w:r>
    </w:p>
    <w:bookmarkEnd w:id="157"/>
    <w:bookmarkStart w:id="158" w:name="ref-Xie15"/>
    <w:p>
      <w:pPr>
        <w:pStyle w:val="Bibliography"/>
      </w:pPr>
      <w:r>
        <w:t xml:space="preserve">Xie, Y. 2015. Dynamic documents with R and knitr. 2nd editions. Chapman; Hall/CRC, Boca Raton, Florida.</w:t>
      </w:r>
    </w:p>
    <w:bookmarkEnd w:id="158"/>
    <w:bookmarkStart w:id="159" w:name="ref-Yenni19"/>
    <w:p>
      <w:pPr>
        <w:pStyle w:val="Bibliography"/>
      </w:pPr>
      <w:r>
        <w:t xml:space="preserve">Yenni, G. M., E. M. Christensen, E. K. Bledsoe, S. R. Supp, R. M. Diaz, E. P. White, and s. K. M. Ernest. 2019. Developing a modern data workflow for regularly updated data. PLoS Biology 17:e3000125.</w:t>
      </w:r>
    </w:p>
    <w:bookmarkEnd w:id="159"/>
    <w:bookmarkStart w:id="160" w:name="ref-Yuan04"/>
    <w:p>
      <w:pPr>
        <w:pStyle w:val="Bibliography"/>
      </w:pPr>
      <w:r>
        <w:t xml:space="preserve">Yuan, L. L. 2004. Assigning macroinvertebrate tolerance classifications using generalised additive models. Freshwater Biology 49:662–677.</w:t>
      </w:r>
    </w:p>
    <w:bookmarkEnd w:id="160"/>
    <w:bookmarkStart w:id="161" w:name="ref-Zipper19"/>
    <w:p>
      <w:pPr>
        <w:pStyle w:val="Bibliography"/>
      </w:pPr>
      <w:r>
        <w:t xml:space="preserve">Zipper, S. C., K. S. S. Whitney, J. M. Deines, K. M. Befus, U. Bhatia, S. J. Albers, J. Beecher, C. Brelsford, M. Garcia, T. Gleeson, F. O’Donnell, D. Resnik, and E. Schlager. 2019. Balancing open science and data privacy in the water sciences. Water Resources Research 55:1–10.</w:t>
      </w:r>
    </w:p>
    <w:bookmarkEnd w:id="161"/>
    <w:bookmarkEnd w:id="162"/>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66" Target="http://opendefinition.org/" TargetMode="External" /><Relationship Type="http://schemas.openxmlformats.org/officeDocument/2006/relationships/hyperlink" Id="rId68" Target="http://openscience.org/" TargetMode="External" /><Relationship Type="http://schemas.openxmlformats.org/officeDocument/2006/relationships/hyperlink" Id="rId39" Target="http://www.safit.org/Docs/STE_1_March_2011_7MB.pdf" TargetMode="External" /><Relationship Type="http://schemas.openxmlformats.org/officeDocument/2006/relationships/hyperlink" Id="rId55" Target="https://acwi.gov/methods/pubs/over_pubs/valcomp_fs.pdf" TargetMode="External" /><Relationship Type="http://schemas.openxmlformats.org/officeDocument/2006/relationships/hyperlink" Id="rId57" Target="https://aquatic.biodata.usgs.gov/" TargetMode="External" /><Relationship Type="http://schemas.openxmlformats.org/officeDocument/2006/relationships/hyperlink" Id="rId53" Target="https://blog.rstudio.com/2019/02/06/rstudio-conf-2019-workshops/" TargetMode="External" /><Relationship Type="http://schemas.openxmlformats.org/officeDocument/2006/relationships/hyperlink" Id="rId54" Target="https://carpentries.github.io/trainer-training/" TargetMode="External" /><Relationship Type="http://schemas.openxmlformats.org/officeDocument/2006/relationships/hyperlink" Id="rId52" Target="https://carpentries.org" TargetMode="External" /><Relationship Type="http://schemas.openxmlformats.org/officeDocument/2006/relationships/hyperlink" Id="rId67" Target="https://creativecommons.org/about/program-areas/open-science/" TargetMode="External" /><Relationship Type="http://schemas.openxmlformats.org/officeDocument/2006/relationships/hyperlink" Id="rId49" Target="https://github.com/SCCWRP/SCAPE" TargetMode="External" /><Relationship Type="http://schemas.openxmlformats.org/officeDocument/2006/relationships/hyperlink" Id="rId48" Target="https://internetofwater.org/" TargetMode="External" /><Relationship Type="http://schemas.openxmlformats.org/officeDocument/2006/relationships/hyperlink" Id="rId33" Target="https://irods.org/" TargetMode="External" /><Relationship Type="http://schemas.openxmlformats.org/officeDocument/2006/relationships/hyperlink" Id="rId40" Target="https://knb.ecoinformatics.org/external//emlparser/docs/index.html" TargetMode="External" /><Relationship Type="http://schemas.openxmlformats.org/officeDocument/2006/relationships/hyperlink" Id="rId45" Target="https://leginfo.legislature.ca.gov/faces/billNavClient.xhtml?bill_id=201520160AB1755" TargetMode="External" /><Relationship Type="http://schemas.openxmlformats.org/officeDocument/2006/relationships/hyperlink" Id="rId43" Target="https://ropensci.org/" TargetMode="External" /><Relationship Type="http://schemas.openxmlformats.org/officeDocument/2006/relationships/hyperlink" Id="rId50" Target="https://sccwrp.shinyapps.io/SCAPE" TargetMode="External" /><Relationship Type="http://schemas.openxmlformats.org/officeDocument/2006/relationships/hyperlink" Id="rId37" Target="https://slack.com/" TargetMode="External" /><Relationship Type="http://schemas.openxmlformats.org/officeDocument/2006/relationships/hyperlink" Id="rId56" Target="https://waterdata.usgs.gov/nwis" TargetMode="External" /><Relationship Type="http://schemas.openxmlformats.org/officeDocument/2006/relationships/hyperlink" Id="rId47" Target="https://www.datacoalition.org/" TargetMode="External" /><Relationship Type="http://schemas.openxmlformats.org/officeDocument/2006/relationships/hyperlink" Id="rId32" Target="https://www.dataone.org/" TargetMode="External" /><Relationship Type="http://schemas.openxmlformats.org/officeDocument/2006/relationships/hyperlink" Id="rId58" Target="https://www.epa.gov/waterdata/water-quality-data-wqx" TargetMode="External" /><Relationship Type="http://schemas.openxmlformats.org/officeDocument/2006/relationships/hyperlink" Id="rId36" Target="https://www.google.com/docs/about/" TargetMode="External" /><Relationship Type="http://schemas.openxmlformats.org/officeDocument/2006/relationships/hyperlink" Id="rId46" Target="https://www.waterboards.ca.gov/press_room/press_releases/2018/pr_water_data_071018.pdf" TargetMode="External" /><Relationship Type="http://schemas.openxmlformats.org/officeDocument/2006/relationships/hyperlink" Id="rId41"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66" Target="http://opendefinition.org/" TargetMode="External" /><Relationship Type="http://schemas.openxmlformats.org/officeDocument/2006/relationships/hyperlink" Id="rId68" Target="http://openscience.org/" TargetMode="External" /><Relationship Type="http://schemas.openxmlformats.org/officeDocument/2006/relationships/hyperlink" Id="rId39" Target="http://www.safit.org/Docs/STE_1_March_2011_7MB.pdf" TargetMode="External" /><Relationship Type="http://schemas.openxmlformats.org/officeDocument/2006/relationships/hyperlink" Id="rId55" Target="https://acwi.gov/methods/pubs/over_pubs/valcomp_fs.pdf" TargetMode="External" /><Relationship Type="http://schemas.openxmlformats.org/officeDocument/2006/relationships/hyperlink" Id="rId57" Target="https://aquatic.biodata.usgs.gov/" TargetMode="External" /><Relationship Type="http://schemas.openxmlformats.org/officeDocument/2006/relationships/hyperlink" Id="rId53" Target="https://blog.rstudio.com/2019/02/06/rstudio-conf-2019-workshops/" TargetMode="External" /><Relationship Type="http://schemas.openxmlformats.org/officeDocument/2006/relationships/hyperlink" Id="rId54" Target="https://carpentries.github.io/trainer-training/" TargetMode="External" /><Relationship Type="http://schemas.openxmlformats.org/officeDocument/2006/relationships/hyperlink" Id="rId52" Target="https://carpentries.org" TargetMode="External" /><Relationship Type="http://schemas.openxmlformats.org/officeDocument/2006/relationships/hyperlink" Id="rId67" Target="https://creativecommons.org/about/program-areas/open-science/" TargetMode="External" /><Relationship Type="http://schemas.openxmlformats.org/officeDocument/2006/relationships/hyperlink" Id="rId49" Target="https://github.com/SCCWRP/SCAPE" TargetMode="External" /><Relationship Type="http://schemas.openxmlformats.org/officeDocument/2006/relationships/hyperlink" Id="rId48" Target="https://internetofwater.org/" TargetMode="External" /><Relationship Type="http://schemas.openxmlformats.org/officeDocument/2006/relationships/hyperlink" Id="rId33" Target="https://irods.org/" TargetMode="External" /><Relationship Type="http://schemas.openxmlformats.org/officeDocument/2006/relationships/hyperlink" Id="rId40" Target="https://knb.ecoinformatics.org/external//emlparser/docs/index.html" TargetMode="External" /><Relationship Type="http://schemas.openxmlformats.org/officeDocument/2006/relationships/hyperlink" Id="rId45" Target="https://leginfo.legislature.ca.gov/faces/billNavClient.xhtml?bill_id=201520160AB1755" TargetMode="External" /><Relationship Type="http://schemas.openxmlformats.org/officeDocument/2006/relationships/hyperlink" Id="rId43" Target="https://ropensci.org/" TargetMode="External" /><Relationship Type="http://schemas.openxmlformats.org/officeDocument/2006/relationships/hyperlink" Id="rId50" Target="https://sccwrp.shinyapps.io/SCAPE" TargetMode="External" /><Relationship Type="http://schemas.openxmlformats.org/officeDocument/2006/relationships/hyperlink" Id="rId37" Target="https://slack.com/" TargetMode="External" /><Relationship Type="http://schemas.openxmlformats.org/officeDocument/2006/relationships/hyperlink" Id="rId56" Target="https://waterdata.usgs.gov/nwis" TargetMode="External" /><Relationship Type="http://schemas.openxmlformats.org/officeDocument/2006/relationships/hyperlink" Id="rId47" Target="https://www.datacoalition.org/" TargetMode="External" /><Relationship Type="http://schemas.openxmlformats.org/officeDocument/2006/relationships/hyperlink" Id="rId32" Target="https://www.dataone.org/" TargetMode="External" /><Relationship Type="http://schemas.openxmlformats.org/officeDocument/2006/relationships/hyperlink" Id="rId58" Target="https://www.epa.gov/waterdata/water-quality-data-wqx" TargetMode="External" /><Relationship Type="http://schemas.openxmlformats.org/officeDocument/2006/relationships/hyperlink" Id="rId36" Target="https://www.google.com/docs/about/" TargetMode="External" /><Relationship Type="http://schemas.openxmlformats.org/officeDocument/2006/relationships/hyperlink" Id="rId46" Target="https://www.waterboards.ca.gov/press_room/press_releases/2018/pr_water_data_071018.pdf" TargetMode="External" /><Relationship Type="http://schemas.openxmlformats.org/officeDocument/2006/relationships/hyperlink" Id="rId41"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dc:title>
  <dc:creator>Marcus W. Beck (marcusb@sccwrp.org), Casey O’Hara (ohara@nceas.ucsb.edu), Julia Stewart Lowndes (lowndes@nceas.ucsb.edu), Raphael D. Mazor (raphaelm@sccwrp.org), Susanna Theroux (susannat@sccwrp.org), David J. Gillett (davidg@sccwrp.org), Belize Lane (belize.lane@usu.edu), Greg Gearheart (greg.gearheart@waterboards.ca.gov)</dc:creator>
  <cp:keywords/>
  <dcterms:created xsi:type="dcterms:W3CDTF">2020-02-28T21:23:27Z</dcterms:created>
  <dcterms:modified xsi:type="dcterms:W3CDTF">2020-02-28T21:23:27Z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ecology.csl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