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7.png" ContentType="image/png"/>
  <Override PartName="/word/media/rId68.png" ContentType="image/png"/>
  <Override PartName="/word/media/rId6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2020-05-20 12:42:16</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2016</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Open science and its ideals originated partly due to failures of reproducibility and biases in the primary literature that were revealed as systematic concerns in research fields with immediate implications for human health</w:t>
      </w:r>
      <w:r>
        <w:t xml:space="preserve"> </w:t>
      </w:r>
      <w:r>
        <w:t xml:space="preserve">(Makel et al.</w:t>
      </w:r>
      <w:r>
        <w:t xml:space="preserve"> </w:t>
      </w:r>
      <w:hyperlink w:anchor="ref-Makel12">
        <w:r>
          <w:rPr>
            <w:rStyle w:val="Hyperlink"/>
          </w:rPr>
          <w:t xml:space="preserve">2012</w:t>
        </w:r>
      </w:hyperlink>
      <w:r>
        <w:t xml:space="preserve">, Franco et al.</w:t>
      </w:r>
      <w:r>
        <w:t xml:space="preserve"> </w:t>
      </w:r>
      <w:hyperlink w:anchor="ref-Franco14">
        <w:r>
          <w:rPr>
            <w:rStyle w:val="Hyperlink"/>
          </w:rPr>
          <w:t xml:space="preserve">2014</w:t>
        </w:r>
      </w:hyperlink>
      <w:r>
        <w:t xml:space="preserve">)</w:t>
      </w:r>
      <w:r>
        <w:t xml:space="preserve">. These ideas and the failures that they address have slowly permeated the ecological and environmental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BodyText"/>
      </w:pPr>
      <w:r>
        <w:t xml:space="preserve">An important practice that is currently not used in bioassessment for project planning is study pre-registration. This is a relatively new addition to the philosophy of open science that allows a research team to define their study procedures, expected outcomes, and statistical analysis plans in advance of the actual study</w:t>
      </w:r>
      <w:r>
        <w:t xml:space="preserve"> </w:t>
      </w:r>
      <w:r>
        <w:t xml:space="preserve">(Munafó et al.</w:t>
      </w:r>
      <w:r>
        <w:t xml:space="preserve"> </w:t>
      </w:r>
      <w:hyperlink w:anchor="ref-Munafo17">
        <w:r>
          <w:rPr>
            <w:rStyle w:val="Hyperlink"/>
          </w:rPr>
          <w:t xml:space="preserve">2017</w:t>
        </w:r>
      </w:hyperlink>
      <w:r>
        <w:t xml:space="preserve">)</w:t>
      </w:r>
      <w:r>
        <w:t xml:space="preserve">. Although the standard scientific method may seem to support such proactive practices, pre-registration is an explicit declaration to make the intentions of a study design clear to avoid publication bias where only positive outcomes are reported and to prevent an interpretive result where the researcher retrospectively defines study objectives after initial results are obtained if they do not agree with expectations. This latter issue is a serious concern where scientists use postdiction with significant hindsight bias in place of prediction and conventional hypothesis testing to inform scientific discovery</w:t>
      </w:r>
      <w:r>
        <w:t xml:space="preserve"> </w:t>
      </w:r>
      <w:r>
        <w:t xml:space="preserve">(Nosek et al.</w:t>
      </w:r>
      <w:r>
        <w:t xml:space="preserve"> </w:t>
      </w:r>
      <w:hyperlink w:anchor="ref-Nosek18">
        <w:r>
          <w:rPr>
            <w:rStyle w:val="Hyperlink"/>
          </w:rPr>
          <w:t xml:space="preserve">2018</w:t>
        </w:r>
      </w:hyperlink>
      <w:r>
        <w:t xml:space="preserve">)</w:t>
      </w:r>
      <w:r>
        <w:t xml:space="preserve">. Pre-registration has been used extensively in clinical research</w:t>
      </w:r>
      <w:r>
        <w:t xml:space="preserve"> </w:t>
      </w:r>
      <w:r>
        <w:t xml:space="preserve">(Dickersin and Rennie</w:t>
      </w:r>
      <w:r>
        <w:t xml:space="preserve"> </w:t>
      </w:r>
      <w:hyperlink w:anchor="ref-Dickersin03">
        <w:r>
          <w:rPr>
            <w:rStyle w:val="Hyperlink"/>
          </w:rPr>
          <w:t xml:space="preserve">2003</w:t>
        </w:r>
      </w:hyperlink>
      <w:r>
        <w:t xml:space="preserve">)</w:t>
      </w:r>
      <w:r>
        <w:t xml:space="preserve">, where outcomes often have immediate implications for human health and well-being. In contrast, bioassessment studies often focus on developing applied products, where conventional hypothesis testing is less a concern. However, pre-registration could be an important tool for the environmental sciences where an explicit declaration of study intent as being exploratory or applied could prevent postdiction or an otherwise misuse of study results after a project is completed. Existing venues that support pre-registration of studies across multiple disciplines could be used in bioassessment study planning (e.g., [Open Science Framework(</w:t>
      </w:r>
      <w:hyperlink r:id="rId39">
        <w:r>
          <w:rPr>
            <w:rStyle w:val="Hyperlink"/>
          </w:rPr>
          <w:t xml:space="preserve">http://osf.io/</w:t>
        </w:r>
      </w:hyperlink>
      <w:r>
        <w:t xml:space="preserve">),</w:t>
      </w:r>
      <w:r>
        <w:t xml:space="preserve"> </w:t>
      </w:r>
      <w:hyperlink r:id="rId40">
        <w:r>
          <w:rPr>
            <w:rStyle w:val="Hyperlink"/>
          </w:rPr>
          <w:t xml:space="preserve">AsPredicted</w:t>
        </w:r>
      </w:hyperlink>
      <w:r>
        <w:t xml:space="preserve">).</w:t>
      </w:r>
    </w:p>
    <w:p>
      <w:pPr>
        <w:pStyle w:val="Heading3"/>
      </w:pPr>
      <w:bookmarkStart w:id="41" w:name="curating-bioassessment-data"/>
      <w:r>
        <w:t xml:space="preserve">Curating bioassessment data</w:t>
      </w:r>
      <w:bookmarkEnd w:id="41"/>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2">
        <w:r>
          <w:rPr>
            <w:rStyle w:val="Hyperlink"/>
          </w:rPr>
          <w:t xml:space="preserve">STE</w:t>
        </w:r>
      </w:hyperlink>
      <w:r>
        <w:t xml:space="preserve">) tables that are critical for many biological indices, although some standardized databases have faciliated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In contrast, molecular techniques based on DNA barcoding eliminate the need for direct species collection and morphological identification</w:t>
      </w:r>
      <w:r>
        <w:t xml:space="preserve"> </w:t>
      </w:r>
      <w:r>
        <w:t xml:space="preserve">(Deiner et al.</w:t>
      </w:r>
      <w:r>
        <w:t xml:space="preserve"> </w:t>
      </w:r>
      <w:hyperlink w:anchor="ref-Deiner17">
        <w:r>
          <w:rPr>
            <w:rStyle w:val="Hyperlink"/>
          </w:rPr>
          <w:t xml:space="preserve">2017</w:t>
        </w:r>
      </w:hyperlink>
      <w:r>
        <w:t xml:space="preserve">, Hering et al.</w:t>
      </w:r>
      <w:r>
        <w:t xml:space="preserve"> </w:t>
      </w:r>
      <w:hyperlink w:anchor="ref-Hering18">
        <w:r>
          <w:rPr>
            <w:rStyle w:val="Hyperlink"/>
          </w:rPr>
          <w:t xml:space="preserve">2018</w:t>
        </w:r>
      </w:hyperlink>
      <w:r>
        <w:t xml:space="preserve">)</w:t>
      </w:r>
      <w:r>
        <w:t xml:space="preserve">. These next-generation approaches have capitalized on advances in database development that allow open access by diverse researchers across disciplines and are well-suited for the development of additional open science tools. Despite these advances, molecular-based approaches have also suffered from challenges related to standardization of workflows and coverage of reference databases</w:t>
      </w:r>
      <w:r>
        <w:t xml:space="preserve"> </w:t>
      </w:r>
      <w:r>
        <w:t xml:space="preserve">(White et al.</w:t>
      </w:r>
      <w:r>
        <w:t xml:space="preserve"> </w:t>
      </w:r>
      <w:hyperlink w:anchor="ref-White14">
        <w:r>
          <w:rPr>
            <w:rStyle w:val="Hyperlink"/>
          </w:rPr>
          <w:t xml:space="preserve">2014</w:t>
        </w:r>
      </w:hyperlink>
      <w:r>
        <w:t xml:space="preserve">, Elbrecht et al.</w:t>
      </w:r>
      <w:r>
        <w:t xml:space="preserve"> </w:t>
      </w:r>
      <w:hyperlink w:anchor="ref-Elbrecht17">
        <w:r>
          <w:rPr>
            <w:rStyle w:val="Hyperlink"/>
          </w:rPr>
          <w:t xml:space="preserve">2017</w:t>
        </w:r>
      </w:hyperlink>
      <w:r>
        <w:t xml:space="preserve">)</w:t>
      </w:r>
      <w:r>
        <w:t xml:space="preserve">.</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3">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R is fundamentally a statistical language and several existing R packages can be used to evaluate and support bioassessment data.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at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2">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3">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4" w:name="limitations-and-opportunities"/>
      <w:r>
        <w:t xml:space="preserve">Limitations and opportunities</w:t>
      </w:r>
      <w:bookmarkEnd w:id="54"/>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5">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6">
        <w:r>
          <w:rPr>
            <w:rStyle w:val="Hyperlink"/>
          </w:rPr>
          <w:t xml:space="preserve">workshops</w:t>
        </w:r>
      </w:hyperlink>
      <w:r>
        <w:t xml:space="preserve"> </w:t>
      </w:r>
      <w:r>
        <w:t xml:space="preserve">and</w:t>
      </w:r>
      <w:r>
        <w:t xml:space="preserve"> </w:t>
      </w:r>
      <w:hyperlink r:id="rId57">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8">
        <w:r>
          <w:rPr>
            <w:rStyle w:val="Hyperlink"/>
          </w:rPr>
          <w:t xml:space="preserve">initiatives</w:t>
        </w:r>
      </w:hyperlink>
      <w:r>
        <w:t xml:space="preserve">, US Geological Survey products through</w:t>
      </w:r>
      <w:r>
        <w:t xml:space="preserve"> </w:t>
      </w:r>
      <w:hyperlink r:id="rId59">
        <w:r>
          <w:rPr>
            <w:rStyle w:val="Hyperlink"/>
          </w:rPr>
          <w:t xml:space="preserve">NWIS</w:t>
        </w:r>
      </w:hyperlink>
      <w:r>
        <w:t xml:space="preserve"> </w:t>
      </w:r>
      <w:r>
        <w:t xml:space="preserve">and</w:t>
      </w:r>
      <w:r>
        <w:t xml:space="preserve"> </w:t>
      </w:r>
      <w:hyperlink r:id="rId60">
        <w:r>
          <w:rPr>
            <w:rStyle w:val="Hyperlink"/>
          </w:rPr>
          <w:t xml:space="preserve">BioData</w:t>
        </w:r>
      </w:hyperlink>
      <w:r>
        <w:t xml:space="preserve">, US Environmental Protection Agency through</w:t>
      </w:r>
      <w:r>
        <w:t xml:space="preserve"> </w:t>
      </w:r>
      <w:hyperlink r:id="rId61">
        <w:r>
          <w:rPr>
            <w:rStyle w:val="Hyperlink"/>
          </w:rPr>
          <w:t xml:space="preserve">STORET/WQX</w:t>
        </w:r>
      </w:hyperlink>
      <w:r>
        <w:t xml:space="preserve">). Internationally, institutions in Europe and Canada that have projects supported by public funds are obligated to publish data and papers as open access (</w:t>
      </w:r>
      <w:hyperlink r:id="rId62">
        <w:r>
          <w:rPr>
            <w:rStyle w:val="Hyperlink"/>
          </w:rPr>
          <w:t xml:space="preserve">Horizon 2020</w:t>
        </w:r>
      </w:hyperlink>
      <w:r>
        <w:t xml:space="preserve">,</w:t>
      </w:r>
      <w:r>
        <w:t xml:space="preserve"> </w:t>
      </w:r>
      <w:hyperlink r:id="rId63">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4" w:name="conclusions"/>
      <w:r>
        <w:t xml:space="preserve">Conclusions</w:t>
      </w:r>
      <w:bookmarkEnd w:id="64"/>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65" w:name="acknowledgments"/>
      <w:r>
        <w:t xml:space="preserve">Acknowledgments</w:t>
      </w:r>
      <w:bookmarkEnd w:id="65"/>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6" w:name="figures"/>
      <w:r>
        <w:t xml:space="preserve">Figures</w:t>
      </w:r>
      <w:bookmarkEnd w:id="66"/>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7"/>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5943600" cy="5268414"/>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8"/>
                    <a:stretch>
                      <a:fillRect/>
                    </a:stretch>
                  </pic:blipFill>
                  <pic:spPr bwMode="auto">
                    <a:xfrm>
                      <a:off x="0" y="0"/>
                      <a:ext cx="5943600" cy="5268414"/>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70" w:name="tables"/>
      <w:r>
        <w:t xml:space="preserve">Tables</w:t>
      </w:r>
      <w:bookmarkEnd w:id="70"/>
    </w:p>
    <w:p>
      <w:pPr>
        <w:pStyle w:val="TableCaption"/>
      </w:pPr>
      <w:r>
        <w:t xml:space="preserve">Table 1: Core definitions and principles of open science, from Open Knowledge International,</w:t>
      </w:r>
      <w:r>
        <w:t xml:space="preserve"> </w:t>
      </w:r>
      <w:hyperlink r:id="rId71">
        <w:r>
          <w:rPr>
            <w:rStyle w:val="Hyperlink"/>
          </w:rPr>
          <w:t xml:space="preserve">http://opendefinition.org/</w:t>
        </w:r>
      </w:hyperlink>
      <w:r>
        <w:t xml:space="preserve">, Creative Commons,</w:t>
      </w:r>
      <w:r>
        <w:t xml:space="preserve"> </w:t>
      </w:r>
      <w:hyperlink r:id="rId72">
        <w:r>
          <w:rPr>
            <w:rStyle w:val="Hyperlink"/>
          </w:rPr>
          <w:t xml:space="preserve">https://creativecommons.org/about/program-areas/open-science/</w:t>
        </w:r>
      </w:hyperlink>
      <w:r>
        <w:t xml:space="preserve">, D. Gezelter,</w:t>
      </w:r>
      <w:r>
        <w:t xml:space="preserve"> </w:t>
      </w:r>
      <w:hyperlink r:id="rId73">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4" w:name="references"/>
      <w:r>
        <w:t xml:space="preserve">References</w:t>
      </w:r>
      <w:bookmarkEnd w:id="74"/>
    </w:p>
    <w:bookmarkStart w:id="182" w:name="refs"/>
    <w:bookmarkStart w:id="75" w:name="ref-Allaire18"/>
    <w:p>
      <w:pPr>
        <w:pStyle w:val="Bibliography"/>
      </w:pPr>
      <w:r>
        <w:t xml:space="preserve">Allaire, J., Y. Xie, J. McPherson, J. Luraschi, K. Ushey, A. Atkins, H. Wickham, J. Cheng, and W. Chang. 2018. Rmarkdown: Dynamic documents for r.</w:t>
      </w:r>
    </w:p>
    <w:bookmarkEnd w:id="75"/>
    <w:bookmarkStart w:id="76" w:name="ref-Allen19"/>
    <w:p>
      <w:pPr>
        <w:pStyle w:val="Bibliography"/>
      </w:pPr>
      <w:r>
        <w:t xml:space="preserve">Allen, C., and D. M. A. Mehler. 2019. Open science challenges, benefits and tips in early career and beyond. PLoS Biology 17:e3000246.</w:t>
      </w:r>
    </w:p>
    <w:bookmarkEnd w:id="76"/>
    <w:bookmarkStart w:id="77" w:name="ref-Appelhans18"/>
    <w:p>
      <w:pPr>
        <w:pStyle w:val="Bibliography"/>
      </w:pPr>
      <w:r>
        <w:t xml:space="preserve">Appelhans, T., F. Detsch, C. Reudenbach, and S. Woellauer. 2018. Mapview: Interactive viewing of spatial data in r.</w:t>
      </w:r>
    </w:p>
    <w:bookmarkEnd w:id="77"/>
    <w:bookmarkStart w:id="78" w:name="ref-Baird12"/>
    <w:p>
      <w:pPr>
        <w:pStyle w:val="Bibliography"/>
      </w:pPr>
      <w:r>
        <w:t xml:space="preserve">Baird, D. J., and M. Hajibabaei. 2012. Biomonitoring 2.0: A new paradigm in ecosystem assessment made possible by next-generation dna sequencing. Molecular Ecology 21:2039–2044.</w:t>
      </w:r>
    </w:p>
    <w:bookmarkEnd w:id="78"/>
    <w:bookmarkStart w:id="79" w:name="ref-Baker15"/>
    <w:p>
      <w:pPr>
        <w:pStyle w:val="Bibliography"/>
      </w:pPr>
      <w:r>
        <w:t xml:space="preserve">Baker, M. E., R. S. King, and D. Kahle. 2015. TITAN2: Threshold indicator taxa analysis.</w:t>
      </w:r>
    </w:p>
    <w:bookmarkEnd w:id="79"/>
    <w:bookmarkStart w:id="80" w:name="ref-Beck18c"/>
    <w:p>
      <w:pPr>
        <w:pStyle w:val="Bibliography"/>
      </w:pPr>
      <w:r>
        <w:t xml:space="preserve">Beck, M. W. 2018a. SCCWRP/SCAPE: v1.0 (Version 1.0). Zenodo, http://doi.org/10.5281/zenodo.1218121.</w:t>
      </w:r>
    </w:p>
    <w:bookmarkEnd w:id="80"/>
    <w:bookmarkStart w:id="81" w:name="ref-Beck18d"/>
    <w:p>
      <w:pPr>
        <w:pStyle w:val="Bibliography"/>
      </w:pPr>
      <w:r>
        <w:t xml:space="preserve">Beck, M. W. 2018b. Constrained streams for biological integrity in California. Knowledge Network for Biocomplexity. urn:uuid:75411f50-32ed-42a5-bbfd-26833c7a441f.</w:t>
      </w:r>
    </w:p>
    <w:bookmarkEnd w:id="81"/>
    <w:bookmarkStart w:id="82" w:name="ref-Beck09"/>
    <w:p>
      <w:pPr>
        <w:pStyle w:val="Bibliography"/>
      </w:pPr>
      <w:r>
        <w:t xml:space="preserve">Beck, M. W., and L. K. Hatch. 2009. A review of research on the development of lake indices of biotic integrity. Environmental Reviews 17:21–44.</w:t>
      </w:r>
    </w:p>
    <w:bookmarkEnd w:id="82"/>
    <w:bookmarkStart w:id="83"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3"/>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4"/>
    <w:bookmarkStart w:id="85" w:name="ref-BondLamberty16"/>
    <w:p>
      <w:pPr>
        <w:pStyle w:val="Bibliography"/>
      </w:pPr>
      <w:r>
        <w:t xml:space="preserve">Bond-Lamberty, B., A. P. Smith, and V. Bailey. 2016. Running an open experiment: Transparency and reproducibility in soil and ecosystem science. Environmental Research Letters 11:1–7.</w:t>
      </w:r>
    </w:p>
    <w:bookmarkEnd w:id="85"/>
    <w:bookmarkStart w:id="86"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6"/>
    <w:bookmarkStart w:id="87" w:name="ref-Borja16b"/>
    <w:p>
      <w:pPr>
        <w:pStyle w:val="Bibliography"/>
      </w:pPr>
      <w:r>
        <w:t xml:space="preserve">Borja, A., M. Elliot, J. H. Anderson, T. Berg, J. Carstensen, B. S. Halpern, A. S. Heiskanen, S. Korpinen, J. S. S. Lowndes, G. Martin, and N. Rodriguez-Ezpeleta. 2016. Overview of integrative assessment of marine systems: The ecosystem approach in practice. Frontiers in Marine Science 3:20.</w:t>
      </w:r>
    </w:p>
    <w:bookmarkEnd w:id="87"/>
    <w:bookmarkStart w:id="88"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9"/>
    <w:bookmarkStart w:id="90" w:name="ref-Bried14"/>
    <w:p>
      <w:pPr>
        <w:pStyle w:val="Bibliography"/>
      </w:pPr>
      <w:r>
        <w:t xml:space="preserve">Bried, J. T., S. K. Jog, A. R. Dzialowski, and C. A. Davis. 2014. Potential vegetation criteria for identifying reference-quality wetlands in the south-central United States. Wetlands 34:1159–1169.</w:t>
      </w:r>
    </w:p>
    <w:bookmarkEnd w:id="90"/>
    <w:bookmarkStart w:id="91" w:name="ref-Cao11"/>
    <w:p>
      <w:pPr>
        <w:pStyle w:val="Bibliography"/>
      </w:pPr>
      <w:r>
        <w:t xml:space="preserve">Cao, Y., and C. Hawkins. 2011. The comparability of bioassessments: A review of conceptual and methodological issues. Journal of the North American Benthological Society 30:680–701.</w:t>
      </w:r>
    </w:p>
    <w:bookmarkEnd w:id="91"/>
    <w:bookmarkStart w:id="92"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92"/>
    <w:bookmarkStart w:id="93" w:name="ref-Chang18"/>
    <w:p>
      <w:pPr>
        <w:pStyle w:val="Bibliography"/>
      </w:pPr>
      <w:r>
        <w:t xml:space="preserve">Chang, W., J. Cheng, J. Allaire, Y. Xie, and J. McPherson. 2018. Shiny: Web application framework for r.</w:t>
      </w:r>
    </w:p>
    <w:bookmarkEnd w:id="93"/>
    <w:bookmarkStart w:id="94" w:name="ref-Cheng18"/>
    <w:p>
      <w:pPr>
        <w:pStyle w:val="Bibliography"/>
      </w:pPr>
      <w:r>
        <w:t xml:space="preserve">Cheng, J., B. Karambelkar, and Y. Xie. 2018. Leaflet: Create interactive web maps with the javascript ’leaflet’ library.</w:t>
      </w:r>
    </w:p>
    <w:bookmarkEnd w:id="94"/>
    <w:bookmarkStart w:id="95" w:name="ref-Cheruvelil18"/>
    <w:p>
      <w:pPr>
        <w:pStyle w:val="Bibliography"/>
      </w:pPr>
      <w:r>
        <w:t xml:space="preserve">Cheruvelil, K. S., and P. A. Soranno. 2018. Data-intensive ecological research is catalyzed by open science and team science. BioScience 68:813–822.</w:t>
      </w:r>
    </w:p>
    <w:bookmarkEnd w:id="95"/>
    <w:bookmarkStart w:id="96"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6"/>
    <w:bookmarkStart w:id="97" w:name="ref-Collins16"/>
    <w:p>
      <w:pPr>
        <w:pStyle w:val="Bibliography"/>
      </w:pPr>
      <w:r>
        <w:t xml:space="preserve">Collins, S. L. 2016. Vegetation science in the age of big data. Journal of Vegetation Science 27:865–867.</w:t>
      </w:r>
    </w:p>
    <w:bookmarkEnd w:id="97"/>
    <w:bookmarkStart w:id="98"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8"/>
    <w:bookmarkStart w:id="99"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9"/>
    <w:bookmarkStart w:id="100" w:name="ref-Dale01"/>
    <w:p>
      <w:pPr>
        <w:pStyle w:val="Bibliography"/>
      </w:pPr>
      <w:r>
        <w:t xml:space="preserve">Dale, V. H., and S. C. Beyeler. 2001. Challenges in the development and use of ecological indicators. Ecological Indicators 1:3–10.</w:t>
      </w:r>
    </w:p>
    <w:bookmarkEnd w:id="100"/>
    <w:bookmarkStart w:id="101" w:name="ref-Darling13"/>
    <w:p>
      <w:pPr>
        <w:pStyle w:val="Bibliography"/>
      </w:pPr>
      <w:r>
        <w:t xml:space="preserve">Darling, E. S., D. Shiffman, I. M. Côte, and J. A. Drew. 2013. The role of Twitter in the life cycle of a scientific publication. Ideas in Ecology and Evolution 6:32–43.</w:t>
      </w:r>
    </w:p>
    <w:bookmarkEnd w:id="101"/>
    <w:bookmarkStart w:id="102" w:name="ref-Davies06"/>
    <w:p>
      <w:pPr>
        <w:pStyle w:val="Bibliography"/>
      </w:pPr>
      <w:r>
        <w:t xml:space="preserve">Davies, S. P., and S. K. Jackson. 2006. The biological condition gradient: A descriptive model for interpreting change in aquatic ecosystems. Ecological Applications 16:1251–1266.</w:t>
      </w:r>
    </w:p>
    <w:bookmarkEnd w:id="102"/>
    <w:bookmarkStart w:id="103" w:name="ref-DeCaceres09"/>
    <w:p>
      <w:pPr>
        <w:pStyle w:val="Bibliography"/>
      </w:pPr>
      <w:r>
        <w:t xml:space="preserve">De Caceres, M., and P. Legendre. 2009. Associations between species and groups of sites: Indices and statistical inference. Ecology.</w:t>
      </w:r>
    </w:p>
    <w:bookmarkEnd w:id="103"/>
    <w:bookmarkStart w:id="104" w:name="ref-Deiner17"/>
    <w:p>
      <w:pPr>
        <w:pStyle w:val="Bibliography"/>
      </w:pPr>
      <w:r>
        <w:t xml:space="preserve">Deiner, K., H. M. Bik, E. Mächler, M. Seymour, A. Lacoursiére‐Roussel, F. Altermatt, S. Creer, I. Bista, D. M. Lodge, N. de Vere, M. E. Pfrender, and L. Bernatchez. 2017. Environmental DNA metabarcoding: Transforming how we survey animal and plant communities. Molecular Ecology 26:5872–5895.</w:t>
      </w:r>
    </w:p>
    <w:bookmarkEnd w:id="104"/>
    <w:bookmarkStart w:id="105" w:name="ref-Dickersin03"/>
    <w:p>
      <w:pPr>
        <w:pStyle w:val="Bibliography"/>
      </w:pPr>
      <w:r>
        <w:t xml:space="preserve">Dickersin, K., and D. Rennie. 2003. Registering clinical trials. 290 4:516–523.</w:t>
      </w:r>
    </w:p>
    <w:bookmarkEnd w:id="105"/>
    <w:bookmarkStart w:id="106" w:name="ref-Elbrecht17"/>
    <w:p>
      <w:pPr>
        <w:pStyle w:val="Bibliography"/>
      </w:pPr>
      <w:r>
        <w:t xml:space="preserve">Elbrecht, V., E. E. Vamos, K. Meissner, J. Aroviita, and F. Leese. 2017. Assessing strengths and weaknesses of dna metabarcoding-based macroinvertebrate identification for routine stream monitoring. Methods in Ecology and Evolution 8:1265–1275.</w:t>
      </w:r>
    </w:p>
    <w:bookmarkEnd w:id="106"/>
    <w:bookmarkStart w:id="107" w:name="ref-Essl20"/>
    <w:p>
      <w:pPr>
        <w:pStyle w:val="Bibliography"/>
      </w:pPr>
      <w:r>
        <w:t xml:space="preserve">Essl, F., F. Courchamp, S. Dullinger, J. M. Jeschke, and S. Schindler. 2020. Make open access publishing fair and transparent! BioScience 70:201–204.</w:t>
      </w:r>
    </w:p>
    <w:bookmarkEnd w:id="107"/>
    <w:bookmarkStart w:id="108"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8"/>
    <w:bookmarkStart w:id="109" w:name="ref-Fore02"/>
    <w:p>
      <w:pPr>
        <w:pStyle w:val="Bibliography"/>
      </w:pPr>
      <w:r>
        <w:t xml:space="preserve">Fore, L. S., and C. Grafe. 2002. Using diatoms to assess the biological condition of large rivers in Idaho (U.S.A.). Freshwater Biology 47:2015–2037.</w:t>
      </w:r>
    </w:p>
    <w:bookmarkEnd w:id="109"/>
    <w:bookmarkStart w:id="110" w:name="ref-Franco14"/>
    <w:p>
      <w:pPr>
        <w:pStyle w:val="Bibliography"/>
      </w:pPr>
      <w:r>
        <w:t xml:space="preserve">Franco, A., N. Malhotra, and G. Simonovits. 2014. Publication bias in the social sciences: Unlocking the file drawer. Science 345:1502–1505.</w:t>
      </w:r>
    </w:p>
    <w:bookmarkEnd w:id="110"/>
    <w:bookmarkStart w:id="111" w:name="ref-Grand12"/>
    <w:p>
      <w:pPr>
        <w:pStyle w:val="Bibliography"/>
      </w:pPr>
      <w:r>
        <w:t xml:space="preserve">Grand, A., C. Wilkinson, K. Bultitude, and A. F. T. Winfield. 2012. Open science: A new "trust technology"? Science Communication 34:679–689.</w:t>
      </w:r>
    </w:p>
    <w:bookmarkEnd w:id="111"/>
    <w:bookmarkStart w:id="112"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12"/>
    <w:bookmarkStart w:id="113"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13"/>
    <w:bookmarkStart w:id="114"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14"/>
    <w:bookmarkStart w:id="115"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15"/>
    <w:bookmarkStart w:id="116"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16"/>
    <w:bookmarkStart w:id="117"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7"/>
    <w:bookmarkStart w:id="118"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8"/>
    <w:bookmarkStart w:id="119" w:name="ref-Hering18"/>
    <w:p>
      <w:pPr>
        <w:pStyle w:val="Bibliography"/>
      </w:pPr>
      <w:r>
        <w:t xml:space="preserve">Hering, D., A. Borja, J. I. Jones, D. Pont, P. Boets, A. Bouchez, K. Bruce, S. Drakare, B. Hänfling, M. Kahlert, F. Leese, K. Meissner, P. Mergen, Y. Reyjol, P. Segurado, A. Vogler, and M. Kelly. 2018. Implementation options for DNA-based identification into ecological status assessment under the European Water Framework Directive. Water Research 138:192–205.</w:t>
      </w:r>
    </w:p>
    <w:bookmarkEnd w:id="119"/>
    <w:bookmarkStart w:id="120" w:name="ref-Hijmans19"/>
    <w:p>
      <w:pPr>
        <w:pStyle w:val="Bibliography"/>
      </w:pPr>
      <w:r>
        <w:t xml:space="preserve">Hijmans, R. J. 2019. Raster: Geographic data analysis and modeling.</w:t>
      </w:r>
    </w:p>
    <w:bookmarkEnd w:id="120"/>
    <w:bookmarkStart w:id="121"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21"/>
    <w:bookmarkStart w:id="122"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22"/>
    <w:bookmarkStart w:id="123"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23"/>
    <w:bookmarkStart w:id="124"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24"/>
    <w:bookmarkStart w:id="125" w:name="ref-Ihle17"/>
    <w:p>
      <w:pPr>
        <w:pStyle w:val="Bibliography"/>
      </w:pPr>
      <w:r>
        <w:t xml:space="preserve">Ihle, M., I. S. Winney, A. Krystalli, and M. Croucher. 2017. Striving for transparent and credible research: Practical guidelines for behavioral ecologists. Behavioral Ecology 28:348–354.</w:t>
      </w:r>
    </w:p>
    <w:bookmarkEnd w:id="125"/>
    <w:bookmarkStart w:id="126"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26"/>
    <w:bookmarkStart w:id="127"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27"/>
    <w:bookmarkStart w:id="128" w:name="ref-Kerans94"/>
    <w:p>
      <w:pPr>
        <w:pStyle w:val="Bibliography"/>
      </w:pPr>
      <w:r>
        <w:t xml:space="preserve">Kerans, B. L., and J. R. Karr. 1994. A benthic index of biotic integrity (B-IBI) for rivers of the Tennessee Valley. Ecological Applications 4:768–785.</w:t>
      </w:r>
    </w:p>
    <w:bookmarkEnd w:id="128"/>
    <w:bookmarkStart w:id="129"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9"/>
    <w:bookmarkStart w:id="130"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30"/>
    <w:bookmarkStart w:id="131" w:name="ref-Kuehne19"/>
    <w:p>
      <w:pPr>
        <w:pStyle w:val="Bibliography"/>
      </w:pPr>
      <w:r>
        <w:t xml:space="preserve">Kuehne, L. M., and A. L. Strecker, and J. D. Olden. 2019. Knowledge exchange and social capital for freshwater ecosystem assessments. BioScience 70:174–183.</w:t>
      </w:r>
    </w:p>
    <w:bookmarkEnd w:id="131"/>
    <w:bookmarkStart w:id="132"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32"/>
    <w:bookmarkStart w:id="133"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33"/>
    <w:bookmarkStart w:id="134" w:name="ref-Lai19"/>
    <w:p>
      <w:pPr>
        <w:pStyle w:val="Bibliography"/>
      </w:pPr>
      <w:r>
        <w:t xml:space="preserve">Lai, J., C. J. Lortie, R. A. Muenchen, J. Yang, and K. Ma. 2019. Evaluating the popularity of R in ecology. Ecosphere 10:e02567.</w:t>
      </w:r>
    </w:p>
    <w:bookmarkEnd w:id="134"/>
    <w:bookmarkStart w:id="135" w:name="ref-Landman09"/>
    <w:p>
      <w:pPr>
        <w:pStyle w:val="Bibliography"/>
      </w:pPr>
      <w:r>
        <w:t xml:space="preserve">Landman, A., and S. A. Glantz. 2009. Tobacco industry efforts to undermine policy-relevant research. American Journal of Public Health 99:45–58.</w:t>
      </w:r>
    </w:p>
    <w:bookmarkEnd w:id="135"/>
    <w:bookmarkStart w:id="136" w:name="ref-Lenat01"/>
    <w:p>
      <w:pPr>
        <w:pStyle w:val="Bibliography"/>
      </w:pPr>
      <w:r>
        <w:t xml:space="preserve">Lenat, D. R., and V. H. Resh. 2001. Taxonomy and stream ecology - the benefits of genus- and species-level identifications. Journal of the North American Benthological Society 20:287–298.</w:t>
      </w:r>
    </w:p>
    <w:bookmarkEnd w:id="136"/>
    <w:bookmarkStart w:id="137" w:name="ref-Lewandowsky16"/>
    <w:p>
      <w:pPr>
        <w:pStyle w:val="Bibliography"/>
      </w:pPr>
      <w:r>
        <w:t xml:space="preserve">Lewandowsky, S., and D. Bishop. 2016. Research integrity: Don’t let transparency damage science. Nature 529:459–461.</w:t>
      </w:r>
    </w:p>
    <w:bookmarkEnd w:id="137"/>
    <w:bookmarkStart w:id="138" w:name="ref-Liaw02"/>
    <w:p>
      <w:pPr>
        <w:pStyle w:val="Bibliography"/>
      </w:pPr>
      <w:r>
        <w:t xml:space="preserve">Liaw, A., and M. Wiener. 2002. Classification and regression by randomForest. R News 2:18–22.</w:t>
      </w:r>
    </w:p>
    <w:bookmarkEnd w:id="138"/>
    <w:bookmarkStart w:id="139"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9"/>
    <w:bookmarkStart w:id="140" w:name="ref-Lortie14"/>
    <w:p>
      <w:pPr>
        <w:pStyle w:val="Bibliography"/>
      </w:pPr>
      <w:r>
        <w:t xml:space="preserve">Lortie, C. J. 2014. Formalized synthesis opportunities for ecology: Systematic reviews and meta-analyses. OIKOS 123:897–902.</w:t>
      </w:r>
    </w:p>
    <w:bookmarkEnd w:id="140"/>
    <w:bookmarkStart w:id="141"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41"/>
    <w:bookmarkStart w:id="142" w:name="ref-Makel12"/>
    <w:p>
      <w:pPr>
        <w:pStyle w:val="Bibliography"/>
      </w:pPr>
      <w:r>
        <w:t xml:space="preserve">Makel, M. C., J. A. Plucker, and B. Hegarty. 2012. Replications in psychology research: How often do they really occur? Perspectives on Psychological Science 7:537–542.</w:t>
      </w:r>
    </w:p>
    <w:bookmarkEnd w:id="142"/>
    <w:bookmarkStart w:id="143"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43"/>
    <w:bookmarkStart w:id="144"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44"/>
    <w:bookmarkStart w:id="145"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45"/>
    <w:bookmarkStart w:id="146" w:name="ref-McKay12"/>
    <w:p>
      <w:pPr>
        <w:pStyle w:val="Bibliography"/>
      </w:pPr>
      <w:r>
        <w:t xml:space="preserve">McKay, L., T. Bondelid, T. Dewald, J. Johnston, R. Moore, and A. Reah. 2012. NHDPlus Version 2: User Guide.</w:t>
      </w:r>
    </w:p>
    <w:bookmarkEnd w:id="146"/>
    <w:bookmarkStart w:id="147" w:name="ref-Michener97"/>
    <w:p>
      <w:pPr>
        <w:pStyle w:val="Bibliography"/>
      </w:pPr>
      <w:r>
        <w:t xml:space="preserve">Michener, W. K., J. W. Brunt, J. J. Helly, T. B. Kirchner, and S. G. Stafford. 1997. Nongeospatial metadata for the ecological sciences. Ecological Applications 7:330–342.</w:t>
      </w:r>
    </w:p>
    <w:bookmarkEnd w:id="147"/>
    <w:bookmarkStart w:id="148" w:name="ref-Mitchell05"/>
    <w:p>
      <w:pPr>
        <w:pStyle w:val="Bibliography"/>
      </w:pPr>
      <w:r>
        <w:t xml:space="preserve">Mitchell, B. 2005. Integrated water resource management, institutional arrangements, and land use planning. Environmental Planning A: Economy and Space 37:1335–1352.</w:t>
      </w:r>
    </w:p>
    <w:bookmarkEnd w:id="148"/>
    <w:bookmarkStart w:id="149" w:name="ref-Munafo17"/>
    <w:p>
      <w:pPr>
        <w:pStyle w:val="Bibliography"/>
      </w:pPr>
      <w:r>
        <w:t xml:space="preserve">Munafó, M. R., B. A. Nosek, D. V. M. Bishop, K. S. Button, C. D. Chambers, N. P. du Sert, U. Simonsohn, E. J. Wagenmakers, J. J. Ware, and J. P. A. Loannidis. 2017. A manifesto for reproducible science. Nature Human Behavior 1.</w:t>
      </w:r>
    </w:p>
    <w:bookmarkEnd w:id="149"/>
    <w:bookmarkStart w:id="15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50"/>
    <w:bookmarkStart w:id="151" w:name="ref-Nosek18"/>
    <w:p>
      <w:pPr>
        <w:pStyle w:val="Bibliography"/>
      </w:pPr>
      <w:r>
        <w:t xml:space="preserve">Nosek, B. A., C. R. Ebersole, A. C. DeHaven, and D. T. Mellor. 2018. The preregistration revolution. Proceedings of the National Academy of Sciences 115:2600–2606.</w:t>
      </w:r>
    </w:p>
    <w:bookmarkEnd w:id="151"/>
    <w:bookmarkStart w:id="15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52"/>
    <w:bookmarkStart w:id="15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53"/>
    <w:bookmarkStart w:id="154"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54"/>
    <w:bookmarkStart w:id="155" w:name="ref-Pebesma18"/>
    <w:p>
      <w:pPr>
        <w:pStyle w:val="Bibliography"/>
      </w:pPr>
      <w:r>
        <w:t xml:space="preserve">Pebesma, E. 2018. Sf: Simple features for r.</w:t>
      </w:r>
    </w:p>
    <w:bookmarkEnd w:id="155"/>
    <w:bookmarkStart w:id="15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56"/>
    <w:bookmarkStart w:id="157" w:name="ref-Pinheiro18"/>
    <w:p>
      <w:pPr>
        <w:pStyle w:val="Bibliography"/>
      </w:pPr>
      <w:r>
        <w:t xml:space="preserve">Pinheiro, J., D. Bates, S. DebRoy, D. Sarkar, and R Core Team. 2018. nlme: Linear and nonlinear mixed effects models.</w:t>
      </w:r>
    </w:p>
    <w:bookmarkEnd w:id="157"/>
    <w:bookmarkStart w:id="15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58"/>
    <w:bookmarkStart w:id="15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59"/>
    <w:bookmarkStart w:id="160" w:name="ref-Powers19"/>
    <w:p>
      <w:pPr>
        <w:pStyle w:val="Bibliography"/>
      </w:pPr>
      <w:r>
        <w:t xml:space="preserve">Powers, S. M., and S. E. Hampton. 2019. Open science, reproducibility, and transparency in ecology. Ecological Applications 29:e01822.</w:t>
      </w:r>
    </w:p>
    <w:bookmarkEnd w:id="160"/>
    <w:bookmarkStart w:id="161" w:name="ref-RDCT18"/>
    <w:p>
      <w:pPr>
        <w:pStyle w:val="Bibliography"/>
      </w:pPr>
      <w:r>
        <w:t xml:space="preserve">RDCT (R Development Core Team). 2018. R: A language and environment for statistical computing, v3.5.1. R Foundation for Statistical Computing, Vienna, Austria.</w:t>
      </w:r>
    </w:p>
    <w:bookmarkEnd w:id="161"/>
    <w:bookmarkStart w:id="16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62"/>
    <w:bookmarkStart w:id="16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63"/>
    <w:bookmarkStart w:id="16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64"/>
    <w:bookmarkStart w:id="16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65"/>
    <w:bookmarkStart w:id="16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66"/>
    <w:bookmarkStart w:id="16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67"/>
    <w:bookmarkStart w:id="168" w:name="ref-Taylor14"/>
    <w:p>
      <w:pPr>
        <w:pStyle w:val="Bibliography"/>
      </w:pPr>
      <w:r>
        <w:t xml:space="preserve">Taylor, J. M., R. S. King, A. A. Pease, and K. O. Winemiller. 2014. Nonlinear response of stream ecosystem structure to low-level phosphorus enrichment. Freshwater Biology 59:969–984.</w:t>
      </w:r>
    </w:p>
    <w:bookmarkEnd w:id="168"/>
    <w:bookmarkStart w:id="169" w:name="ref-Touchon16"/>
    <w:p>
      <w:pPr>
        <w:pStyle w:val="Bibliography"/>
      </w:pPr>
      <w:r>
        <w:t xml:space="preserve">Touchon, J. C., and M. W. McCoy. 2016. The mismatch between current statistical practice and doctoral training in ecology. Ecosphere 7:e01394.</w:t>
      </w:r>
    </w:p>
    <w:bookmarkEnd w:id="169"/>
    <w:bookmarkStart w:id="170" w:name="ref-White14"/>
    <w:p>
      <w:pPr>
        <w:pStyle w:val="Bibliography"/>
      </w:pPr>
      <w:r>
        <w:t xml:space="preserve">White, B. P., E. M. Pilgrim, L. M. Boykin, E. D. Stein, and R. D. Mazor. 2014. Comparison of four species-delimitation methods applied to a DNA barcode data set of insect larvae for use in routine bioassessment. Freshwater Science 33:338–348.</w:t>
      </w:r>
    </w:p>
    <w:bookmarkEnd w:id="170"/>
    <w:bookmarkStart w:id="171" w:name="ref-Wickham09"/>
    <w:p>
      <w:pPr>
        <w:pStyle w:val="Bibliography"/>
      </w:pPr>
      <w:r>
        <w:t xml:space="preserve">Wickham, H. 2009. Ggplot2: Elegant graphics for data analysis. Springer-Verlag. New York.</w:t>
      </w:r>
    </w:p>
    <w:bookmarkEnd w:id="171"/>
    <w:bookmarkStart w:id="172" w:name="ref-Wickham15"/>
    <w:p>
      <w:pPr>
        <w:pStyle w:val="Bibliography"/>
      </w:pPr>
      <w:r>
        <w:t xml:space="preserve">Wickham, H. 2015. R packages. Page 182. O’Reilly, Sebastopol, California.</w:t>
      </w:r>
    </w:p>
    <w:bookmarkEnd w:id="172"/>
    <w:bookmarkStart w:id="173" w:name="ref-Wickham17b"/>
    <w:p>
      <w:pPr>
        <w:pStyle w:val="Bibliography"/>
      </w:pPr>
      <w:r>
        <w:t xml:space="preserve">Wickham, H. 2017. Tidyverse: Easily install and load the ’tidyverse’.</w:t>
      </w:r>
    </w:p>
    <w:bookmarkEnd w:id="173"/>
    <w:bookmarkStart w:id="174" w:name="ref-Wickham18"/>
    <w:p>
      <w:pPr>
        <w:pStyle w:val="Bibliography"/>
      </w:pPr>
      <w:r>
        <w:t xml:space="preserve">Wickham, H., J. Hester, and W. Chang. 2018. Devtools: Tools to make developing r packages easier.</w:t>
      </w:r>
    </w:p>
    <w:bookmarkEnd w:id="174"/>
    <w:bookmarkStart w:id="175" w:name="ref-Wilkinson05"/>
    <w:p>
      <w:pPr>
        <w:pStyle w:val="Bibliography"/>
      </w:pPr>
      <w:r>
        <w:t xml:space="preserve">Wilkinson, L. 2005. The grammar of graphics. Page 691. second. Statistics; Computing, Springer, New York.</w:t>
      </w:r>
    </w:p>
    <w:bookmarkEnd w:id="175"/>
    <w:bookmarkStart w:id="176" w:name="ref-Woelfle11"/>
    <w:p>
      <w:pPr>
        <w:pStyle w:val="Bibliography"/>
      </w:pPr>
      <w:r>
        <w:t xml:space="preserve">Woelfle, M., P. Olliaro, and M. H. Todd. 2011. Open science is a research accelerator. Nature Chemistry 3:745–748.</w:t>
      </w:r>
    </w:p>
    <w:bookmarkEnd w:id="176"/>
    <w:bookmarkStart w:id="177" w:name="ref-Wood17"/>
    <w:p>
      <w:pPr>
        <w:pStyle w:val="Bibliography"/>
      </w:pPr>
      <w:r>
        <w:t xml:space="preserve">Wood, S. N. 2017. Generalized additive models: An introduction with r. Page 476. 2nd editions. Chapman; Hall, CRC Press, London, United Kingdom.</w:t>
      </w:r>
    </w:p>
    <w:bookmarkEnd w:id="177"/>
    <w:bookmarkStart w:id="178" w:name="ref-Xie15"/>
    <w:p>
      <w:pPr>
        <w:pStyle w:val="Bibliography"/>
      </w:pPr>
      <w:r>
        <w:t xml:space="preserve">Xie, Y. 2015. Dynamic documents with R and knitr. 2nd editions. Chapman; Hall/CRC, Boca Raton, Florida.</w:t>
      </w:r>
    </w:p>
    <w:bookmarkEnd w:id="178"/>
    <w:bookmarkStart w:id="179" w:name="ref-Yenni19"/>
    <w:p>
      <w:pPr>
        <w:pStyle w:val="Bibliography"/>
      </w:pPr>
      <w:r>
        <w:t xml:space="preserve">Yenni, G. M., E. M. Christensen, E. K. Bledsoe, S. R. Supp, R. M. Diaz, E. P. White, and s. K. M. Ernest. 2019. Developing a modern data workflow for regularly updated data. PLoS Biology 17:e3000125.</w:t>
      </w:r>
    </w:p>
    <w:bookmarkEnd w:id="179"/>
    <w:bookmarkStart w:id="180" w:name="ref-Yuan04"/>
    <w:p>
      <w:pPr>
        <w:pStyle w:val="Bibliography"/>
      </w:pPr>
      <w:r>
        <w:t xml:space="preserve">Yuan, L. L. 2004. Assigning macroinvertebrate tolerance classifications using generalised additive models. Freshwater Biology 49:662–677.</w:t>
      </w:r>
    </w:p>
    <w:bookmarkEnd w:id="180"/>
    <w:bookmarkStart w:id="18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81"/>
    <w:bookmarkEnd w:id="18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2020-05-20T16:42:35Z</dcterms:created>
  <dcterms:modified xsi:type="dcterms:W3CDTF">2020-05-20T16:42:35Z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