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7.png" ContentType="image/png"/>
  <Override PartName="/word/media/rId68.png" ContentType="image/png"/>
  <Override PartName="/word/media/rId6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r>
        <w:t xml:space="preserve"> </w:t>
      </w:r>
      <w:r>
        <w:t xml:space="preserve">of</w:t>
      </w:r>
      <w:r>
        <w:t xml:space="preserve"> </w:t>
      </w:r>
      <w:r>
        <w:t xml:space="preserve">aquatic</w:t>
      </w:r>
      <w:r>
        <w:t xml:space="preserve"> </w:t>
      </w:r>
      <w:r>
        <w:t xml:space="preserve">environments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2020-06-18 13:27:11</w:t>
      </w:r>
    </w:p>
    <w:p>
      <w:pPr>
        <w:pStyle w:val="Heading1"/>
      </w:pPr>
      <w:bookmarkStart w:id="28" w:name="abstract"/>
      <w:r>
        <w:t xml:space="preserve">Abstract</w:t>
      </w:r>
      <w:bookmarkEnd w:id="28"/>
    </w:p>
    <w:p>
      <w:pPr>
        <w:pStyle w:val="FirstParagraph"/>
      </w:pPr>
      <w:r>
        <w:t xml:space="preserve">Open science principles that seek to improve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Europe (Water Framework Directive), China (Environmental Quality Standards for Surface Water), South Africa (National Water Act), and elsewhere</w:t>
      </w:r>
      <w:r>
        <w:t xml:space="preserve"> </w:t>
      </w:r>
      <w:r>
        <w:t xml:space="preserve">(Borja et al.</w:t>
      </w:r>
      <w:r>
        <w:t xml:space="preserve"> </w:t>
      </w:r>
      <w:hyperlink w:anchor="ref-Borja08">
        <w:r>
          <w:rPr>
            <w:rStyle w:val="Hyperlink"/>
          </w:rPr>
          <w:t xml:space="preserve">2008</w:t>
        </w:r>
      </w:hyperlink>
      <w:r>
        <w:t xml:space="preserve">)</w:t>
      </w:r>
      <w:r>
        <w:t xml:space="preser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w:t>
      </w:r>
      <w:hyperlink w:anchor="ref-Borja16b">
        <w:r>
          <w:rPr>
            <w:rStyle w:val="Hyperlink"/>
          </w:rPr>
          <w:t xml:space="preserve">2016</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improve all aspects of the scientific method can help meet these needs and there is a unique opportunity in bioassessment to leverage openness to support public resources. Open science and its ideals originated partly due to failures of reproducibility and biases in the primary literature that were revealed as systematic concerns in research fields with immediate implications for human health</w:t>
      </w:r>
      <w:r>
        <w:t xml:space="preserve"> </w:t>
      </w:r>
      <w:r>
        <w:t xml:space="preserve">(Makel et al.</w:t>
      </w:r>
      <w:r>
        <w:t xml:space="preserve"> </w:t>
      </w:r>
      <w:hyperlink w:anchor="ref-Makel12">
        <w:r>
          <w:rPr>
            <w:rStyle w:val="Hyperlink"/>
          </w:rPr>
          <w:t xml:space="preserve">2012</w:t>
        </w:r>
      </w:hyperlink>
      <w:r>
        <w:t xml:space="preserve">, Franco et al.</w:t>
      </w:r>
      <w:r>
        <w:t xml:space="preserve"> </w:t>
      </w:r>
      <w:hyperlink w:anchor="ref-Franco14">
        <w:r>
          <w:rPr>
            <w:rStyle w:val="Hyperlink"/>
          </w:rPr>
          <w:t xml:space="preserve">2014</w:t>
        </w:r>
      </w:hyperlink>
      <w:r>
        <w:t xml:space="preserve">)</w:t>
      </w:r>
      <w:r>
        <w:t xml:space="preserve">. These ideas and the failures that they address have slowly permeated the ecological and environmental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w:t>
      </w:r>
      <w:r>
        <w:t xml:space="preserve">and has enabled a shift towards publishing structures that are more fair and transparent through open access</w:t>
      </w:r>
      <w:r>
        <w:t xml:space="preserve"> </w:t>
      </w:r>
      <w:r>
        <w:t xml:space="preserve">(Oudenhoven et al.</w:t>
      </w:r>
      <w:r>
        <w:t xml:space="preserve"> </w:t>
      </w:r>
      <w:hyperlink w:anchor="ref-vanoudenhoven16">
        <w:r>
          <w:rPr>
            <w:rStyle w:val="Hyperlink"/>
          </w:rPr>
          <w:t xml:space="preserve">2016</w:t>
        </w:r>
      </w:hyperlink>
      <w:r>
        <w:t xml:space="preserve">, Essl et al.</w:t>
      </w:r>
      <w:r>
        <w:t xml:space="preserve"> </w:t>
      </w:r>
      <w:hyperlink w:anchor="ref-Essl20">
        <w:r>
          <w:rPr>
            <w:rStyle w:val="Hyperlink"/>
          </w:rPr>
          <w:t xml:space="preserve">2020</w:t>
        </w:r>
      </w:hyperlink>
      <w:r>
        <w:t xml:space="preserve">)</w:t>
      </w:r>
      <w:r>
        <w:t xml:space="preserve">. Limited examples have suggested that open access databases can be leveraged to develop bioassessment products that increase transparency among stakeholders</w:t>
      </w:r>
      <w:r>
        <w:t xml:space="preserve"> </w:t>
      </w:r>
      <w:r>
        <w:t xml:space="preserve">(Borja et al.</w:t>
      </w:r>
      <w:r>
        <w:t xml:space="preserve"> </w:t>
      </w:r>
      <w:hyperlink w:anchor="ref-Borja19">
        <w:r>
          <w:rPr>
            <w:rStyle w:val="Hyperlink"/>
          </w:rPr>
          <w:t xml:space="preserve">2019</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Heading1"/>
      </w:pPr>
      <w:bookmarkStart w:id="30" w:name="survey-methodology-and-objectives"/>
      <w:r>
        <w:t xml:space="preserve">Survey Methodology and Objectives</w:t>
      </w:r>
      <w:bookmarkEnd w:id="30"/>
    </w:p>
    <w:p>
      <w:pPr>
        <w:pStyle w:val="FirstParagraph"/>
      </w:pPr>
      <w:r>
        <w:t xml:space="preserve">This review draws on previous literature to describe approaches for open science that can empower the research and management community to embrace a new mode of thinking for bioassessment applications. These approaches are expected to benefit the bioassessment research community by providing new tools that augment existing workflows for developing assessment products and improving their ability to address environmental issues by bridging the gap between the scientific, management, and regulatory communities. The intended audience for this review is primarily the research team that develops bioassessment products, but we also write for the funders and users (e.g., regulators and managers) of these products to emphasize the value of investing in open science for the protection of public resources.</w:t>
      </w:r>
    </w:p>
    <w:p>
      <w:pPr>
        <w:pStyle w:val="BodyText"/>
      </w:pPr>
      <w:r>
        <w:t xml:space="preserve">This traditional review covers literature published in recent years advocating for open science in different fields of study. Because no similar efforts have yet been made to apply these principles to bioassessment, we draw on examples from the previous literature that demonstrate successful applications in other fields to motivate researchers and practitioners to embrace these new ideas in bioassessment. Comprehensive and unbiased coverage of the previous literature was accomplished by querying online search engines, primarily Google Scholar, with search terms as they relate to open science (e.g.,</w:t>
      </w:r>
      <w:r>
        <w:t xml:space="preserve"> </w:t>
      </w:r>
      <w:r>
        <w:t xml:space="preserve">“</w:t>
      </w:r>
      <w:r>
        <w:t xml:space="preserve">reproducibility</w:t>
      </w:r>
      <w:r>
        <w:t xml:space="preserve">”</w:t>
      </w:r>
      <w:r>
        <w:t xml:space="preserve">,</w:t>
      </w:r>
      <w:r>
        <w:t xml:space="preserve"> </w:t>
      </w:r>
      <w:r>
        <w:t xml:space="preserve">“</w:t>
      </w:r>
      <w:r>
        <w:t xml:space="preserve">data science</w:t>
      </w:r>
      <w:r>
        <w:t xml:space="preserve">”</w:t>
      </w:r>
      <w:r>
        <w:t xml:space="preserve">,</w:t>
      </w:r>
      <w:r>
        <w:t xml:space="preserve"> </w:t>
      </w:r>
      <w:r>
        <w:t xml:space="preserve">“</w:t>
      </w:r>
      <w:r>
        <w:t xml:space="preserve">open source</w:t>
      </w:r>
      <w:r>
        <w:t xml:space="preserve">”</w:t>
      </w:r>
      <w:r>
        <w:t xml:space="preserve">) and with Boolean operators to find applications to bioassessment (e.g.,</w:t>
      </w:r>
      <w:r>
        <w:t xml:space="preserve"> </w:t>
      </w:r>
      <w:r>
        <w:t xml:space="preserve">“</w:t>
      </w:r>
      <w:r>
        <w:t xml:space="preserve">reproducibility AND bioassessment</w:t>
      </w:r>
      <w:r>
        <w:t xml:space="preserve">”</w:t>
      </w:r>
      <w:r>
        <w:t xml:space="preserve">). Studies were included if they provided general overview of open science concepts that were relevant to bioassessment or if they directly described open science applications to bioassessment, although the latter were scarce. Emphasis was given to the breadth of research that has supported the development of open source software applications that can aid bioassessment, both as general tools and more specific programs tailored for indicator development. We excluded studies that described applications with citizen science components. Although citizen science can be a valuable tool for researchers and managers, methods for effective implementation are beyond the scope of this review.</w:t>
      </w:r>
    </w:p>
    <w:p>
      <w:pPr>
        <w:pStyle w:val="BodyText"/>
      </w:pPr>
      <w:r>
        <w:t xml:space="preserve">Our objectives are to 1) provide a general overview of principles of open science and 2) empower the research community by providing examples of how these principles can be applied to bioassessment. For the second objective, we also provide a case study of stream bioassessment in the urban landscape of southern California to demonstrate a successful proof of concept.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 We structure the review by first introducing open science principles, then describing how these principles could be applied to bioassessment (i.e., developing goals, curating data, and applying open-source software) including a case study example, and lastly providing a discussion of limitations and opportunities to better contextualize real world applications of open science.</w:t>
      </w:r>
    </w:p>
    <w:p>
      <w:pPr>
        <w:pStyle w:val="Heading1"/>
      </w:pPr>
      <w:bookmarkStart w:id="31" w:name="principles-of-open-science"/>
      <w:r>
        <w:t xml:space="preserve">Principles of open science</w:t>
      </w:r>
      <w:bookmarkEnd w:id="31"/>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2" w:name="Xbf8c292c1daddbce5945243d231da1b60c0d135"/>
      <w:r>
        <w:t xml:space="preserve">Open data as a component of the open science process</w:t>
      </w:r>
      <w:bookmarkEnd w:id="32"/>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Prominent examples that can benefit next-generation bioassessment methods, such as molecular-based techniques for species identification, include the BarCode of Life Data Systems (BOLD) and GenBank repositories.</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6" w:name="developing-bioassessment-goals"/>
      <w:r>
        <w:t xml:space="preserve">Developing bioassessment goals</w:t>
      </w:r>
      <w:bookmarkEnd w:id="36"/>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7">
        <w:r>
          <w:rPr>
            <w:rStyle w:val="Hyperlink"/>
          </w:rPr>
          <w:t xml:space="preserve">Google documents</w:t>
        </w:r>
      </w:hyperlink>
      <w:r>
        <w:t xml:space="preserve">,</w:t>
      </w:r>
      <w:r>
        <w:t xml:space="preserve"> </w:t>
      </w:r>
      <w:hyperlink r:id="rId38">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BodyText"/>
      </w:pPr>
      <w:r>
        <w:t xml:space="preserve">An important practice that is not often used in bioassessment for project planning is study pre-registration. This is a relatively new addition to the philosophy of open science that allows a research team to define their study procedures, expected outcomes, and statistical analysis plans in advance of the actual study</w:t>
      </w:r>
      <w:r>
        <w:t xml:space="preserve"> </w:t>
      </w:r>
      <w:r>
        <w:t xml:space="preserve">(Munafó et al.</w:t>
      </w:r>
      <w:r>
        <w:t xml:space="preserve"> </w:t>
      </w:r>
      <w:hyperlink w:anchor="ref-Munafo17">
        <w:r>
          <w:rPr>
            <w:rStyle w:val="Hyperlink"/>
          </w:rPr>
          <w:t xml:space="preserve">2017</w:t>
        </w:r>
      </w:hyperlink>
      <w:r>
        <w:t xml:space="preserve">)</w:t>
      </w:r>
      <w:r>
        <w:t xml:space="preserve">. Although the standard scientific method may seem to support such proactive practices, pre-registration is an explicit declaration to make the intentions of a study design clear to avoid publication bias where only positive outcomes are reported and to prevent an interpretive result where the researcher retrospectively defines study objectives after initial results are obtained if they do not agree with expectations. This latter issue is a serious concern where scientists use postdiction with significant hindsight bias in place of prediction and conventional hypothesis testing to inform scientific discovery</w:t>
      </w:r>
      <w:r>
        <w:t xml:space="preserve"> </w:t>
      </w:r>
      <w:r>
        <w:t xml:space="preserve">(Nosek et al.</w:t>
      </w:r>
      <w:r>
        <w:t xml:space="preserve"> </w:t>
      </w:r>
      <w:hyperlink w:anchor="ref-Nosek18">
        <w:r>
          <w:rPr>
            <w:rStyle w:val="Hyperlink"/>
          </w:rPr>
          <w:t xml:space="preserve">2018</w:t>
        </w:r>
      </w:hyperlink>
      <w:r>
        <w:t xml:space="preserve">)</w:t>
      </w:r>
      <w:r>
        <w:t xml:space="preserve">. Registered reports can also be used as a publishing format where an initial study design is peer-reviewed and the article is provisionally accepted by a journal if the results are created with methods that do not deviate from the accepted design. This promotes greater coverage in the primary literature of null conclusions that otherwise may not have been published, reducing bias for publishing positive results.</w:t>
      </w:r>
    </w:p>
    <w:p>
      <w:pPr>
        <w:pStyle w:val="BodyText"/>
      </w:pPr>
      <w:r>
        <w:t xml:space="preserve">Pre-registration has been used extensively in clinical research</w:t>
      </w:r>
      <w:r>
        <w:t xml:space="preserve"> </w:t>
      </w:r>
      <w:r>
        <w:t xml:space="preserve">(Dickersin and Rennie</w:t>
      </w:r>
      <w:r>
        <w:t xml:space="preserve"> </w:t>
      </w:r>
      <w:hyperlink w:anchor="ref-Dickersin03">
        <w:r>
          <w:rPr>
            <w:rStyle w:val="Hyperlink"/>
          </w:rPr>
          <w:t xml:space="preserve">2003</w:t>
        </w:r>
      </w:hyperlink>
      <w:r>
        <w:t xml:space="preserve">)</w:t>
      </w:r>
      <w:r>
        <w:t xml:space="preserve">, where outcomes often have immediate implications for human health and well-being. In contrast, bioassessment studies often focus on developing applied products, where conventional hypothesis testing is less a concern. Studies are typically methods-focused where a research product is developed to address a management or regulatory need, rather than a specific research question with a testable hypothesis. However, pre-registration could be an important tool for the environmental sciences where an explicit declaration of study intent as being applied or methods-focused could prevent postdiction or an otherwise misuse of study results after a project is completed. Existing venues that support pre-registration of studies across multiple disciplines could be used in bioassessment study planning (e.g., [Open Science Framework(</w:t>
      </w:r>
      <w:hyperlink r:id="rId39">
        <w:r>
          <w:rPr>
            <w:rStyle w:val="Hyperlink"/>
          </w:rPr>
          <w:t xml:space="preserve">http://osf.io/</w:t>
        </w:r>
      </w:hyperlink>
      <w:r>
        <w:t xml:space="preserve">),</w:t>
      </w:r>
      <w:r>
        <w:t xml:space="preserve"> </w:t>
      </w:r>
      <w:hyperlink r:id="rId40">
        <w:r>
          <w:rPr>
            <w:rStyle w:val="Hyperlink"/>
          </w:rPr>
          <w:t xml:space="preserve">AsPredicted</w:t>
        </w:r>
      </w:hyperlink>
      <w:r>
        <w:t xml:space="preserve">).</w:t>
      </w:r>
    </w:p>
    <w:p>
      <w:pPr>
        <w:pStyle w:val="Heading3"/>
      </w:pPr>
      <w:bookmarkStart w:id="41" w:name="curating-bioassessment-data"/>
      <w:r>
        <w:t xml:space="preserve">Curating bioassessment data</w:t>
      </w:r>
      <w:bookmarkEnd w:id="41"/>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42">
        <w:r>
          <w:rPr>
            <w:rStyle w:val="Hyperlink"/>
          </w:rPr>
          <w:t xml:space="preserve">STE</w:t>
        </w:r>
      </w:hyperlink>
      <w:r>
        <w:t xml:space="preserve">) tables that are critical for many biological indices, although some standardized databases have facilitated broad-scale comparisons</w:t>
      </w:r>
      <w:r>
        <w:t xml:space="preserve"> </w:t>
      </w:r>
      <w:r>
        <w:t xml:space="preserve">(e.g., World Register of Marine Species, Costello et al.</w:t>
      </w:r>
      <w:r>
        <w:t xml:space="preserve"> </w:t>
      </w:r>
      <w:hyperlink w:anchor="ref-Costello13">
        <w:r>
          <w:rPr>
            <w:rStyle w:val="Hyperlink"/>
          </w:rPr>
          <w:t xml:space="preserve">2013</w:t>
        </w:r>
      </w:hyperlink>
      <w:r>
        <w:t xml:space="preserve">)</w:t>
      </w:r>
      <w:r>
        <w:t xml:space="preserve">.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In contrast, molecular techniques based on DNA barcoding eliminate the need for direct species collection and morphological identification</w:t>
      </w:r>
      <w:r>
        <w:t xml:space="preserve"> </w:t>
      </w:r>
      <w:r>
        <w:t xml:space="preserve">(Deiner et al.</w:t>
      </w:r>
      <w:r>
        <w:t xml:space="preserve"> </w:t>
      </w:r>
      <w:hyperlink w:anchor="ref-Deiner17">
        <w:r>
          <w:rPr>
            <w:rStyle w:val="Hyperlink"/>
          </w:rPr>
          <w:t xml:space="preserve">2017</w:t>
        </w:r>
      </w:hyperlink>
      <w:r>
        <w:t xml:space="preserve">, Hering et al.</w:t>
      </w:r>
      <w:r>
        <w:t xml:space="preserve"> </w:t>
      </w:r>
      <w:hyperlink w:anchor="ref-Hering18">
        <w:r>
          <w:rPr>
            <w:rStyle w:val="Hyperlink"/>
          </w:rPr>
          <w:t xml:space="preserve">2018</w:t>
        </w:r>
      </w:hyperlink>
      <w:r>
        <w:t xml:space="preserve">)</w:t>
      </w:r>
      <w:r>
        <w:t xml:space="preserve">. These next-generation approaches have capitalized on advances in database development that allow open access by diverse researchers across disciplines and are well-suited for the development of additional open science tools. Despite these advances, molecular-based approaches have also suffered from challenges related to standardization of workflows and coverage of reference databases</w:t>
      </w:r>
      <w:r>
        <w:t xml:space="preserve"> </w:t>
      </w:r>
      <w:r>
        <w:t xml:space="preserve">(White et al.</w:t>
      </w:r>
      <w:r>
        <w:t xml:space="preserve"> </w:t>
      </w:r>
      <w:hyperlink w:anchor="ref-White14">
        <w:r>
          <w:rPr>
            <w:rStyle w:val="Hyperlink"/>
          </w:rPr>
          <w:t xml:space="preserve">2014</w:t>
        </w:r>
      </w:hyperlink>
      <w:r>
        <w:t xml:space="preserve">, Elbrecht et al.</w:t>
      </w:r>
      <w:r>
        <w:t xml:space="preserve"> </w:t>
      </w:r>
      <w:hyperlink w:anchor="ref-Elbrecht17">
        <w:r>
          <w:rPr>
            <w:rStyle w:val="Hyperlink"/>
          </w:rPr>
          <w:t xml:space="preserve">2017</w:t>
        </w:r>
      </w:hyperlink>
      <w:r>
        <w:t xml:space="preserve">)</w:t>
      </w:r>
      <w:r>
        <w:t xml:space="preserve">.</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3">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4">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5" w:name="using-r-for-bioassessment-application"/>
      <w:r>
        <w:t xml:space="preserve">Using R for bioassessment application</w:t>
      </w:r>
      <w:bookmarkEnd w:id="45"/>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R is fundamentally a statistical language and several existing R packages can be used to evaluate and support bioassessment data.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at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15000 user contributed packages, only a handful of these packages are specific to bioassessment. Community practices have allowed R to reach new audiences where new packages build on the work of others and are transportable between users and operating systems. Formalized communities, such as</w:t>
      </w:r>
      <w:r>
        <w:t xml:space="preserve"> </w:t>
      </w:r>
      <w:hyperlink r:id="rId46">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7" w:name="X397973545fdf2dcf48aebc59a90e0d17c54c534"/>
      <w:r>
        <w:t xml:space="preserve">Open science in practice: The SCAPE project</w:t>
      </w:r>
      <w:bookmarkEnd w:id="47"/>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8">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50">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1">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52">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3">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4" w:name="limitations-and-opportunities"/>
      <w:r>
        <w:t xml:space="preserve">Limitations and opportunities</w:t>
      </w:r>
      <w:bookmarkEnd w:id="54"/>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5">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6">
        <w:r>
          <w:rPr>
            <w:rStyle w:val="Hyperlink"/>
          </w:rPr>
          <w:t xml:space="preserve">workshops</w:t>
        </w:r>
      </w:hyperlink>
      <w:r>
        <w:t xml:space="preserve"> </w:t>
      </w:r>
      <w:r>
        <w:t xml:space="preserve">and</w:t>
      </w:r>
      <w:r>
        <w:t xml:space="preserve"> </w:t>
      </w:r>
      <w:hyperlink r:id="rId57">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Water Quality Monitoring Council</w:t>
      </w:r>
      <w:r>
        <w:t xml:space="preserve"> </w:t>
      </w:r>
      <w:hyperlink r:id="rId58">
        <w:r>
          <w:rPr>
            <w:rStyle w:val="Hyperlink"/>
          </w:rPr>
          <w:t xml:space="preserve">initiatives</w:t>
        </w:r>
      </w:hyperlink>
      <w:r>
        <w:t xml:space="preserve">, US Geological Survey products through</w:t>
      </w:r>
      <w:r>
        <w:t xml:space="preserve"> </w:t>
      </w:r>
      <w:hyperlink r:id="rId59">
        <w:r>
          <w:rPr>
            <w:rStyle w:val="Hyperlink"/>
          </w:rPr>
          <w:t xml:space="preserve">NWIS</w:t>
        </w:r>
      </w:hyperlink>
      <w:r>
        <w:t xml:space="preserve"> </w:t>
      </w:r>
      <w:r>
        <w:t xml:space="preserve">and</w:t>
      </w:r>
      <w:r>
        <w:t xml:space="preserve"> </w:t>
      </w:r>
      <w:hyperlink r:id="rId60">
        <w:r>
          <w:rPr>
            <w:rStyle w:val="Hyperlink"/>
          </w:rPr>
          <w:t xml:space="preserve">BioData</w:t>
        </w:r>
      </w:hyperlink>
      <w:r>
        <w:t xml:space="preserve">, US Environmental Protection Agency through</w:t>
      </w:r>
      <w:r>
        <w:t xml:space="preserve"> </w:t>
      </w:r>
      <w:hyperlink r:id="rId61">
        <w:r>
          <w:rPr>
            <w:rStyle w:val="Hyperlink"/>
          </w:rPr>
          <w:t xml:space="preserve">STORET/WQX</w:t>
        </w:r>
      </w:hyperlink>
      <w:r>
        <w:t xml:space="preserve">). Internationally, institutions in Europe and Canada that have projects supported by public funds are obligated to publish data and papers as open access (</w:t>
      </w:r>
      <w:hyperlink r:id="rId62">
        <w:r>
          <w:rPr>
            <w:rStyle w:val="Hyperlink"/>
          </w:rPr>
          <w:t xml:space="preserve">Horizon 2020</w:t>
        </w:r>
      </w:hyperlink>
      <w:r>
        <w:t xml:space="preserve">,</w:t>
      </w:r>
      <w:r>
        <w:t xml:space="preserve"> </w:t>
      </w:r>
      <w:hyperlink r:id="rId63">
        <w:r>
          <w:rPr>
            <w:rStyle w:val="Hyperlink"/>
          </w:rPr>
          <w:t xml:space="preserve">Tri-Agency Open Access Policy</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4" w:name="conclusions"/>
      <w:r>
        <w:t xml:space="preserve">Conclusions</w:t>
      </w:r>
      <w:bookmarkEnd w:id="64"/>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65" w:name="acknowledgments"/>
      <w:r>
        <w:t xml:space="preserve">Acknowledgments</w:t>
      </w:r>
      <w:bookmarkEnd w:id="65"/>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6" w:name="figures"/>
      <w:r>
        <w:t xml:space="preserve">Figures</w:t>
      </w:r>
      <w:bookmarkEnd w:id="66"/>
    </w:p>
    <w:p>
      <w:pPr>
        <w:pStyle w:val="CaptionedFigure"/>
      </w:pPr>
      <w:r>
        <w:drawing>
          <wp:inline>
            <wp:extent cx="5943600" cy="3968533"/>
            <wp:effectExtent b="0" l="0" r="0" t="0"/>
            <wp:docPr descr="Figure 1: A simplified workflow of the open science paradigm as appliedto bioassessment (adapted from Hampton et al. (2015)).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7"/>
                    <a:stretch>
                      <a:fillRect/>
                    </a:stretch>
                  </pic:blipFill>
                  <pic:spPr bwMode="auto">
                    <a:xfrm>
                      <a:off x="0" y="0"/>
                      <a:ext cx="5943600" cy="3968533"/>
                    </a:xfrm>
                    <a:prstGeom prst="rect">
                      <a:avLst/>
                    </a:prstGeom>
                    <a:noFill/>
                    <a:ln w="9525">
                      <a:noFill/>
                      <a:headEnd/>
                      <a:tailEnd/>
                    </a:ln>
                  </pic:spPr>
                </pic:pic>
              </a:graphicData>
            </a:graphic>
          </wp:inline>
        </w:drawing>
      </w:r>
    </w:p>
    <w:p>
      <w:pPr>
        <w:pStyle w:val="ImageCaption"/>
      </w:pPr>
      <w:r>
        <w:t xml:space="preserve">Figure 1: A simplified workflow of the open science paradigm as appliedto bioassessment (adapted from</w:t>
      </w:r>
      <w:r>
        <w:t xml:space="preserve"> </w:t>
      </w:r>
      <w:r>
        <w:t xml:space="preserve">Hampton et al. (</w:t>
      </w:r>
      <w:hyperlink w:anchor="ref-Hampton15">
        <w:r>
          <w:rPr>
            <w:rStyle w:val="Hyperlink"/>
          </w:rPr>
          <w:t xml:space="preserve">2015</w:t>
        </w:r>
      </w:hyperlink>
      <w:r>
        <w:t xml:space="preserve">)</w:t>
      </w:r>
      <w:r>
        <w:t xml:space="preserve">).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w:t>
      </w:r>
    </w:p>
    <w:p>
      <w:pPr>
        <w:pStyle w:val="CaptionedFigure"/>
      </w:pPr>
      <w:r>
        <w:drawing>
          <wp:inline>
            <wp:extent cx="5943600" cy="5268414"/>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8"/>
                    <a:stretch>
                      <a:fillRect/>
                    </a:stretch>
                  </pic:blipFill>
                  <pic:spPr bwMode="auto">
                    <a:xfrm>
                      <a:off x="0" y="0"/>
                      <a:ext cx="5943600" cy="5268414"/>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787189"/>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A) and sites with bioassessment scores are evaluated relative to the classifications. Sites can be under-scoring, as expected, or over-scoring relative to the segment classification and expected range of scores (B).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 title="" id="1" name="Picture"/>
            <a:graphic>
              <a:graphicData uri="http://schemas.openxmlformats.org/drawingml/2006/picture">
                <pic:pic>
                  <pic:nvPicPr>
                    <pic:cNvPr descr="figs/scapex.png" id="0" name="Picture"/>
                    <pic:cNvPicPr>
                      <a:picLocks noChangeArrowheads="1" noChangeAspect="1"/>
                    </pic:cNvPicPr>
                  </pic:nvPicPr>
                  <pic:blipFill>
                    <a:blip r:embed="rId69"/>
                    <a:stretch>
                      <a:fillRect/>
                    </a:stretch>
                  </pic:blipFill>
                  <pic:spPr bwMode="auto">
                    <a:xfrm>
                      <a:off x="0" y="0"/>
                      <a:ext cx="5943600" cy="5787189"/>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(A) and sites with bioassessment scores are evaluated relative to the classifications. Sites can be under-scoring, as expected, or over-scoring relative to the segment classification and expected range of scores (B).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w:t>
      </w:r>
    </w:p>
    <w:p>
      <w:pPr>
        <w:pStyle w:val="Heading1"/>
      </w:pPr>
      <w:bookmarkStart w:id="70" w:name="tables"/>
      <w:r>
        <w:t xml:space="preserve">Tables</w:t>
      </w:r>
      <w:bookmarkEnd w:id="70"/>
    </w:p>
    <w:p>
      <w:pPr>
        <w:pStyle w:val="TableCaption"/>
      </w:pPr>
      <w:r>
        <w:t xml:space="preserve">Table 1: Core definitions and principles of open science, from Open Knowledge International,</w:t>
      </w:r>
      <w:r>
        <w:t xml:space="preserve"> </w:t>
      </w:r>
      <w:hyperlink r:id="rId71">
        <w:r>
          <w:rPr>
            <w:rStyle w:val="Hyperlink"/>
          </w:rPr>
          <w:t xml:space="preserve">http://opendefinition.org/</w:t>
        </w:r>
      </w:hyperlink>
      <w:r>
        <w:t xml:space="preserve">, Creative Commons,</w:t>
      </w:r>
      <w:r>
        <w:t xml:space="preserve"> </w:t>
      </w:r>
      <w:hyperlink r:id="rId72">
        <w:r>
          <w:rPr>
            <w:rStyle w:val="Hyperlink"/>
          </w:rPr>
          <w:t xml:space="preserve">https://creativecommons.org/about/program-areas/open-science/</w:t>
        </w:r>
      </w:hyperlink>
      <w:r>
        <w:t xml:space="preserve">, D. Gezelter,</w:t>
      </w:r>
      <w:r>
        <w:t xml:space="preserve"> </w:t>
      </w:r>
      <w:hyperlink r:id="rId73">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4" w:name="references"/>
      <w:r>
        <w:t xml:space="preserve">References</w:t>
      </w:r>
      <w:bookmarkEnd w:id="74"/>
    </w:p>
    <w:bookmarkStart w:id="182" w:name="refs"/>
    <w:bookmarkStart w:id="75" w:name="ref-Allaire18"/>
    <w:p>
      <w:pPr>
        <w:pStyle w:val="Bibliography"/>
      </w:pPr>
      <w:r>
        <w:t xml:space="preserve">Allaire, J., Y. Xie, J. McPherson, J. Luraschi, K. Ushey, A. Atkins, H. Wickham, J. Cheng, and W. Chang. 2018. Rmarkdown: Dynamic documents for r.</w:t>
      </w:r>
    </w:p>
    <w:bookmarkEnd w:id="75"/>
    <w:bookmarkStart w:id="76" w:name="ref-Allen19"/>
    <w:p>
      <w:pPr>
        <w:pStyle w:val="Bibliography"/>
      </w:pPr>
      <w:r>
        <w:t xml:space="preserve">Allen, C., and D. M. A. Mehler. 2019. Open science challenges, benefits and tips in early career and beyond. PLoS Biology 17:e3000246.</w:t>
      </w:r>
    </w:p>
    <w:bookmarkEnd w:id="76"/>
    <w:bookmarkStart w:id="77" w:name="ref-Appelhans18"/>
    <w:p>
      <w:pPr>
        <w:pStyle w:val="Bibliography"/>
      </w:pPr>
      <w:r>
        <w:t xml:space="preserve">Appelhans, T., F. Detsch, C. Reudenbach, and S. Woellauer. 2018. Mapview: Interactive viewing of spatial data in r.</w:t>
      </w:r>
    </w:p>
    <w:bookmarkEnd w:id="77"/>
    <w:bookmarkStart w:id="78" w:name="ref-Baird12"/>
    <w:p>
      <w:pPr>
        <w:pStyle w:val="Bibliography"/>
      </w:pPr>
      <w:r>
        <w:t xml:space="preserve">Baird, D. J., and M. Hajibabaei. 2012. Biomonitoring 2.0: A new paradigm in ecosystem assessment made possible by next-generation dna sequencing. Molecular Ecology 21:2039–2044.</w:t>
      </w:r>
    </w:p>
    <w:bookmarkEnd w:id="78"/>
    <w:bookmarkStart w:id="79" w:name="ref-Baker15"/>
    <w:p>
      <w:pPr>
        <w:pStyle w:val="Bibliography"/>
      </w:pPr>
      <w:r>
        <w:t xml:space="preserve">Baker, M. E., R. S. King, and D. Kahle. 2015. TITAN2: Threshold indicator taxa analysis.</w:t>
      </w:r>
    </w:p>
    <w:bookmarkEnd w:id="79"/>
    <w:bookmarkStart w:id="80" w:name="ref-Beck18c"/>
    <w:p>
      <w:pPr>
        <w:pStyle w:val="Bibliography"/>
      </w:pPr>
      <w:r>
        <w:t xml:space="preserve">Beck, M. W. 2018a. SCCWRP/SCAPE: v1.0 (Version 1.0). Zenodo, http://doi.org/10.5281/zenodo.1218121.</w:t>
      </w:r>
    </w:p>
    <w:bookmarkEnd w:id="80"/>
    <w:bookmarkStart w:id="81" w:name="ref-Beck18d"/>
    <w:p>
      <w:pPr>
        <w:pStyle w:val="Bibliography"/>
      </w:pPr>
      <w:r>
        <w:t xml:space="preserve">Beck, M. W. 2018b. Constrained streams for biological integrity in California. Knowledge Network for Biocomplexity. urn:uuid:75411f50-32ed-42a5-bbfd-26833c7a441f.</w:t>
      </w:r>
    </w:p>
    <w:bookmarkEnd w:id="81"/>
    <w:bookmarkStart w:id="82" w:name="ref-Beck09"/>
    <w:p>
      <w:pPr>
        <w:pStyle w:val="Bibliography"/>
      </w:pPr>
      <w:r>
        <w:t xml:space="preserve">Beck, M. W., and L. K. Hatch. 2009. A review of research on the development of lake indices of biotic integrity. Environmental Reviews 17:21–44.</w:t>
      </w:r>
    </w:p>
    <w:bookmarkEnd w:id="82"/>
    <w:bookmarkStart w:id="83"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38:883–898.</w:t>
      </w:r>
    </w:p>
    <w:bookmarkEnd w:id="83"/>
    <w:bookmarkStart w:id="84"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84"/>
    <w:bookmarkStart w:id="85" w:name="ref-BondLamberty16"/>
    <w:p>
      <w:pPr>
        <w:pStyle w:val="Bibliography"/>
      </w:pPr>
      <w:r>
        <w:t xml:space="preserve">Bond-Lamberty, B., A. P. Smith, and V. Bailey. 2016. Running an open experiment: Transparency and reproducibility in soil and ecosystem science. Environmental Research Letters 11:1–7.</w:t>
      </w:r>
    </w:p>
    <w:bookmarkEnd w:id="85"/>
    <w:bookmarkStart w:id="86" w:name="ref-Borja08"/>
    <w:p>
      <w:pPr>
        <w:pStyle w:val="Bibliography"/>
      </w:pPr>
      <w:r>
        <w:t xml:space="preserve">Borja, A., S. B. Bricker, D. M. Dauer, N. T. Demetriades, J. G. Ferreira, A. T. Forbes, P. Hutchings, X. Jia, R. Kenchington, J. C. Marques, and C. Zhu. 2008. Overview of integrative tools and methods in assessing ecological integrity in estuarine and coastal systems worldwide. Marine Pollution Bulletin 56:1519–1537.</w:t>
      </w:r>
    </w:p>
    <w:bookmarkEnd w:id="86"/>
    <w:bookmarkStart w:id="87" w:name="ref-Borja16b"/>
    <w:p>
      <w:pPr>
        <w:pStyle w:val="Bibliography"/>
      </w:pPr>
      <w:r>
        <w:t xml:space="preserve">Borja, A., M. Elliot, J. H. Anderson, T. Berg, J. Carstensen, B. S. Halpern, A. S. Heiskanen, S. Korpinen, J. S. S. Lowndes, G. Martin, and N. Rodriguez-Ezpeleta. 2016. Overview of integrative assessment of marine systems: The ecosystem approach in practice. Frontiers in Marine Science 3:20.</w:t>
      </w:r>
    </w:p>
    <w:bookmarkEnd w:id="87"/>
    <w:bookmarkStart w:id="88" w:name="ref-Borja19"/>
    <w:p>
      <w:pPr>
        <w:pStyle w:val="Bibliography"/>
      </w:pPr>
      <w:r>
        <w:t xml:space="preserve">Borja, A., J. M. Garmendia, I. Menchaca, A. Uriarte, and Y. Sagarmínaga. 2019. Yes, we can! Large-scale integrative assessment of european regional seas, using open access databases. Frontiers in Marine Science 6.</w:t>
      </w:r>
    </w:p>
    <w:bookmarkEnd w:id="88"/>
    <w:bookmarkStart w:id="89"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9"/>
    <w:bookmarkStart w:id="90" w:name="ref-Bried14"/>
    <w:p>
      <w:pPr>
        <w:pStyle w:val="Bibliography"/>
      </w:pPr>
      <w:r>
        <w:t xml:space="preserve">Bried, J. T., S. K. Jog, A. R. Dzialowski, and C. A. Davis. 2014. Potential vegetation criteria for identifying reference-quality wetlands in the south-central United States. Wetlands 34:1159–1169.</w:t>
      </w:r>
    </w:p>
    <w:bookmarkEnd w:id="90"/>
    <w:bookmarkStart w:id="91" w:name="ref-Cao11"/>
    <w:p>
      <w:pPr>
        <w:pStyle w:val="Bibliography"/>
      </w:pPr>
      <w:r>
        <w:t xml:space="preserve">Cao, Y., and C. Hawkins. 2011. The comparability of bioassessments: A review of conceptual and methodological issues. Journal of the North American Benthological Society 30:680–701.</w:t>
      </w:r>
    </w:p>
    <w:bookmarkEnd w:id="91"/>
    <w:bookmarkStart w:id="92"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92"/>
    <w:bookmarkStart w:id="93" w:name="ref-Chang18"/>
    <w:p>
      <w:pPr>
        <w:pStyle w:val="Bibliography"/>
      </w:pPr>
      <w:r>
        <w:t xml:space="preserve">Chang, W., J. Cheng, J. Allaire, Y. Xie, and J. McPherson. 2018. Shiny: Web application framework for r.</w:t>
      </w:r>
    </w:p>
    <w:bookmarkEnd w:id="93"/>
    <w:bookmarkStart w:id="94" w:name="ref-Cheng18"/>
    <w:p>
      <w:pPr>
        <w:pStyle w:val="Bibliography"/>
      </w:pPr>
      <w:r>
        <w:t xml:space="preserve">Cheng, J., B. Karambelkar, and Y. Xie. 2018. Leaflet: Create interactive web maps with the javascript ’leaflet’ library.</w:t>
      </w:r>
    </w:p>
    <w:bookmarkEnd w:id="94"/>
    <w:bookmarkStart w:id="95" w:name="ref-Cheruvelil18"/>
    <w:p>
      <w:pPr>
        <w:pStyle w:val="Bibliography"/>
      </w:pPr>
      <w:r>
        <w:t xml:space="preserve">Cheruvelil, K. S., and P. A. Soranno. 2018. Data-intensive ecological research is catalyzed by open science and team science. BioScience 68:813–822.</w:t>
      </w:r>
    </w:p>
    <w:bookmarkEnd w:id="95"/>
    <w:bookmarkStart w:id="96"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96"/>
    <w:bookmarkStart w:id="97" w:name="ref-Collins16"/>
    <w:p>
      <w:pPr>
        <w:pStyle w:val="Bibliography"/>
      </w:pPr>
      <w:r>
        <w:t xml:space="preserve">Collins, S. L. 2016. Vegetation science in the age of big data. Journal of Vegetation Science 27:865–867.</w:t>
      </w:r>
    </w:p>
    <w:bookmarkEnd w:id="97"/>
    <w:bookmarkStart w:id="98" w:name="ref-Costello13"/>
    <w:p>
      <w:pPr>
        <w:pStyle w:val="Bibliography"/>
      </w:pPr>
      <w:r>
        <w:t xml:space="preserve">Costello, M. J., P. Bouchet, G. Boxshall, K. Fauchald, D. Gordon, B. W. Hoeksema, G. C. B. Poore, R. W. M. van Soest, S. Stöhr, T. C. Walter, B. Vanhoorne, W. Decock, and W. Appeltans. 2013. Global coordination and standardisation in marine biodiversity through the World Register of Marine Species (WoRMS) and related databases. PLoS One 8:e51629.</w:t>
      </w:r>
    </w:p>
    <w:bookmarkEnd w:id="98"/>
    <w:bookmarkStart w:id="99" w:name="ref-Cuffney07"/>
    <w:p>
      <w:pPr>
        <w:pStyle w:val="Bibliography"/>
      </w:pPr>
      <w:r>
        <w:t xml:space="preserve">Cuffney, T. F., M. D. Bilger, and A. M. Haigler. 2007. Ambiguous taxa: Effects on the characterization and interpretation of invertebrate assemblages. Journal of the North American Benthological Society 26:286–307.</w:t>
      </w:r>
    </w:p>
    <w:bookmarkEnd w:id="99"/>
    <w:bookmarkStart w:id="100" w:name="ref-Dale01"/>
    <w:p>
      <w:pPr>
        <w:pStyle w:val="Bibliography"/>
      </w:pPr>
      <w:r>
        <w:t xml:space="preserve">Dale, V. H., and S. C. Beyeler. 2001. Challenges in the development and use of ecological indicators. Ecological Indicators 1:3–10.</w:t>
      </w:r>
    </w:p>
    <w:bookmarkEnd w:id="100"/>
    <w:bookmarkStart w:id="101" w:name="ref-Darling13"/>
    <w:p>
      <w:pPr>
        <w:pStyle w:val="Bibliography"/>
      </w:pPr>
      <w:r>
        <w:t xml:space="preserve">Darling, E. S., D. Shiffman, I. M. Côte, and J. A. Drew. 2013. The role of Twitter in the life cycle of a scientific publication. Ideas in Ecology and Evolution 6:32–43.</w:t>
      </w:r>
    </w:p>
    <w:bookmarkEnd w:id="101"/>
    <w:bookmarkStart w:id="102" w:name="ref-Davies06"/>
    <w:p>
      <w:pPr>
        <w:pStyle w:val="Bibliography"/>
      </w:pPr>
      <w:r>
        <w:t xml:space="preserve">Davies, S. P., and S. K. Jackson. 2006. The biological condition gradient: A descriptive model for interpreting change in aquatic ecosystems. Ecological Applications 16:1251–1266.</w:t>
      </w:r>
    </w:p>
    <w:bookmarkEnd w:id="102"/>
    <w:bookmarkStart w:id="103" w:name="ref-DeCaceres09"/>
    <w:p>
      <w:pPr>
        <w:pStyle w:val="Bibliography"/>
      </w:pPr>
      <w:r>
        <w:t xml:space="preserve">De Caceres, M., and P. Legendre. 2009. Associations between species and groups of sites: Indices and statistical inference. Ecology.</w:t>
      </w:r>
    </w:p>
    <w:bookmarkEnd w:id="103"/>
    <w:bookmarkStart w:id="104" w:name="ref-Deiner17"/>
    <w:p>
      <w:pPr>
        <w:pStyle w:val="Bibliography"/>
      </w:pPr>
      <w:r>
        <w:t xml:space="preserve">Deiner, K., H. M. Bik, E. Mächler, M. Seymour, A. Lacoursiére‐Roussel, F. Altermatt, S. Creer, I. Bista, D. M. Lodge, N. de Vere, M. E. Pfrender, and L. Bernatchez. 2017. Environmental DNA metabarcoding: Transforming how we survey animal and plant communities. Molecular Ecology 26:5872–5895.</w:t>
      </w:r>
    </w:p>
    <w:bookmarkEnd w:id="104"/>
    <w:bookmarkStart w:id="105" w:name="ref-Dickersin03"/>
    <w:p>
      <w:pPr>
        <w:pStyle w:val="Bibliography"/>
      </w:pPr>
      <w:r>
        <w:t xml:space="preserve">Dickersin, K., and D. Rennie. 2003. Registering clinical trials. 290 4:516–523.</w:t>
      </w:r>
    </w:p>
    <w:bookmarkEnd w:id="105"/>
    <w:bookmarkStart w:id="106" w:name="ref-Elbrecht17"/>
    <w:p>
      <w:pPr>
        <w:pStyle w:val="Bibliography"/>
      </w:pPr>
      <w:r>
        <w:t xml:space="preserve">Elbrecht, V., E. E. Vamos, K. Meissner, J. Aroviita, and F. Leese. 2017. Assessing strengths and weaknesses of dna metabarcoding-based macroinvertebrate identification for routine stream monitoring. Methods in Ecology and Evolution 8:1265–1275.</w:t>
      </w:r>
    </w:p>
    <w:bookmarkEnd w:id="106"/>
    <w:bookmarkStart w:id="107" w:name="ref-Essl20"/>
    <w:p>
      <w:pPr>
        <w:pStyle w:val="Bibliography"/>
      </w:pPr>
      <w:r>
        <w:t xml:space="preserve">Essl, F., F. Courchamp, S. Dullinger, J. M. Jeschke, and S. Schindler. 2020. Make open access publishing fair and transparent! BioScience 70:201–204.</w:t>
      </w:r>
    </w:p>
    <w:bookmarkEnd w:id="107"/>
    <w:bookmarkStart w:id="108"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108"/>
    <w:bookmarkStart w:id="109" w:name="ref-Fore02"/>
    <w:p>
      <w:pPr>
        <w:pStyle w:val="Bibliography"/>
      </w:pPr>
      <w:r>
        <w:t xml:space="preserve">Fore, L. S., and C. Grafe. 2002. Using diatoms to assess the biological condition of large rivers in Idaho (U.S.A.). Freshwater Biology 47:2015–2037.</w:t>
      </w:r>
    </w:p>
    <w:bookmarkEnd w:id="109"/>
    <w:bookmarkStart w:id="110" w:name="ref-Franco14"/>
    <w:p>
      <w:pPr>
        <w:pStyle w:val="Bibliography"/>
      </w:pPr>
      <w:r>
        <w:t xml:space="preserve">Franco, A., N. Malhotra, and G. Simonovits. 2014. Publication bias in the social sciences: Unlocking the file drawer. Science 345:1502–1505.</w:t>
      </w:r>
    </w:p>
    <w:bookmarkEnd w:id="110"/>
    <w:bookmarkStart w:id="111" w:name="ref-Grand12"/>
    <w:p>
      <w:pPr>
        <w:pStyle w:val="Bibliography"/>
      </w:pPr>
      <w:r>
        <w:t xml:space="preserve">Grand, A., C. Wilkinson, K. Bultitude, and A. F. T. Winfield. 2012. Open science: A new "trust technology"? Science Communication 34:679–689.</w:t>
      </w:r>
    </w:p>
    <w:bookmarkEnd w:id="111"/>
    <w:bookmarkStart w:id="112"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112"/>
    <w:bookmarkStart w:id="113"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113"/>
    <w:bookmarkStart w:id="114"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14"/>
    <w:bookmarkStart w:id="115"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15"/>
    <w:bookmarkStart w:id="116"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16"/>
    <w:bookmarkStart w:id="117"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17"/>
    <w:bookmarkStart w:id="118"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18"/>
    <w:bookmarkStart w:id="119" w:name="ref-Hering18"/>
    <w:p>
      <w:pPr>
        <w:pStyle w:val="Bibliography"/>
      </w:pPr>
      <w:r>
        <w:t xml:space="preserve">Hering, D., A. Borja, J. I. Jones, D. Pont, P. Boets, A. Bouchez, K. Bruce, S. Drakare, B. Hänfling, M. Kahlert, F. Leese, K. Meissner, P. Mergen, Y. Reyjol, P. Segurado, A. Vogler, and M. Kelly. 2018. Implementation options for DNA-based identification into ecological status assessment under the European Water Framework Directive. Water Research 138:192–205.</w:t>
      </w:r>
    </w:p>
    <w:bookmarkEnd w:id="119"/>
    <w:bookmarkStart w:id="120" w:name="ref-Hijmans19"/>
    <w:p>
      <w:pPr>
        <w:pStyle w:val="Bibliography"/>
      </w:pPr>
      <w:r>
        <w:t xml:space="preserve">Hijmans, R. J. 2019. Raster: Geographic data analysis and modeling.</w:t>
      </w:r>
    </w:p>
    <w:bookmarkEnd w:id="120"/>
    <w:bookmarkStart w:id="121"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21"/>
    <w:bookmarkStart w:id="122"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22"/>
    <w:bookmarkStart w:id="123"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23"/>
    <w:bookmarkStart w:id="124"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24"/>
    <w:bookmarkStart w:id="125" w:name="ref-Ihle17"/>
    <w:p>
      <w:pPr>
        <w:pStyle w:val="Bibliography"/>
      </w:pPr>
      <w:r>
        <w:t xml:space="preserve">Ihle, M., I. S. Winney, A. Krystalli, and M. Croucher. 2017. Striving for transparent and credible research: Practical guidelines for behavioral ecologists. Behavioral Ecology 28:348–354.</w:t>
      </w:r>
    </w:p>
    <w:bookmarkEnd w:id="125"/>
    <w:bookmarkStart w:id="126"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26"/>
    <w:bookmarkStart w:id="127"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27"/>
    <w:bookmarkStart w:id="128" w:name="ref-Kerans94"/>
    <w:p>
      <w:pPr>
        <w:pStyle w:val="Bibliography"/>
      </w:pPr>
      <w:r>
        <w:t xml:space="preserve">Kerans, B. L., and J. R. Karr. 1994. A benthic index of biotic integrity (B-IBI) for rivers of the Tennessee Valley. Ecological Applications 4:768–785.</w:t>
      </w:r>
    </w:p>
    <w:bookmarkEnd w:id="128"/>
    <w:bookmarkStart w:id="129"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29"/>
    <w:bookmarkStart w:id="130"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30"/>
    <w:bookmarkStart w:id="131" w:name="ref-Kuehne19"/>
    <w:p>
      <w:pPr>
        <w:pStyle w:val="Bibliography"/>
      </w:pPr>
      <w:r>
        <w:t xml:space="preserve">Kuehne, L. M., and A. L. Strecker, and J. D. Olden. 2019. Knowledge exchange and social capital for freshwater ecosystem assessments. BioScience 70:174–183.</w:t>
      </w:r>
    </w:p>
    <w:bookmarkEnd w:id="131"/>
    <w:bookmarkStart w:id="132"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32"/>
    <w:bookmarkStart w:id="133"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33"/>
    <w:bookmarkStart w:id="134" w:name="ref-Lai19"/>
    <w:p>
      <w:pPr>
        <w:pStyle w:val="Bibliography"/>
      </w:pPr>
      <w:r>
        <w:t xml:space="preserve">Lai, J., C. J. Lortie, R. A. Muenchen, J. Yang, and K. Ma. 2019. Evaluating the popularity of R in ecology. Ecosphere 10:e02567.</w:t>
      </w:r>
    </w:p>
    <w:bookmarkEnd w:id="134"/>
    <w:bookmarkStart w:id="135" w:name="ref-Landman09"/>
    <w:p>
      <w:pPr>
        <w:pStyle w:val="Bibliography"/>
      </w:pPr>
      <w:r>
        <w:t xml:space="preserve">Landman, A., and S. A. Glantz. 2009. Tobacco industry efforts to undermine policy-relevant research. American Journal of Public Health 99:45–58.</w:t>
      </w:r>
    </w:p>
    <w:bookmarkEnd w:id="135"/>
    <w:bookmarkStart w:id="136" w:name="ref-Lenat01"/>
    <w:p>
      <w:pPr>
        <w:pStyle w:val="Bibliography"/>
      </w:pPr>
      <w:r>
        <w:t xml:space="preserve">Lenat, D. R., and V. H. Resh. 2001. Taxonomy and stream ecology - the benefits of genus- and species-level identifications. Journal of the North American Benthological Society 20:287–298.</w:t>
      </w:r>
    </w:p>
    <w:bookmarkEnd w:id="136"/>
    <w:bookmarkStart w:id="137" w:name="ref-Lewandowsky16"/>
    <w:p>
      <w:pPr>
        <w:pStyle w:val="Bibliography"/>
      </w:pPr>
      <w:r>
        <w:t xml:space="preserve">Lewandowsky, S., and D. Bishop. 2016. Research integrity: Don’t let transparency damage science. Nature 529:459–461.</w:t>
      </w:r>
    </w:p>
    <w:bookmarkEnd w:id="137"/>
    <w:bookmarkStart w:id="138" w:name="ref-Liaw02"/>
    <w:p>
      <w:pPr>
        <w:pStyle w:val="Bibliography"/>
      </w:pPr>
      <w:r>
        <w:t xml:space="preserve">Liaw, A., and M. Wiener. 2002. Classification and regression by randomForest. R News 2:18–22.</w:t>
      </w:r>
    </w:p>
    <w:bookmarkEnd w:id="138"/>
    <w:bookmarkStart w:id="139"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39"/>
    <w:bookmarkStart w:id="140" w:name="ref-Lortie14"/>
    <w:p>
      <w:pPr>
        <w:pStyle w:val="Bibliography"/>
      </w:pPr>
      <w:r>
        <w:t xml:space="preserve">Lortie, C. J. 2014. Formalized synthesis opportunities for ecology: Systematic reviews and meta-analyses. OIKOS 123:897–902.</w:t>
      </w:r>
    </w:p>
    <w:bookmarkEnd w:id="140"/>
    <w:bookmarkStart w:id="141"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41"/>
    <w:bookmarkStart w:id="142" w:name="ref-Makel12"/>
    <w:p>
      <w:pPr>
        <w:pStyle w:val="Bibliography"/>
      </w:pPr>
      <w:r>
        <w:t xml:space="preserve">Makel, M. C., J. A. Plucker, and B. Hegarty. 2012. Replications in psychology research: How often do they really occur? Perspectives on Psychological Science 7:537–542.</w:t>
      </w:r>
    </w:p>
    <w:bookmarkEnd w:id="142"/>
    <w:bookmarkStart w:id="143"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43"/>
    <w:bookmarkStart w:id="144"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44"/>
    <w:bookmarkStart w:id="145"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45"/>
    <w:bookmarkStart w:id="146" w:name="ref-McKay12"/>
    <w:p>
      <w:pPr>
        <w:pStyle w:val="Bibliography"/>
      </w:pPr>
      <w:r>
        <w:t xml:space="preserve">McKay, L., T. Bondelid, T. Dewald, J. Johnston, R. Moore, and A. Reah. 2012. NHDPlus Version 2: User Guide.</w:t>
      </w:r>
    </w:p>
    <w:bookmarkEnd w:id="146"/>
    <w:bookmarkStart w:id="147" w:name="ref-Michener97"/>
    <w:p>
      <w:pPr>
        <w:pStyle w:val="Bibliography"/>
      </w:pPr>
      <w:r>
        <w:t xml:space="preserve">Michener, W. K., J. W. Brunt, J. J. Helly, T. B. Kirchner, and S. G. Stafford. 1997. Nongeospatial metadata for the ecological sciences. Ecological Applications 7:330–342.</w:t>
      </w:r>
    </w:p>
    <w:bookmarkEnd w:id="147"/>
    <w:bookmarkStart w:id="148" w:name="ref-Mitchell05"/>
    <w:p>
      <w:pPr>
        <w:pStyle w:val="Bibliography"/>
      </w:pPr>
      <w:r>
        <w:t xml:space="preserve">Mitchell, B. 2005. Integrated water resource management, institutional arrangements, and land use planning. Environmental Planning A: Economy and Space 37:1335–1352.</w:t>
      </w:r>
    </w:p>
    <w:bookmarkEnd w:id="148"/>
    <w:bookmarkStart w:id="149" w:name="ref-Munafo17"/>
    <w:p>
      <w:pPr>
        <w:pStyle w:val="Bibliography"/>
      </w:pPr>
      <w:r>
        <w:t xml:space="preserve">Munafó, M. R., B. A. Nosek, D. V. M. Bishop, K. S. Button, C. D. Chambers, N. P. du Sert, U. Simonsohn, E. J. Wagenmakers, J. J. Ware, and J. P. A. Loannidis. 2017. A manifesto for reproducible science. Nature Human Behavior 1.</w:t>
      </w:r>
    </w:p>
    <w:bookmarkEnd w:id="149"/>
    <w:bookmarkStart w:id="150"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50"/>
    <w:bookmarkStart w:id="151" w:name="ref-Nosek18"/>
    <w:p>
      <w:pPr>
        <w:pStyle w:val="Bibliography"/>
      </w:pPr>
      <w:r>
        <w:t xml:space="preserve">Nosek, B. A., C. R. Ebersole, A. C. DeHaven, and D. T. Mellor. 2018. The preregistration revolution. Proceedings of the National Academy of Sciences 115:2600–2606.</w:t>
      </w:r>
    </w:p>
    <w:bookmarkEnd w:id="151"/>
    <w:bookmarkStart w:id="152"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52"/>
    <w:bookmarkStart w:id="153"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53"/>
    <w:bookmarkStart w:id="154" w:name="ref-vanoudenhoven16"/>
    <w:p>
      <w:pPr>
        <w:pStyle w:val="Bibliography"/>
      </w:pPr>
      <w:r>
        <w:t xml:space="preserve">Oudenhoven, A. P. E. van, M. Schröter, and R. de Groot. 2016. Open access to science on ecosystem services and biodiversity. International Journal of Biodiversity Science, Ecosystem Services &amp; Management 12:239–241.</w:t>
      </w:r>
    </w:p>
    <w:bookmarkEnd w:id="154"/>
    <w:bookmarkStart w:id="155" w:name="ref-Pebesma18"/>
    <w:p>
      <w:pPr>
        <w:pStyle w:val="Bibliography"/>
      </w:pPr>
      <w:r>
        <w:t xml:space="preserve">Pebesma, E. 2018. Sf: Simple features for r.</w:t>
      </w:r>
    </w:p>
    <w:bookmarkEnd w:id="155"/>
    <w:bookmarkStart w:id="156"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56"/>
    <w:bookmarkStart w:id="157" w:name="ref-Pinheiro18"/>
    <w:p>
      <w:pPr>
        <w:pStyle w:val="Bibliography"/>
      </w:pPr>
      <w:r>
        <w:t xml:space="preserve">Pinheiro, J., D. Bates, S. DebRoy, D. Sarkar, and R Core Team. 2018. nlme: Linear and nonlinear mixed effects models.</w:t>
      </w:r>
    </w:p>
    <w:bookmarkEnd w:id="157"/>
    <w:bookmarkStart w:id="158"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58"/>
    <w:bookmarkStart w:id="159"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59"/>
    <w:bookmarkStart w:id="160" w:name="ref-Powers19"/>
    <w:p>
      <w:pPr>
        <w:pStyle w:val="Bibliography"/>
      </w:pPr>
      <w:r>
        <w:t xml:space="preserve">Powers, S. M., and S. E. Hampton. 2019. Open science, reproducibility, and transparency in ecology. Ecological Applications 29:e01822.</w:t>
      </w:r>
    </w:p>
    <w:bookmarkEnd w:id="160"/>
    <w:bookmarkStart w:id="161" w:name="ref-RDCT18"/>
    <w:p>
      <w:pPr>
        <w:pStyle w:val="Bibliography"/>
      </w:pPr>
      <w:r>
        <w:t xml:space="preserve">RDCT (R Development Core Team). 2018. R: A language and environment for statistical computing, v3.5.1. R Foundation for Statistical Computing, Vienna, Austria.</w:t>
      </w:r>
    </w:p>
    <w:bookmarkEnd w:id="161"/>
    <w:bookmarkStart w:id="162"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62"/>
    <w:bookmarkStart w:id="163"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63"/>
    <w:bookmarkStart w:id="164"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64"/>
    <w:bookmarkStart w:id="165"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65"/>
    <w:bookmarkStart w:id="166"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66"/>
    <w:bookmarkStart w:id="167"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67"/>
    <w:bookmarkStart w:id="168" w:name="ref-Taylor14"/>
    <w:p>
      <w:pPr>
        <w:pStyle w:val="Bibliography"/>
      </w:pPr>
      <w:r>
        <w:t xml:space="preserve">Taylor, J. M., R. S. King, A. A. Pease, and K. O. Winemiller. 2014. Nonlinear response of stream ecosystem structure to low-level phosphorus enrichment. Freshwater Biology 59:969–984.</w:t>
      </w:r>
    </w:p>
    <w:bookmarkEnd w:id="168"/>
    <w:bookmarkStart w:id="169" w:name="ref-Touchon16"/>
    <w:p>
      <w:pPr>
        <w:pStyle w:val="Bibliography"/>
      </w:pPr>
      <w:r>
        <w:t xml:space="preserve">Touchon, J. C., and M. W. McCoy. 2016. The mismatch between current statistical practice and doctoral training in ecology. Ecosphere 7:e01394.</w:t>
      </w:r>
    </w:p>
    <w:bookmarkEnd w:id="169"/>
    <w:bookmarkStart w:id="170" w:name="ref-White14"/>
    <w:p>
      <w:pPr>
        <w:pStyle w:val="Bibliography"/>
      </w:pPr>
      <w:r>
        <w:t xml:space="preserve">White, B. P., E. M. Pilgrim, L. M. Boykin, E. D. Stein, and R. D. Mazor. 2014. Comparison of four species-delimitation methods applied to a DNA barcode data set of insect larvae for use in routine bioassessment. Freshwater Science 33:338–348.</w:t>
      </w:r>
    </w:p>
    <w:bookmarkEnd w:id="170"/>
    <w:bookmarkStart w:id="171" w:name="ref-Wickham09"/>
    <w:p>
      <w:pPr>
        <w:pStyle w:val="Bibliography"/>
      </w:pPr>
      <w:r>
        <w:t xml:space="preserve">Wickham, H. 2009. Ggplot2: Elegant graphics for data analysis. Springer-Verlag. New York.</w:t>
      </w:r>
    </w:p>
    <w:bookmarkEnd w:id="171"/>
    <w:bookmarkStart w:id="172" w:name="ref-Wickham15"/>
    <w:p>
      <w:pPr>
        <w:pStyle w:val="Bibliography"/>
      </w:pPr>
      <w:r>
        <w:t xml:space="preserve">Wickham, H. 2015. R packages. Page 182. O’Reilly, Sebastopol, California.</w:t>
      </w:r>
    </w:p>
    <w:bookmarkEnd w:id="172"/>
    <w:bookmarkStart w:id="173" w:name="ref-Wickham17b"/>
    <w:p>
      <w:pPr>
        <w:pStyle w:val="Bibliography"/>
      </w:pPr>
      <w:r>
        <w:t xml:space="preserve">Wickham, H. 2017. Tidyverse: Easily install and load the ’tidyverse’.</w:t>
      </w:r>
    </w:p>
    <w:bookmarkEnd w:id="173"/>
    <w:bookmarkStart w:id="174" w:name="ref-Wickham18"/>
    <w:p>
      <w:pPr>
        <w:pStyle w:val="Bibliography"/>
      </w:pPr>
      <w:r>
        <w:t xml:space="preserve">Wickham, H., J. Hester, and W. Chang. 2018. Devtools: Tools to make developing r packages easier.</w:t>
      </w:r>
    </w:p>
    <w:bookmarkEnd w:id="174"/>
    <w:bookmarkStart w:id="175" w:name="ref-Wilkinson05"/>
    <w:p>
      <w:pPr>
        <w:pStyle w:val="Bibliography"/>
      </w:pPr>
      <w:r>
        <w:t xml:space="preserve">Wilkinson, L. 2005. The grammar of graphics. Page 691. second. Statistics; Computing, Springer, New York.</w:t>
      </w:r>
    </w:p>
    <w:bookmarkEnd w:id="175"/>
    <w:bookmarkStart w:id="176" w:name="ref-Woelfle11"/>
    <w:p>
      <w:pPr>
        <w:pStyle w:val="Bibliography"/>
      </w:pPr>
      <w:r>
        <w:t xml:space="preserve">Woelfle, M., P. Olliaro, and M. H. Todd. 2011. Open science is a research accelerator. Nature Chemistry 3:745–748.</w:t>
      </w:r>
    </w:p>
    <w:bookmarkEnd w:id="176"/>
    <w:bookmarkStart w:id="177" w:name="ref-Wood17"/>
    <w:p>
      <w:pPr>
        <w:pStyle w:val="Bibliography"/>
      </w:pPr>
      <w:r>
        <w:t xml:space="preserve">Wood, S. N. 2017. Generalized additive models: An introduction with r. Page 476. 2nd editions. Chapman; Hall, CRC Press, London, United Kingdom.</w:t>
      </w:r>
    </w:p>
    <w:bookmarkEnd w:id="177"/>
    <w:bookmarkStart w:id="178" w:name="ref-Xie15"/>
    <w:p>
      <w:pPr>
        <w:pStyle w:val="Bibliography"/>
      </w:pPr>
      <w:r>
        <w:t xml:space="preserve">Xie, Y. 2015. Dynamic documents with R and knitr. 2nd editions. Chapman; Hall/CRC, Boca Raton, Florida.</w:t>
      </w:r>
    </w:p>
    <w:bookmarkEnd w:id="178"/>
    <w:bookmarkStart w:id="179" w:name="ref-Yenni19"/>
    <w:p>
      <w:pPr>
        <w:pStyle w:val="Bibliography"/>
      </w:pPr>
      <w:r>
        <w:t xml:space="preserve">Yenni, G. M., E. M. Christensen, E. K. Bledsoe, S. R. Supp, R. M. Diaz, E. P. White, and s. K. M. Ernest. 2019. Developing a modern data workflow for regularly updated data. PLoS Biology 17:e3000125.</w:t>
      </w:r>
    </w:p>
    <w:bookmarkEnd w:id="179"/>
    <w:bookmarkStart w:id="180" w:name="ref-Yuan04"/>
    <w:p>
      <w:pPr>
        <w:pStyle w:val="Bibliography"/>
      </w:pPr>
      <w:r>
        <w:t xml:space="preserve">Yuan, L. L. 2004. Assigning macroinvertebrate tolerance classifications using generalised additive models. Freshwater Biology 49:662–677.</w:t>
      </w:r>
    </w:p>
    <w:bookmarkEnd w:id="180"/>
    <w:bookmarkStart w:id="181"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81"/>
    <w:bookmarkEnd w:id="18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hyperlink" Id="rId40" Target="http://AsPredicted.org/" TargetMode="External" /><Relationship Type="http://schemas.openxmlformats.org/officeDocument/2006/relationships/hyperlink" Id="rId71" Target="http://opendefinition.org/" TargetMode="External" /><Relationship Type="http://schemas.openxmlformats.org/officeDocument/2006/relationships/hyperlink" Id="rId73" Target="http://openscience.org/" TargetMode="External" /><Relationship Type="http://schemas.openxmlformats.org/officeDocument/2006/relationships/hyperlink" Id="rId39" Target="http://osf.io/" TargetMode="External" /><Relationship Type="http://schemas.openxmlformats.org/officeDocument/2006/relationships/hyperlink" Id="rId42" Target="http://www.safit.org/Docs/STE_1_March_2011_7MB.pdf" TargetMode="External" /><Relationship Type="http://schemas.openxmlformats.org/officeDocument/2006/relationships/hyperlink" Id="rId58" Target="https://acwi.gov/methods/pubs/over_pubs/valcomp_fs.pdf" TargetMode="External" /><Relationship Type="http://schemas.openxmlformats.org/officeDocument/2006/relationships/hyperlink" Id="rId60" Target="https://aquatic.biodata.usgs.gov/" TargetMode="External" /><Relationship Type="http://schemas.openxmlformats.org/officeDocument/2006/relationships/hyperlink" Id="rId56" Target="https://blog.rstudio.com/2019/02/06/rstudio-conf-2019-workshops/" TargetMode="External" /><Relationship Type="http://schemas.openxmlformats.org/officeDocument/2006/relationships/hyperlink" Id="rId57" Target="https://carpentries.github.io/trainer-training/" TargetMode="External" /><Relationship Type="http://schemas.openxmlformats.org/officeDocument/2006/relationships/hyperlink" Id="rId55" Target="https://carpentries.org" TargetMode="External" /><Relationship Type="http://schemas.openxmlformats.org/officeDocument/2006/relationships/hyperlink" Id="rId72" Target="https://creativecommons.org/about/program-areas/open-science/" TargetMode="External" /><Relationship Type="http://schemas.openxmlformats.org/officeDocument/2006/relationships/hyperlink" Id="rId62" Target="https://ec.europa.eu/research/participants/docs/h2020-funding-guide/cross-cutting-issues/open-access-dissemination_en.htm" TargetMode="External" /><Relationship Type="http://schemas.openxmlformats.org/officeDocument/2006/relationships/hyperlink" Id="rId52" Target="https://github.com/SCCWRP/SCAPE"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43"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3" Target="https://sccwrp.shinyapps.io/SCAPE" TargetMode="External" /><Relationship Type="http://schemas.openxmlformats.org/officeDocument/2006/relationships/hyperlink" Id="rId38" Target="https://slack.com/" TargetMode="External" /><Relationship Type="http://schemas.openxmlformats.org/officeDocument/2006/relationships/hyperlink" Id="rId59" Target="https://waterdata.usgs.gov/nwis"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61"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3" Target="https://www.ic.gc.ca/eic/site/063.nsf/eng/h_F6765465.html"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40" Target="http://AsPredicted.org/" TargetMode="External" /><Relationship Type="http://schemas.openxmlformats.org/officeDocument/2006/relationships/hyperlink" Id="rId71" Target="http://opendefinition.org/" TargetMode="External" /><Relationship Type="http://schemas.openxmlformats.org/officeDocument/2006/relationships/hyperlink" Id="rId73" Target="http://openscience.org/" TargetMode="External" /><Relationship Type="http://schemas.openxmlformats.org/officeDocument/2006/relationships/hyperlink" Id="rId39" Target="http://osf.io/" TargetMode="External" /><Relationship Type="http://schemas.openxmlformats.org/officeDocument/2006/relationships/hyperlink" Id="rId42" Target="http://www.safit.org/Docs/STE_1_March_2011_7MB.pdf" TargetMode="External" /><Relationship Type="http://schemas.openxmlformats.org/officeDocument/2006/relationships/hyperlink" Id="rId58" Target="https://acwi.gov/methods/pubs/over_pubs/valcomp_fs.pdf" TargetMode="External" /><Relationship Type="http://schemas.openxmlformats.org/officeDocument/2006/relationships/hyperlink" Id="rId60" Target="https://aquatic.biodata.usgs.gov/" TargetMode="External" /><Relationship Type="http://schemas.openxmlformats.org/officeDocument/2006/relationships/hyperlink" Id="rId56" Target="https://blog.rstudio.com/2019/02/06/rstudio-conf-2019-workshops/" TargetMode="External" /><Relationship Type="http://schemas.openxmlformats.org/officeDocument/2006/relationships/hyperlink" Id="rId57" Target="https://carpentries.github.io/trainer-training/" TargetMode="External" /><Relationship Type="http://schemas.openxmlformats.org/officeDocument/2006/relationships/hyperlink" Id="rId55" Target="https://carpentries.org" TargetMode="External" /><Relationship Type="http://schemas.openxmlformats.org/officeDocument/2006/relationships/hyperlink" Id="rId72" Target="https://creativecommons.org/about/program-areas/open-science/" TargetMode="External" /><Relationship Type="http://schemas.openxmlformats.org/officeDocument/2006/relationships/hyperlink" Id="rId62" Target="https://ec.europa.eu/research/participants/docs/h2020-funding-guide/cross-cutting-issues/open-access-dissemination_en.htm" TargetMode="External" /><Relationship Type="http://schemas.openxmlformats.org/officeDocument/2006/relationships/hyperlink" Id="rId52" Target="https://github.com/SCCWRP/SCAPE"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43"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3" Target="https://sccwrp.shinyapps.io/SCAPE" TargetMode="External" /><Relationship Type="http://schemas.openxmlformats.org/officeDocument/2006/relationships/hyperlink" Id="rId38" Target="https://slack.com/" TargetMode="External" /><Relationship Type="http://schemas.openxmlformats.org/officeDocument/2006/relationships/hyperlink" Id="rId59" Target="https://waterdata.usgs.gov/nwis"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61"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3" Target="https://www.ic.gc.ca/eic/site/063.nsf/eng/h_F6765465.html"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 of aquatic environments</dc:title>
  <dc:creator>Marcus W. Beck (marcusb@sccwrp.org), Casey O’Hara (ohara@nceas.ucsb.edu), Julia S. Stewart Lowndes (lowndes@nceas.ucsb.edu), Raphael D. Mazor (raphaelm@sccwrp.org), Susanna Theroux (susannat@sccwrp.org), David J. Gillett (davidg@sccwrp.org), Belize Lane (belize.lane@usu.edu), Greg Gearheart (greg.gearheart@waterboards.ca.gov)</dc:creator>
  <cp:keywords/>
  <dcterms:created xsi:type="dcterms:W3CDTF">2020-06-18T17:27:37Z</dcterms:created>
  <dcterms:modified xsi:type="dcterms:W3CDTF">2020-06-18T17:27:37Z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