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46.png" ContentType="image/png"/>
  <Override PartName="/word/media/rId48.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3">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4">
        <w:r>
          <w:rPr>
            <w:rStyle w:val="Hyperlink"/>
          </w:rPr>
          <w:t xml:space="preserve">ohara@nceas.ucsb.edu</w:t>
        </w:r>
      </w:hyperlink>
      <w:r>
        <w:t xml:space="preserve">),</w:t>
      </w:r>
      <w:r>
        <w:t xml:space="preserve"> </w:t>
      </w:r>
      <w:r>
        <w:t xml:space="preserve">Julie</w:t>
      </w:r>
      <w:r>
        <w:t xml:space="preserve"> </w:t>
      </w:r>
      <w:r>
        <w:t xml:space="preserve">Stewart</w:t>
      </w:r>
      <w:r>
        <w:t xml:space="preserve"> </w:t>
      </w:r>
      <w:r>
        <w:t xml:space="preserve">Lowndes</w:t>
      </w:r>
      <w:r>
        <w:t xml:space="preserve"> </w:t>
      </w:r>
      <w:r>
        <w:t xml:space="preserve">(</w:t>
      </w:r>
      <w:hyperlink r:id="rId25">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Wed Jan 2 12:00:45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modes of data preservation and sharing. In this paper, we will review core open science concepts that have recently been adopted in the ecological sciences and will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researchers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can democratize all aspects of the scientific method can meet these needs, yet bioassessment research and its application to better serve the environment has not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open and accessible to the management community. Legal and ethical precedents in bioassessment may also necessitate the open sharing of data given that environmental monitoring programs are often publicly funded.</w:t>
      </w:r>
    </w:p>
    <w:p>
      <w:pPr>
        <w:pStyle w:val="BodyText"/>
      </w:pPr>
      <w:r>
        <w:t xml:space="preserve">This review will demonstrate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but more importantly, improve the ability of these methods to address environmental issues by bridging the gap between the scientific, management, and regulatory communities. As such, this paper describes open science tools that can be adopted in research practices,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forward progress for several reasons, particularly so in the applied sciences.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 The loss of information over time that intimately describes a research product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open-data-as-a-component-of-the-open-science-process"/>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researcher becomes a steward of their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for the</w:t>
      </w:r>
      <w:r>
        <w:t xml:space="preserve"> </w:t>
      </w:r>
      <w:r>
        <w:t xml:space="preserve">“</w:t>
      </w:r>
      <w:r>
        <w:t xml:space="preserve">future-self</w:t>
      </w:r>
      <w:r>
        <w:t xml:space="preserve">”</w:t>
      </w:r>
      <w:r>
        <w:t xml:space="preserve"> </w:t>
      </w:r>
      <w:r>
        <w:t xml:space="preserve">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researchers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are now easily accessible to environmental scientists that can be used to create open data. Version control software (e.g, Git, GitHub), open source programming languages (e.g, R), and integrated development environments (IDEs, e.g., RStudio)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w:t>
      </w:r>
    </w:p>
    <w:p>
      <w:pPr>
        <w:pStyle w:val="BodyText"/>
      </w:pPr>
      <w:r>
        <w:t xml:space="preserve">Open and unfettered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contexts for data may be misunderstood, and data from different sources require synthesis. Many open science tools can improve the accessibility of data from monitoring programs by establishing workflows for data synthesis and discovery, often through the adoption of a common metadata structure (e.g., Ecological Metadata Language Standard) and integration of data within federated data networks (e.g., DataONE).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Increased trust could facilitate eventual adoption of proposed rules or regulations that are based on research products created from open data.</w:t>
      </w:r>
    </w:p>
    <w:p>
      <w:pPr>
        <w:pStyle w:val="Heading1"/>
      </w:pPr>
      <w:bookmarkStart w:id="32" w:name="applying-open-science-principles-to-bioassessment"/>
      <w:r>
        <w:t xml:space="preserve">Applying open science principles to bioassessment</w:t>
      </w:r>
      <w:bookmarkEnd w:id="32"/>
    </w:p>
    <w:p>
      <w:pPr>
        <w:pStyle w:val="FirstParagraph"/>
      </w:pPr>
      <w:r>
        <w:t xml:space="preserve">Here we provide a detailed description of open science tools that the bioassessment community could leverage to adopt a philosophy of creating reproducible, transparent, and discoverable research products for environmental managers. To emphasize the value that each of these tools can have for specific steps of the scientific process, we first describe a</w:t>
      </w:r>
      <w:r>
        <w:t xml:space="preserve"> </w:t>
      </w:r>
      <w:r>
        <w:t xml:space="preserve">“</w:t>
      </w:r>
      <w:r>
        <w:t xml:space="preserve">conventional</w:t>
      </w:r>
      <w:r>
        <w:t xml:space="preserve">”</w:t>
      </w:r>
      <w:r>
        <w:t xml:space="preserve"> </w:t>
      </w:r>
      <w:r>
        <w:t xml:space="preserve">linear workflow, which is then contrasted with a workflow that adopts open science tools to facilitate feedback between the management community and stakeholders.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applied context (i.e., an index will not have applied value if its final home is the primary literature).</w:t>
      </w:r>
    </w:p>
    <w:p>
      <w:pPr>
        <w:pStyle w:val="BodyText"/>
      </w:pPr>
      <w:r>
        <w:t xml:space="preserve">The below examples also require understanding the distinction between the general open science process in Figure</w:t>
      </w:r>
      <w:r>
        <w:t xml:space="preserve"> </w:t>
      </w:r>
      <w:r>
        <w:t xml:space="preserve">1</w:t>
      </w:r>
      <w:r>
        <w:t xml:space="preserve">, the technology-based tools that can be used to achieve an open process, and open data as an individual component of the open science process</w:t>
      </w:r>
      <w:r>
        <w:t xml:space="preserve"> </w:t>
      </w:r>
      <w:r>
        <w:t xml:space="preserve">1</w:t>
      </w:r>
      <w:r>
        <w:t xml:space="preserve">. We emphasize that both the tools and open data are critical components that facilitate the broader process to achieve the principles outlined in Table</w:t>
      </w:r>
      <w:r>
        <w:t xml:space="preserve"> </w:t>
      </w:r>
      <w:r>
        <w:t xml:space="preserve">1</w:t>
      </w:r>
      <w:r>
        <w:t xml:space="preserve">. However, open science tools can be used by individual researchers in an entirely closed workflow with no collaboration or discoverability by others. Similarly, open data can be created through an entirely closed process even though it may appear as an open science product. We encourage awareness that a fully open process must adopt the open science tools that are appropriate for a research question, the creation of open data is a fundamental component of the process, and acceptance of the researcher and collaborators of the concepts described in Table</w:t>
      </w:r>
      <w:r>
        <w:t xml:space="preserve"> </w:t>
      </w:r>
      <w:r>
        <w:t xml:space="preserve">1</w:t>
      </w:r>
      <w:r>
        <w:t xml:space="preserve"> </w:t>
      </w:r>
      <w:r>
        <w:t xml:space="preserve">is critical to achieving openness.</w:t>
      </w:r>
    </w:p>
    <w:p>
      <w:pPr>
        <w:pStyle w:val="Heading2"/>
      </w:pPr>
      <w:bookmarkStart w:id="33" w:name="conventional-science"/>
      <w:r>
        <w:t xml:space="preserve">Conventional science</w:t>
      </w:r>
      <w:bookmarkEnd w:id="33"/>
    </w:p>
    <w:p>
      <w:pPr>
        <w:pStyle w:val="FirstParagraph"/>
      </w:pPr>
      <w:r>
        <w:t xml:space="preserve">First we consider a hypothetical workflow for how many bioassessment products are potentially created (Figure</w:t>
      </w:r>
      <w:r>
        <w:t xml:space="preserve"> </w:t>
      </w:r>
      <w:r>
        <w:t xml:space="preserve">2</w:t>
      </w:r>
      <w:r>
        <w:t xml:space="preserve">a) to highlight challenges to openness with conventional approaches. Research goals are often identified through legislative requirements to assess biological integrity of surface waters. In the United States, the process begins at the state-level where regulatory institutions require robust bioassessment methods as defined by federal mandates. Historically, a regulatory agency may not have ownership of the data required for index development, as for states that separately manage pollutants (e.g., through stormwater or discharge permits) and natural resources (e.g., fisheries). The required data may also be decentralized across public and private institutions. The task of identifying, gathering, and synthesizing these data may be contracted by the management agency to a third party, such as a private consultant or an academic institution. This separation between consumers and creators of bioassessment products can be an initial cause of implementation challenges as research agendas may diverge with communication barriers between institutions.</w:t>
      </w:r>
    </w:p>
    <w:p>
      <w:pPr>
        <w:pStyle w:val="BodyText"/>
      </w:pPr>
      <w:r>
        <w:t xml:space="preserve">A typical workflow for developing an index is not entirely dissimilar from a conventional scientific process. The primary investigator begins by identifying the research goal, developing methods to achieve that goal, and then identifying the data needs and analyses based on the existing science. Development of a bioassessment index is not explicitly hypothesis-driven, in that an index is not meant to support or refute an academic question, but rather it is implicitly guided by the defined needs for an ecological condition assessment. The index must predict biological responses to environmental change relative to natural variation and the relative impacts of these changes should be quantifiable. As noted above, standard procedures that address these technical challenges have generally been accepted by the research community as robust and index development could be considered more procedural than research-oriented. This can contribute to a relaxation of scientific principles that reinforce reproducibility and attention to detail if the development process is viewed more as a recipe than a formal research endeavor.</w:t>
      </w:r>
    </w:p>
    <w:p>
      <w:pPr>
        <w:pStyle w:val="BodyText"/>
      </w:pPr>
      <w:r>
        <w:t xml:space="preserve">Inadequate documentation of data sources, what data were used, and how data were synthesized can also contribute to implementation challenges in conventional workflows. Ideally, a monitoring program would provide data that cover the range of natural variability and relevant stressor gradients that influence environmental conditions within an assessment region. If so, the origin can easily be identified after the product is developed and others will more easily be able to recreate or refine an assessment method as needed. However, a pre-existing monitoring program may not have goals that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all of which potentially have different goals for originally collecting the data.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 product and may even erode institutional trust if the provenance of the dataset is unknown.</w:t>
      </w:r>
    </w:p>
    <w:p>
      <w:pPr>
        <w:pStyle w:val="BodyText"/>
      </w:pPr>
      <w:r>
        <w:t xml:space="preserve">Finally, most bioassessment workflows usually lack tools for calculation and interpretation of results. Although the availability and need for documentation of the raw data is important, insufficient resources to facilitate use by managers and policy-makers, both in calculation and interpretation, represents a critical limitation of bioassessment effectiveness with conventional workflows. The worst case scenario is a spreadsheet-oriented approach to converting raw data into a synthesized index. Not only is this a major challenge for the researcher that develops the index, but it prevents others from applying the tool to reproduce the results and apply it with novel data.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w:t>
      </w:r>
    </w:p>
    <w:p>
      <w:pPr>
        <w:pStyle w:val="Heading2"/>
      </w:pPr>
      <w:bookmarkStart w:id="34" w:name="using-open-science-tools-to-enhance-bioassessment"/>
      <w:r>
        <w:t xml:space="preserve">Using open science tools to enhance bioassessment</w:t>
      </w:r>
      <w:bookmarkEnd w:id="34"/>
    </w:p>
    <w:p>
      <w:pPr>
        <w:pStyle w:val="FirstParagraph"/>
      </w:pPr>
      <w:r>
        <w:t xml:space="preserve">The above example is an extreme hypothetical description where bioassessment products fail to affect any positive change in environmental management due to a complete deficiency in openness and failed implementation as a result.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open science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The critical difference of this open approach with the closed scenario in Figure</w:t>
      </w:r>
      <w:r>
        <w:t xml:space="preserve"> </w:t>
      </w:r>
      <w:r>
        <w:t xml:space="preserve">2</w:t>
      </w:r>
      <w:r>
        <w:t xml:space="preserve">a is the iterative flow of ideas and products between the management community and stakeholders, the researcher developing the bioassessment product, and the broader community that provides data and guidance documents in the primary and secondary literature.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remains the sole responsibility of the researcher. However, the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paradigm, the goals identified by the researcher for developing a bioassessment product should occur through close interaction with the management or regulatory institution that requires the product. Establishing goals should occur through a two-way exchange of information where management communicates the assessment needs of a bioassessment product that reflects both legislative reporting requirements and stakeholder concerns. The researcher developing the bioassessment product should recognize these needs while also considering the potential balance between the goals and limitations of the data or state of the science to meet these goals.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Google documents, Slack discussion channels, and open lab notebooks can be instrumental for collaboration. More informal approaches, such as blogging and sharing ideas on social media, can expose new concepts to the broader community for guidance. Overall, the iterative exchange of information for identifying goals will ensure that the needs of the management and stakeholder communities will be consistent with the services provided by the research product.</w:t>
      </w:r>
    </w:p>
    <w:p>
      <w:pPr>
        <w:pStyle w:val="Heading3"/>
      </w:pPr>
      <w:bookmarkStart w:id="36" w:name="curating-bioassessment-data"/>
      <w:r>
        <w:t xml:space="preserve">Curating bioassessment data</w:t>
      </w:r>
      <w:bookmarkEnd w:id="36"/>
    </w:p>
    <w:p>
      <w:pPr>
        <w:pStyle w:val="FirstParagraph"/>
      </w:pPr>
      <w:r>
        <w:t xml:space="preserve">After the goals are established, the researcher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individual researcher to create interactive applications for stakeholders to share and explore the data and is also fully integrated into summary reports using software for generating dynamic documents</w:t>
      </w:r>
      <w:r>
        <w:t xml:space="preserve"> </w:t>
      </w:r>
      <w:r>
        <w:t xml:space="preserve">(e.g, using knitr, Xie</w:t>
      </w:r>
      <w:r>
        <w:t xml:space="preserve"> </w:t>
      </w:r>
      <w:hyperlink w:anchor="ref-Xie15">
        <w:r>
          <w:rPr>
            <w:rStyle w:val="Hyperlink"/>
          </w:rPr>
          <w:t xml:space="preserve">2015</w:t>
        </w:r>
      </w:hyperlink>
      <w:r>
        <w:t xml:space="preserve">; and RMarkdown, Allaire et al.</w:t>
      </w:r>
      <w:r>
        <w:t xml:space="preserve"> </w:t>
      </w:r>
      <w:hyperlink w:anchor="ref-Allaire18">
        <w:r>
          <w:rPr>
            <w:rStyle w:val="Hyperlink"/>
          </w:rPr>
          <w:t xml:space="preserve">2018</w:t>
        </w:r>
      </w:hyperlink>
      <w:r>
        <w:t xml:space="preserve">)</w:t>
      </w:r>
      <w:r>
        <w:t xml:space="preserve">. The data product also becomes available on an open data repository that is discoverable by other researchers and can contribute to alternative scientific advances beyond the immediate goals.</w:t>
      </w:r>
    </w:p>
    <w:p>
      <w:pPr>
        <w:pStyle w:val="BodyText"/>
      </w:pPr>
      <w:r>
        <w:t xml:space="preserve">A bioassessment researcher operating under an open science paradigm has the responsibility of curating the data from its initial creation to its final home in an open repository. This responsibility is particularly relevant given that a synthesized dataset can originate from multiple sources and the created output can be indistinguishable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This requires use of a standardized metadata language (e.g., the Ecological Metadata Language or EML) to document the who, what, and why of a particular dataset. Adoption of a metadata standard also ensures that a machine-readable file is produced to allow integration into a data repository. This will allow a synthesized data product to be discoverable beyond the specific research application and will include the metadata to help others understand the context of the data. Finally, a dataset can be assigned a unique digital object identifier (DOI, e.g., through Zenodo) that provides a permanent address and is also citable to allow researchers to track usage of a bioassessment data product.</w:t>
      </w:r>
    </w:p>
    <w:p>
      <w:pPr>
        <w:pStyle w:val="Heading3"/>
      </w:pPr>
      <w:bookmarkStart w:id="37" w:name="using-r-for-bioassessment-translation"/>
      <w:r>
        <w:t xml:space="preserve">Using R for bioassessment translation</w:t>
      </w:r>
      <w:bookmarkEnd w:id="37"/>
    </w:p>
    <w:p>
      <w:pPr>
        <w:pStyle w:val="FirstParagraph"/>
      </w:pPr>
      <w:r>
        <w:t xml:space="preserve">The most important process of the open science workflow is the translation of bioassessment products to the management and regulatory community. This process should be fundamentally linked to open source analysis and development tools that can be used to deliver the products using a reproducible and accessible platform. In particular, the popularity of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has increased in the last ten years and is the most commonly used analysis platform in the environmental sciences. This software provides 13605 user contributed packages (as of 2019-01-03) and is also a programming language that can be used to create specific analysis workflows. The availability of existing packages and the ability to create new packages is a strength of R that is under-utilized by the bioassessment community. An assessment index packaged in R can automate the tedious process of converting raw taxonomic data to summary scores. An R package is also modular, meaning it includes all necessary analyses, data, and documentation to allow use by others. This modularity is critical for reaching management and stakeholder communities by providing a tool that redirects the focus on the output and not the technical details that are less important for decision-making.</w:t>
      </w:r>
    </w:p>
    <w:p>
      <w:pPr>
        <w:pStyle w:val="BodyText"/>
      </w:pPr>
      <w:r>
        <w:t xml:space="preserve">Several existing R packages have value for the bioassessment community (Table</w:t>
      </w:r>
      <w:r>
        <w:t xml:space="preserve"> </w:t>
      </w:r>
      <w:r>
        <w:t xml:space="preserve">2</w:t>
      </w:r>
      <w:r>
        <w:t xml:space="preserve">). For managing the day to day tasks of working with multiple datasets, the tidyverse 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The tidyverse also includes the popular ggplot2 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In bioassessment, ggplot2 can be used both in an exploratory role during the development phase and also to create publication quality graphics. More importantly, this package provides the building blocks to create a data visualization to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simple features package</w:t>
      </w:r>
      <w:r>
        <w:t xml:space="preserve"> </w:t>
      </w:r>
      <w:r>
        <w:t xml:space="preserve">(Pebesma</w:t>
      </w:r>
      <w:r>
        <w:t xml:space="preserve"> </w:t>
      </w:r>
      <w:hyperlink w:anchor="ref-Pebesma18">
        <w:r>
          <w:rPr>
            <w:rStyle w:val="Hyperlink"/>
          </w:rPr>
          <w:t xml:space="preserve">2018</w:t>
        </w:r>
      </w:hyperlink>
      <w:r>
        <w:t xml:space="preserve">)</w:t>
      </w:r>
      <w:r>
        <w:t xml:space="preserve"> </w:t>
      </w:r>
      <w:r>
        <w:t xml:space="preserve">was first released in 2016 and has quickly become the most popular approach for working with spatial information in R. The simple features package uses principles of data storage that parallel those from the tidyverse by representing spatial objects in a tidy and tabular format. This facilitates analysis by presenting complex spatial structures in an easily readable format that can be integrated in workflows with existing packages, including other mapping packages</w:t>
      </w:r>
      <w:r>
        <w:t xml:space="preserve"> </w:t>
      </w:r>
      <w:r>
        <w:t xml:space="preserve">(e.g., leaflet, Cheng, Karambelkar, and Xie</w:t>
      </w:r>
      <w:r>
        <w:t xml:space="preserve"> </w:t>
      </w:r>
      <w:hyperlink w:anchor="ref-Cheng18">
        <w:r>
          <w:rPr>
            <w:rStyle w:val="Hyperlink"/>
          </w:rPr>
          <w:t xml:space="preserve">2018</w:t>
        </w:r>
      </w:hyperlink>
      <w:r>
        <w:t xml:space="preserve">; or mapview, Appelhans et al.</w:t>
      </w:r>
      <w:r>
        <w:t xml:space="preserve"> </w:t>
      </w:r>
      <w:hyperlink w:anchor="ref-Appelhans18">
        <w:r>
          <w:rPr>
            <w:rStyle w:val="Hyperlink"/>
          </w:rPr>
          <w:t xml:space="preserve">2018</w:t>
        </w:r>
      </w:hyperlink>
      <w:r>
        <w:t xml:space="preserve">)</w:t>
      </w:r>
      <w:r>
        <w:t xml:space="preserve">. This allows the researcher to use a workflow that is focused in a single environment, rather than using separate software for statistical and geospatial analysis. This reduces the likelihood of losing information or introducing analysis errors as the workflow is more transparent in a single environment.</w:t>
      </w:r>
    </w:p>
    <w:p>
      <w:pPr>
        <w:pStyle w:val="BodyText"/>
      </w:pPr>
      <w:r>
        <w:t xml:space="preserve">Other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randomForest 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 Many other modelling packages are available in R that can support index development, such as exploratory analyses to evaluate biological response or identifying significant associations of organisms with stressor gradients. The nlme 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 nlme package can develop models for nested sampling designs, such as repeat visits to sample sites or otherwise confounding variables that contribute information but are not unique observations. The mgcv package provides similar functionality as nlme,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Currently, only a few existing R packages have been developed specifically for bioassessment. For example, the TITAN2 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The results can be also be used post hoc to evaluate potential response of a biological index with changing environmental conditions, such as proposed management actions to improve aquatic habitat. Alternatively, the indicspecies 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 Finally, the vegan 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implementation. Several tools have been developed and published in the last five years that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these packages. The advantages of creating and sharing R packages that are specific to bioassessment applications are important for several reasons. First, an R package creates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 shiny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Shiny applications can also be easily linked to other R packages. For example, a shiny website could be created for users to upload raw data and bioassessment scores could be estimated and reported using an R package developed externally. This can extend the accessibility of a bioassessment product while maintaining the technical integrity of the original tool. Moreover, shiny applications are completely customizable and can be tailored to the specific needs of any user. This distinction separates shiny from other web-based analysis platforms.</w:t>
      </w:r>
    </w:p>
    <w:p>
      <w:pPr>
        <w:pStyle w:val="Heading1"/>
      </w:pPr>
      <w:bookmarkStart w:id="38" w:name="open-science-in-practice"/>
      <w:r>
        <w:t xml:space="preserve">Open science in practice</w:t>
      </w:r>
      <w:bookmarkEnd w:id="38"/>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39">
        <w:r>
          <w:rPr>
            <w:rStyle w:val="Hyperlink"/>
          </w:rPr>
          <w:t xml:space="preserve">AB 1755, Dodd</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0">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w:t>
      </w:r>
    </w:p>
    <w:p>
      <w:pPr>
        <w:pStyle w:val="BodyText"/>
      </w:pPr>
      <w:r>
        <w:t xml:space="preserve">The recent policies are a recognition of the disconnect between the state of the science and the level of integration with policy and decision-making. Although these initiatives are substantial forward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conditions at reference sites,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 size fits all requirement across the variety of landscapes and channel types in the state.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implementation challenges for bioassessment goals in developed landscapes. The Stream Classification and Priority Explorer</w:t>
      </w:r>
      <w:r>
        <w:t xml:space="preserve"> </w:t>
      </w:r>
      <w:r>
        <w:t xml:space="preserve">(SCAPE, 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(SGR) Watershed (Los Angeles, California). The SGR watershed represent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Engagement of a local stakeholder group to identify research goals guided the technical process of developing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 tidyverse 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 simple features package for spatial analyis</w:t>
      </w:r>
      <w:r>
        <w:t xml:space="preserve"> </w:t>
      </w:r>
      <w:r>
        <w:t xml:space="preserve">(Pebesma</w:t>
      </w:r>
      <w:r>
        <w:t xml:space="preserve"> </w:t>
      </w:r>
      <w:hyperlink w:anchor="ref-Pebesma18">
        <w:r>
          <w:rPr>
            <w:rStyle w:val="Hyperlink"/>
          </w:rPr>
          <w:t xml:space="preserve">2018</w:t>
        </w:r>
      </w:hyperlink>
      <w:r>
        <w:t xml:space="preserve">)</w:t>
      </w:r>
      <w:r>
        <w:t xml:space="preserve">, and randomForest 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digital object identifier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4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 shiny,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allowed stakeholders to better understand the technical components of the model through direct interaction of components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different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needs of the management community. The online tool did not limit managers to a single answer, rather it provided the tools to determine the most appropriate answer for any situation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 knitr and 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easy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42" w:name="limitations-and-solutions"/>
      <w:r>
        <w:t xml:space="preserve">Limitations and solutions</w:t>
      </w:r>
      <w:bookmarkEnd w:id="42"/>
    </w:p>
    <w:p>
      <w:pPr>
        <w:pStyle w:val="FirstParagraph"/>
      </w:pPr>
      <w:r>
        <w:t xml:space="preserve">Although the case for open science in bioassessment is appealing, several challenges have prevented the widespread adoption of these principles in practice. Many of these challenges are not specific to bioassessment and apply more generally to the environmental sciences. First, the technical skillsets required to effectively use open science tools can be frustrating for some researchers. Conventional and closed workflows used by many scientists are adopted and entrenched because of ease of use, yet the simplicity of such tools limits their power. In contrast, many open science analysis platforms, such as R, were developed with customization as a key concept defining the functionality. This creates a tradeoff between ease of use and flexibility where the former is sacrificed by the latter. Open science tools can improve analysis, documentation, and implementation through greater flexibility, but they expose researchers to entirely new concepts in which many were never trained. Many scientists are unable to learn new skills given existing demands on their time, and even less so for skills with exceptional learning curves. The benefits of these approaches may also not be apparent, such as the value for the individual researcher of sharing their data. Not only are the required skillsets demanding, but the open science toolbox continues to expand as new methods are developed and old methods become obsolete. This requires a researchers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the value of investing in learning a new skill is realized. 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w:t>
      </w:r>
    </w:p>
    <w:p>
      <w:pPr>
        <w:pStyle w:val="BodyText"/>
      </w:pPr>
      <w:r>
        <w:t xml:space="preserve">Sociocultural challenges may also inhibit the adoption of open science methods. A common argument against open science is the protection of data that individual researchers may view as proprietary. There are reasonable arguments to treat data as personal property, particularly if exceptional effort was spent to secure funding for a project and if the data were hard-earned. These issues are less of a concern for bioassessment where many datasets are collected by institutions that are publicly funded and data accessibility may be mandated by law. However, both interim and completed research products derived from public data should be available to the broader bioassessment community in an open science paradigm. This raises an additional concern that researchers making their workflows transparent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This is particularly concerning for bioassessment researchers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of bioassessment products. Criticism and feedback should be a natural part of development that will facilitate adoption by ensuring the product meets the needs of all parties.</w:t>
      </w:r>
    </w:p>
    <w:p>
      <w:pPr>
        <w:pStyle w:val="BodyText"/>
      </w:pPr>
      <w:r>
        <w:t xml:space="preserve">Institutional barriers can also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for increased legal scrutiny that can undermine the integrity of the public institution. Despite these reservations, many public institutions now advocate for increased openness as the benefits of doing so to facilitate and engender public trust have been realized.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43" w:name="conclusions"/>
      <w:r>
        <w:t xml:space="preserve">Conclusions</w:t>
      </w:r>
      <w:bookmarkEnd w:id="43"/>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44" w:name="figures"/>
      <w:r>
        <w:t xml:space="preserve">Figures</w:t>
      </w:r>
      <w:bookmarkEnd w:id="44"/>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45"/>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46"/>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47"/>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48"/>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w:t>
      </w:r>
    </w:p>
    <w:p>
      <w:pPr>
        <w:pStyle w:val="Heading1"/>
      </w:pPr>
      <w:bookmarkStart w:id="49" w:name="tables"/>
      <w:r>
        <w:t xml:space="preserve">Tables</w:t>
      </w:r>
      <w:bookmarkEnd w:id="49"/>
    </w:p>
    <w:p>
      <w:pPr>
        <w:pStyle w:val="TableCaption"/>
      </w:pPr>
      <w:r>
        <w:t xml:space="preserve">Table 1 Core definitions and principles of open science, from Open Knowledge International,</w:t>
      </w:r>
      <w:r>
        <w:t xml:space="preserve"> </w:t>
      </w:r>
      <w:hyperlink r:id="rId50">
        <w:r>
          <w:rPr>
            <w:rStyle w:val="Hyperlink"/>
          </w:rPr>
          <w:t xml:space="preserve">http://opendefinition.org/</w:t>
        </w:r>
      </w:hyperlink>
      <w:r>
        <w:t xml:space="preserve">, Creative Commons,</w:t>
      </w:r>
      <w:r>
        <w:t xml:space="preserve"> </w:t>
      </w:r>
      <w:hyperlink r:id="rId51">
        <w:r>
          <w:rPr>
            <w:rStyle w:val="Hyperlink"/>
          </w:rPr>
          <w:t xml:space="preserve">https://creativecommons.org/about/program-areas/open-science/</w:t>
        </w:r>
      </w:hyperlink>
      <w:r>
        <w:t xml:space="preserve">, and J. Gezelter,</w:t>
      </w:r>
      <w:r>
        <w:t xml:space="preserve"> </w:t>
      </w:r>
      <w:hyperlink r:id="rId52">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t xml:space="preserve">tidyverse (Wickham 2017)</w:t>
            </w:r>
          </w:p>
        </w:tc>
        <w:tc>
          <w:p>
            <w:pPr>
              <w:pStyle w:val="Compact"/>
              <w:jc w:val="left"/>
            </w:pPr>
            <w:r>
              <w:t xml:space="preserve">A suite of packages to import, wrangle, explore, and plot data. Includes the popular ggplot2 and dplyr packages.</w:t>
            </w:r>
          </w:p>
        </w:tc>
      </w:tr>
      <w:tr>
        <w:tc>
          <w:p>
            <w:pPr>
              <w:pStyle w:val="Compact"/>
              <w:jc w:val="left"/>
            </w:pPr>
            <w:r>
              <w:t xml:space="preserve">Mapping, geospatial</w:t>
            </w:r>
          </w:p>
        </w:tc>
        <w:tc>
          <w:p>
            <w:pPr>
              <w:pStyle w:val="Compact"/>
              <w:jc w:val="left"/>
            </w:pPr>
            <w:r>
              <w:t xml:space="preserve">sf (Pebesma 2018)</w:t>
            </w:r>
          </w:p>
        </w:tc>
        <w:tc>
          <w:p>
            <w:pPr>
              <w:pStyle w:val="Compact"/>
              <w:jc w:val="left"/>
            </w:pPr>
            <w:r>
              <w:t xml:space="preserve">A simple features architecture for working with spatial data, including common geospatial analysis functions</w:t>
            </w:r>
          </w:p>
        </w:tc>
      </w:tr>
      <w:tr>
        <w:tc>
          <w:p>
            <w:pPr>
              <w:pStyle w:val="Compact"/>
            </w:pPr>
          </w:p>
        </w:tc>
        <w:tc>
          <w:p>
            <w:pPr>
              <w:pStyle w:val="Compact"/>
              <w:jc w:val="left"/>
            </w:pPr>
            <w:r>
              <w:t xml:space="preserve">leaflet (Cheng et al. 2018)</w:t>
            </w:r>
          </w:p>
        </w:tc>
        <w:tc>
          <w:p>
            <w:pPr>
              <w:pStyle w:val="Compact"/>
              <w:jc w:val="left"/>
            </w:pPr>
            <w:r>
              <w:t xml:space="preserve">Integration of R with the popular JavaScript leaflet library for interactive maps</w:t>
            </w:r>
          </w:p>
        </w:tc>
      </w:tr>
      <w:tr>
        <w:tc>
          <w:p>
            <w:pPr>
              <w:pStyle w:val="Compact"/>
            </w:pPr>
          </w:p>
        </w:tc>
        <w:tc>
          <w:p>
            <w:pPr>
              <w:pStyle w:val="Compact"/>
              <w:jc w:val="left"/>
            </w:pPr>
            <w:r>
              <w:t xml:space="preserve">mapview (Appelhans et al. 2018)</w:t>
            </w:r>
          </w:p>
        </w:tc>
        <w:tc>
          <w:p>
            <w:pPr>
              <w:pStyle w:val="Compact"/>
              <w:jc w:val="left"/>
            </w:pPr>
            <w:r>
              <w:t xml:space="preserve">Creates interactive maps to quickly examine and visually investigate spatial data, built off leaflet and integrated with sf</w:t>
            </w:r>
          </w:p>
        </w:tc>
      </w:tr>
      <w:tr>
        <w:tc>
          <w:p>
            <w:pPr>
              <w:pStyle w:val="Compact"/>
              <w:jc w:val="left"/>
            </w:pPr>
            <w:r>
              <w:t xml:space="preserve">Statistical modelling</w:t>
            </w:r>
          </w:p>
        </w:tc>
        <w:tc>
          <w:p>
            <w:pPr>
              <w:pStyle w:val="Compact"/>
              <w:jc w:val="left"/>
            </w:pPr>
            <w:r>
              <w:t xml:space="preserve">randomForest (Liaw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t xml:space="preserve">nlme (Pinheiro et al. 2018)</w:t>
            </w:r>
          </w:p>
        </w:tc>
        <w:tc>
          <w:p>
            <w:pPr>
              <w:pStyle w:val="Compact"/>
              <w:jc w:val="left"/>
            </w:pPr>
            <w:r>
              <w:t xml:space="preserve">Non-linear, mixed effects modelling</w:t>
            </w:r>
          </w:p>
        </w:tc>
      </w:tr>
      <w:tr>
        <w:tc>
          <w:p>
            <w:pPr>
              <w:pStyle w:val="Compact"/>
            </w:pPr>
          </w:p>
        </w:tc>
        <w:tc>
          <w:p>
            <w:pPr>
              <w:pStyle w:val="Compact"/>
              <w:jc w:val="left"/>
            </w:pPr>
            <w:r>
              <w:t xml:space="preserve">mgcv (Wood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t xml:space="preserve">TITAN2 (Baker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t xml:space="preserve">indicspecies (De Caceres and Legendre 2009)</w:t>
            </w:r>
          </w:p>
        </w:tc>
        <w:tc>
          <w:p>
            <w:pPr>
              <w:pStyle w:val="Compact"/>
              <w:jc w:val="left"/>
            </w:pPr>
            <w:r>
              <w:t xml:space="preserve">Indicator species analysis</w:t>
            </w:r>
          </w:p>
        </w:tc>
      </w:tr>
      <w:tr>
        <w:tc>
          <w:p>
            <w:pPr>
              <w:pStyle w:val="Compact"/>
            </w:pPr>
          </w:p>
        </w:tc>
        <w:tc>
          <w:p>
            <w:pPr>
              <w:pStyle w:val="Compact"/>
              <w:jc w:val="left"/>
            </w:pPr>
            <w:r>
              <w:t xml:space="preserve">vegan (Oksanen et al. 2018)</w:t>
            </w:r>
          </w:p>
        </w:tc>
        <w:tc>
          <w:p>
            <w:pPr>
              <w:pStyle w:val="Compact"/>
              <w:jc w:val="left"/>
            </w:pPr>
            <w:r>
              <w:t xml:space="preserve">Multivariate analysis for community ecology</w:t>
            </w:r>
          </w:p>
        </w:tc>
      </w:tr>
      <w:tr>
        <w:tc>
          <w:p>
            <w:pPr>
              <w:pStyle w:val="Compact"/>
              <w:jc w:val="left"/>
            </w:pPr>
            <w:r>
              <w:t xml:space="preserve">Science translation</w:t>
            </w:r>
          </w:p>
        </w:tc>
        <w:tc>
          <w:p>
            <w:pPr>
              <w:pStyle w:val="Compact"/>
              <w:jc w:val="left"/>
            </w:pPr>
            <w:r>
              <w:t xml:space="preserve">shiny (Chang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t xml:space="preserve">rmarkdown (Allaire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t xml:space="preserve">knitr (Xie 2015)</w:t>
            </w:r>
          </w:p>
        </w:tc>
        <w:tc>
          <w:p>
            <w:pPr>
              <w:pStyle w:val="Compact"/>
              <w:jc w:val="left"/>
            </w:pPr>
            <w:r>
              <w:t xml:space="preserve">Automated tools for markdown files that process integrated R code chunks</w:t>
            </w:r>
          </w:p>
        </w:tc>
      </w:tr>
    </w:tbl>
    <w:p>
      <w:pPr>
        <w:pStyle w:val="Heading1"/>
      </w:pPr>
      <w:bookmarkStart w:id="53" w:name="references"/>
      <w:r>
        <w:t xml:space="preserve">References</w:t>
      </w:r>
      <w:bookmarkEnd w:id="53"/>
    </w:p>
    <w:bookmarkStart w:id="167" w:name="refs"/>
    <w:bookmarkStart w:id="55"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54">
        <w:r>
          <w:rPr>
            <w:rStyle w:val="Hyperlink"/>
          </w:rPr>
          <w:t xml:space="preserve">https://CRAN.R-project.org/package=rmarkdown</w:t>
        </w:r>
      </w:hyperlink>
      <w:r>
        <w:t xml:space="preserve">.</w:t>
      </w:r>
    </w:p>
    <w:bookmarkEnd w:id="55"/>
    <w:bookmarkStart w:id="57"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56">
        <w:r>
          <w:rPr>
            <w:rStyle w:val="Hyperlink"/>
          </w:rPr>
          <w:t xml:space="preserve">https://github.com/r-spatial/mapview</w:t>
        </w:r>
      </w:hyperlink>
      <w:r>
        <w:t xml:space="preserve">.</w:t>
      </w:r>
    </w:p>
    <w:bookmarkEnd w:id="57"/>
    <w:bookmarkStart w:id="58"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58"/>
    <w:bookmarkStart w:id="60"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59">
        <w:r>
          <w:rPr>
            <w:rStyle w:val="Hyperlink"/>
          </w:rPr>
          <w:t xml:space="preserve">https://doi.org/10.1111/j.1365-294X.2012.05519.x</w:t>
        </w:r>
      </w:hyperlink>
      <w:r>
        <w:t xml:space="preserve">.</w:t>
      </w:r>
    </w:p>
    <w:bookmarkEnd w:id="60"/>
    <w:bookmarkStart w:id="62"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61">
        <w:r>
          <w:rPr>
            <w:rStyle w:val="Hyperlink"/>
          </w:rPr>
          <w:t xml:space="preserve">https://CRAN.R-project.org/package=TITAN2</w:t>
        </w:r>
      </w:hyperlink>
      <w:r>
        <w:t xml:space="preserve">.</w:t>
      </w:r>
    </w:p>
    <w:bookmarkEnd w:id="62"/>
    <w:bookmarkStart w:id="63" w:name="ref-Beck18d"/>
    <w:p>
      <w:pPr>
        <w:pStyle w:val="Bibliography"/>
      </w:pPr>
      <w:r>
        <w:t xml:space="preserve">Beck, M. W. 2018a. “Constrained streams for biological integrity in California. Knowledge Network for Biocomplexity. urn:uuid:75411f50-32ed-42a5-bbfd-26833c7a441f.”</w:t>
      </w:r>
    </w:p>
    <w:bookmarkEnd w:id="63"/>
    <w:bookmarkStart w:id="65" w:name="ref-Beck18c"/>
    <w:p>
      <w:pPr>
        <w:pStyle w:val="Bibliography"/>
      </w:pPr>
      <w:r>
        <w:t xml:space="preserve">———. 2018b. “SCCWRP/SCAPE: v1.0 (Version 1.0). Zenodo,</w:t>
      </w:r>
      <w:r>
        <w:t xml:space="preserve"> </w:t>
      </w:r>
      <w:hyperlink r:id="rId64">
        <w:r>
          <w:rPr>
            <w:rStyle w:val="Hyperlink"/>
          </w:rPr>
          <w:t xml:space="preserve">http://doi.org/10.5281/zenodo.1218121</w:t>
        </w:r>
      </w:hyperlink>
      <w:r>
        <w:t xml:space="preserve">.”</w:t>
      </w:r>
    </w:p>
    <w:bookmarkEnd w:id="65"/>
    <w:bookmarkStart w:id="67"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66">
        <w:r>
          <w:rPr>
            <w:rStyle w:val="Hyperlink"/>
          </w:rPr>
          <w:t xml:space="preserve">https://doi.org/10.1139/A09-001</w:t>
        </w:r>
      </w:hyperlink>
      <w:r>
        <w:t xml:space="preserve">.</w:t>
      </w:r>
    </w:p>
    <w:bookmarkEnd w:id="67"/>
    <w:bookmarkStart w:id="69"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68">
        <w:r>
          <w:rPr>
            <w:rStyle w:val="Hyperlink"/>
          </w:rPr>
          <w:t xml:space="preserve">https://doi.org/10.1016/j.aquabot.2013.02.003</w:t>
        </w:r>
      </w:hyperlink>
      <w:r>
        <w:t xml:space="preserve">.</w:t>
      </w:r>
    </w:p>
    <w:bookmarkEnd w:id="69"/>
    <w:bookmarkStart w:id="71"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70">
        <w:r>
          <w:rPr>
            <w:rStyle w:val="Hyperlink"/>
          </w:rPr>
          <w:t xml:space="preserve">https://doi.org/10.1016/j.ecolind.2011.10.009</w:t>
        </w:r>
      </w:hyperlink>
      <w:r>
        <w:t xml:space="preserve">.</w:t>
      </w:r>
    </w:p>
    <w:bookmarkEnd w:id="71"/>
    <w:bookmarkStart w:id="73"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72">
        <w:r>
          <w:rPr>
            <w:rStyle w:val="Hyperlink"/>
          </w:rPr>
          <w:t xml:space="preserve">https://doi.org/10.1088/1748-9326/11/8/084004</w:t>
        </w:r>
      </w:hyperlink>
      <w:r>
        <w:t xml:space="preserve">.</w:t>
      </w:r>
    </w:p>
    <w:bookmarkEnd w:id="73"/>
    <w:bookmarkStart w:id="74"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74"/>
    <w:bookmarkStart w:id="76"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75">
        <w:r>
          <w:rPr>
            <w:rStyle w:val="Hyperlink"/>
          </w:rPr>
          <w:t xml:space="preserve">https://doi.org/10.1899/10-067.1</w:t>
        </w:r>
      </w:hyperlink>
      <w:r>
        <w:t xml:space="preserve">.</w:t>
      </w:r>
    </w:p>
    <w:bookmarkEnd w:id="76"/>
    <w:bookmarkStart w:id="78"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77">
        <w:r>
          <w:rPr>
            <w:rStyle w:val="Hyperlink"/>
          </w:rPr>
          <w:t xml:space="preserve">https://CRAN.R-project.org/package=shiny</w:t>
        </w:r>
      </w:hyperlink>
      <w:r>
        <w:t xml:space="preserve">.</w:t>
      </w:r>
    </w:p>
    <w:bookmarkEnd w:id="78"/>
    <w:bookmarkStart w:id="80"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79">
        <w:r>
          <w:rPr>
            <w:rStyle w:val="Hyperlink"/>
          </w:rPr>
          <w:t xml:space="preserve">https://CRAN.R-project.org/package=leaflet</w:t>
        </w:r>
      </w:hyperlink>
      <w:r>
        <w:t xml:space="preserve">.</w:t>
      </w:r>
    </w:p>
    <w:bookmarkEnd w:id="80"/>
    <w:bookmarkStart w:id="82"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81">
        <w:r>
          <w:rPr>
            <w:rStyle w:val="Hyperlink"/>
          </w:rPr>
          <w:t xml:space="preserve">https://doi.org/10.1111/jvs.12459</w:t>
        </w:r>
      </w:hyperlink>
      <w:r>
        <w:t xml:space="preserve">.</w:t>
      </w:r>
    </w:p>
    <w:bookmarkEnd w:id="82"/>
    <w:bookmarkStart w:id="84"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83">
        <w:r>
          <w:rPr>
            <w:rStyle w:val="Hyperlink"/>
          </w:rPr>
          <w:t xml:space="preserve">https://doi.org/10.1016/S1470-160X(01)00003-6</w:t>
        </w:r>
      </w:hyperlink>
      <w:r>
        <w:t xml:space="preserve">.</w:t>
      </w:r>
    </w:p>
    <w:bookmarkEnd w:id="84"/>
    <w:bookmarkStart w:id="86"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85">
        <w:r>
          <w:rPr>
            <w:rStyle w:val="Hyperlink"/>
          </w:rPr>
          <w:t xml:space="preserve">http://sites.google.com/site/miqueldecaceres/</w:t>
        </w:r>
      </w:hyperlink>
      <w:r>
        <w:t xml:space="preserve">.</w:t>
      </w:r>
    </w:p>
    <w:bookmarkEnd w:id="86"/>
    <w:bookmarkStart w:id="88"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87">
        <w:r>
          <w:rPr>
            <w:rStyle w:val="Hyperlink"/>
          </w:rPr>
          <w:t xml:space="preserve">https://doi.org/10.1007/s10811-013-0088-2</w:t>
        </w:r>
      </w:hyperlink>
      <w:r>
        <w:t xml:space="preserve">.</w:t>
      </w:r>
    </w:p>
    <w:bookmarkEnd w:id="88"/>
    <w:bookmarkStart w:id="90"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89">
        <w:r>
          <w:rPr>
            <w:rStyle w:val="Hyperlink"/>
          </w:rPr>
          <w:t xml:space="preserve">https://doi.org/10.1046/j.1365-2427.2002.00948.x</w:t>
        </w:r>
      </w:hyperlink>
      <w:r>
        <w:t xml:space="preserve">.</w:t>
      </w:r>
    </w:p>
    <w:bookmarkEnd w:id="90"/>
    <w:bookmarkStart w:id="92"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91">
        <w:r>
          <w:rPr>
            <w:rStyle w:val="Hyperlink"/>
          </w:rPr>
          <w:t xml:space="preserve">https://doi.org/10.1177%2F1075547012443021</w:t>
        </w:r>
      </w:hyperlink>
      <w:r>
        <w:t xml:space="preserve">.</w:t>
      </w:r>
    </w:p>
    <w:bookmarkEnd w:id="92"/>
    <w:bookmarkStart w:id="94"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93">
        <w:r>
          <w:rPr>
            <w:rStyle w:val="Hyperlink"/>
          </w:rPr>
          <w:t xml:space="preserve">https://doi.org/10.1890/ES14-00402.1</w:t>
        </w:r>
      </w:hyperlink>
      <w:r>
        <w:t xml:space="preserve">.</w:t>
      </w:r>
    </w:p>
    <w:bookmarkEnd w:id="94"/>
    <w:bookmarkStart w:id="96"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95">
        <w:r>
          <w:rPr>
            <w:rStyle w:val="Hyperlink"/>
          </w:rPr>
          <w:t xml:space="preserve">https://doi.org/10.1093/biosci/bix025</w:t>
        </w:r>
      </w:hyperlink>
      <w:r>
        <w:t xml:space="preserve">.</w:t>
      </w:r>
    </w:p>
    <w:bookmarkEnd w:id="96"/>
    <w:bookmarkStart w:id="98"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97">
        <w:r>
          <w:rPr>
            <w:rStyle w:val="Hyperlink"/>
          </w:rPr>
          <w:t xml:space="preserve">https://doi.org/10.1890/120103</w:t>
        </w:r>
      </w:hyperlink>
      <w:r>
        <w:t xml:space="preserve">.</w:t>
      </w:r>
    </w:p>
    <w:bookmarkEnd w:id="98"/>
    <w:bookmarkStart w:id="100"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99">
        <w:r>
          <w:rPr>
            <w:rStyle w:val="Hyperlink"/>
          </w:rPr>
          <w:t xml:space="preserve">https://doi.org/10.1016/j.scitotenv.2010.05.031</w:t>
        </w:r>
      </w:hyperlink>
      <w:r>
        <w:t xml:space="preserve">.</w:t>
      </w:r>
    </w:p>
    <w:bookmarkEnd w:id="100"/>
    <w:bookmarkStart w:id="102"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01">
        <w:r>
          <w:rPr>
            <w:rStyle w:val="Hyperlink"/>
          </w:rPr>
          <w:t xml:space="preserve">https://doi.org/10.1111/1752-1688.12363</w:t>
        </w:r>
      </w:hyperlink>
      <w:r>
        <w:t xml:space="preserve">.</w:t>
      </w:r>
    </w:p>
    <w:bookmarkEnd w:id="102"/>
    <w:bookmarkStart w:id="104"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3">
        <w:r>
          <w:rPr>
            <w:rStyle w:val="Hyperlink"/>
          </w:rPr>
          <w:t xml:space="preserve">https://doi.org/10.1086/697996</w:t>
        </w:r>
      </w:hyperlink>
      <w:r>
        <w:t xml:space="preserve">.</w:t>
      </w:r>
    </w:p>
    <w:bookmarkEnd w:id="104"/>
    <w:bookmarkStart w:id="106"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05">
        <w:r>
          <w:rPr>
            <w:rStyle w:val="Hyperlink"/>
          </w:rPr>
          <w:t xml:space="preserve">https://doi.org/10.5334/dsj-2017-004</w:t>
        </w:r>
      </w:hyperlink>
      <w:r>
        <w:t xml:space="preserve">.</w:t>
      </w:r>
    </w:p>
    <w:bookmarkEnd w:id="106"/>
    <w:bookmarkStart w:id="108"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07">
        <w:r>
          <w:rPr>
            <w:rStyle w:val="Hyperlink"/>
          </w:rPr>
          <w:t xml:space="preserve">https://doi.org/10.1093/beheco/arx003</w:t>
        </w:r>
      </w:hyperlink>
      <w:r>
        <w:t xml:space="preserve">.</w:t>
      </w:r>
    </w:p>
    <w:bookmarkEnd w:id="108"/>
    <w:bookmarkStart w:id="110"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09">
        <w:r>
          <w:rPr>
            <w:rStyle w:val="Hyperlink"/>
          </w:rPr>
          <w:t xml:space="preserve">https://doi.org/10.2307/1467854</w:t>
        </w:r>
      </w:hyperlink>
      <w:r>
        <w:t xml:space="preserve">.</w:t>
      </w:r>
    </w:p>
    <w:bookmarkEnd w:id="110"/>
    <w:bookmarkStart w:id="111"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1"/>
    <w:bookmarkStart w:id="113"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12">
        <w:r>
          <w:rPr>
            <w:rStyle w:val="Hyperlink"/>
          </w:rPr>
          <w:t xml:space="preserve">https://doi.org/10.1016/j.scitotenv.2016.02.024</w:t>
        </w:r>
      </w:hyperlink>
      <w:r>
        <w:t xml:space="preserve">.</w:t>
      </w:r>
    </w:p>
    <w:bookmarkEnd w:id="113"/>
    <w:bookmarkStart w:id="115"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14">
        <w:r>
          <w:rPr>
            <w:rStyle w:val="Hyperlink"/>
          </w:rPr>
          <w:t xml:space="preserve">https://doi.org/10.2307/1942007</w:t>
        </w:r>
      </w:hyperlink>
      <w:r>
        <w:t xml:space="preserve">.</w:t>
      </w:r>
    </w:p>
    <w:bookmarkEnd w:id="115"/>
    <w:bookmarkStart w:id="117"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16">
        <w:r>
          <w:rPr>
            <w:rStyle w:val="Hyperlink"/>
          </w:rPr>
          <w:t xml:space="preserve">https://doi.org/10.1002/fee.1483</w:t>
        </w:r>
      </w:hyperlink>
      <w:r>
        <w:t xml:space="preserve">.</w:t>
      </w:r>
    </w:p>
    <w:bookmarkEnd w:id="117"/>
    <w:bookmarkStart w:id="119"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18">
        <w:r>
          <w:rPr>
            <w:rStyle w:val="Hyperlink"/>
          </w:rPr>
          <w:t xml:space="preserve">https://doi.org/10.1038/529459a</w:t>
        </w:r>
      </w:hyperlink>
      <w:r>
        <w:t xml:space="preserve">.</w:t>
      </w:r>
    </w:p>
    <w:bookmarkEnd w:id="119"/>
    <w:bookmarkStart w:id="121"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20">
        <w:r>
          <w:rPr>
            <w:rStyle w:val="Hyperlink"/>
          </w:rPr>
          <w:t xml:space="preserve">http://CRAN.R-project.org/doc/Rnews/</w:t>
        </w:r>
      </w:hyperlink>
      <w:r>
        <w:t xml:space="preserve">.</w:t>
      </w:r>
    </w:p>
    <w:bookmarkEnd w:id="121"/>
    <w:bookmarkStart w:id="123"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22">
        <w:r>
          <w:rPr>
            <w:rStyle w:val="Hyperlink"/>
          </w:rPr>
          <w:t xml:space="preserve">https://doi.org/10.1111/j.1365-2427.2010.02456.x</w:t>
        </w:r>
      </w:hyperlink>
      <w:r>
        <w:t xml:space="preserve">.</w:t>
      </w:r>
    </w:p>
    <w:bookmarkEnd w:id="123"/>
    <w:bookmarkStart w:id="125"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24">
        <w:r>
          <w:rPr>
            <w:rStyle w:val="Hyperlink"/>
          </w:rPr>
          <w:t xml:space="preserve">https://doi.org/10.1111/j.1600-0706.2013.00970.x</w:t>
        </w:r>
      </w:hyperlink>
      <w:r>
        <w:t xml:space="preserve">.</w:t>
      </w:r>
    </w:p>
    <w:bookmarkEnd w:id="125"/>
    <w:bookmarkStart w:id="127"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26">
        <w:r>
          <w:rPr>
            <w:rStyle w:val="Hyperlink"/>
          </w:rPr>
          <w:t xml:space="preserve">https://doi.org/10.1038/s41559-017-0160</w:t>
        </w:r>
      </w:hyperlink>
      <w:r>
        <w:t xml:space="preserve">.</w:t>
      </w:r>
    </w:p>
    <w:bookmarkEnd w:id="127"/>
    <w:bookmarkStart w:id="129"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28">
        <w:r>
          <w:rPr>
            <w:rStyle w:val="Hyperlink"/>
          </w:rPr>
          <w:t xml:space="preserve">https://doi.org/10.17605/OSF.IO/3D6XX</w:t>
        </w:r>
      </w:hyperlink>
      <w:r>
        <w:t xml:space="preserve">.</w:t>
      </w:r>
    </w:p>
    <w:bookmarkEnd w:id="129"/>
    <w:bookmarkStart w:id="130"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30"/>
    <w:bookmarkStart w:id="131"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31"/>
    <w:bookmarkStart w:id="132"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32"/>
    <w:bookmarkStart w:id="134"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33">
        <w:r>
          <w:rPr>
            <w:rStyle w:val="Hyperlink"/>
          </w:rPr>
          <w:t xml:space="preserve">https://doi.org/10.1071/MF15329</w:t>
        </w:r>
      </w:hyperlink>
      <w:r>
        <w:t xml:space="preserve">.</w:t>
      </w:r>
    </w:p>
    <w:bookmarkEnd w:id="134"/>
    <w:bookmarkStart w:id="135" w:name="ref-Nielsen11"/>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bookmarkEnd w:id="135"/>
    <w:bookmarkStart w:id="136"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36"/>
    <w:bookmarkStart w:id="137"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37"/>
    <w:bookmarkStart w:id="139"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38">
        <w:r>
          <w:rPr>
            <w:rStyle w:val="Hyperlink"/>
          </w:rPr>
          <w:t xml:space="preserve">https://CRAN.R-project.org/package=vegan</w:t>
        </w:r>
      </w:hyperlink>
      <w:r>
        <w:t xml:space="preserve">.</w:t>
      </w:r>
    </w:p>
    <w:bookmarkEnd w:id="139"/>
    <w:bookmarkStart w:id="141" w:name="ref-Pebesma18"/>
    <w:p>
      <w:pPr>
        <w:pStyle w:val="Bibliography"/>
      </w:pPr>
      <w:r>
        <w:t xml:space="preserve">Pebesma, Edzer. 2018.</w:t>
      </w:r>
      <w:r>
        <w:t xml:space="preserve"> </w:t>
      </w:r>
      <w:r>
        <w:rPr>
          <w:i/>
        </w:rPr>
        <w:t xml:space="preserve">Sf: Simple Features for R</w:t>
      </w:r>
      <w:r>
        <w:t xml:space="preserve">.</w:t>
      </w:r>
      <w:r>
        <w:t xml:space="preserve"> </w:t>
      </w:r>
      <w:hyperlink r:id="rId140">
        <w:r>
          <w:rPr>
            <w:rStyle w:val="Hyperlink"/>
          </w:rPr>
          <w:t xml:space="preserve">https://CRAN.R-project.org/package=sf</w:t>
        </w:r>
      </w:hyperlink>
      <w:r>
        <w:t xml:space="preserve">.</w:t>
      </w:r>
    </w:p>
    <w:bookmarkEnd w:id="141"/>
    <w:bookmarkStart w:id="143"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42">
        <w:r>
          <w:rPr>
            <w:rStyle w:val="Hyperlink"/>
          </w:rPr>
          <w:t xml:space="preserve">https://CRAN.R-project.org/package=nlme</w:t>
        </w:r>
      </w:hyperlink>
      <w:r>
        <w:t xml:space="preserve">.</w:t>
      </w:r>
    </w:p>
    <w:bookmarkEnd w:id="143"/>
    <w:bookmarkStart w:id="145"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44">
        <w:r>
          <w:rPr>
            <w:rStyle w:val="Hyperlink"/>
          </w:rPr>
          <w:t xml:space="preserve">https://doi.org/10.1016/j.envsci.2014.08.006</w:t>
        </w:r>
      </w:hyperlink>
      <w:r>
        <w:t xml:space="preserve">.</w:t>
      </w:r>
    </w:p>
    <w:bookmarkEnd w:id="145"/>
    <w:bookmarkStart w:id="146" w:name="ref-RDCT18"/>
    <w:p>
      <w:pPr>
        <w:pStyle w:val="Bibliography"/>
      </w:pPr>
      <w:r>
        <w:t xml:space="preserve">RDCT (R Development Core Team). 2018. “R: A language and environment for statistical computing, v3.5.1. R Foundation for Statistical Computing, Vienna, Austria.”</w:t>
      </w:r>
    </w:p>
    <w:bookmarkEnd w:id="146"/>
    <w:bookmarkStart w:id="148"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47">
        <w:r>
          <w:rPr>
            <w:rStyle w:val="Hyperlink"/>
          </w:rPr>
          <w:t xml:space="preserve">https://www.waterboards.ca.gov/water_issues/programs/swamp/bioassessment/docs/physical_habitat_index_technical_memo.pdf</w:t>
        </w:r>
      </w:hyperlink>
      <w:r>
        <w:t xml:space="preserve">.</w:t>
      </w:r>
    </w:p>
    <w:bookmarkEnd w:id="148"/>
    <w:bookmarkStart w:id="149"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49"/>
    <w:bookmarkStart w:id="151"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50">
        <w:r>
          <w:rPr>
            <w:rStyle w:val="Hyperlink"/>
          </w:rPr>
          <w:t xml:space="preserve">https://doi.org/10.1899/08-053.1</w:t>
        </w:r>
      </w:hyperlink>
      <w:r>
        <w:t xml:space="preserve">.</w:t>
      </w:r>
    </w:p>
    <w:bookmarkEnd w:id="151"/>
    <w:bookmarkStart w:id="153"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152">
        <w:r>
          <w:rPr>
            <w:rStyle w:val="Hyperlink"/>
          </w:rPr>
          <w:t xml:space="preserve">https://doi.org/10.1002/ecs2.1394</w:t>
        </w:r>
      </w:hyperlink>
      <w:r>
        <w:t xml:space="preserve">.</w:t>
      </w:r>
    </w:p>
    <w:bookmarkEnd w:id="153"/>
    <w:bookmarkStart w:id="155"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154">
        <w:r>
          <w:rPr>
            <w:rStyle w:val="Hyperlink"/>
          </w:rPr>
          <w:t xml:space="preserve">https://doi.org/10.18637/jss.v059.i10</w:t>
        </w:r>
      </w:hyperlink>
      <w:r>
        <w:t xml:space="preserve">.</w:t>
      </w:r>
    </w:p>
    <w:bookmarkEnd w:id="155"/>
    <w:bookmarkStart w:id="156" w:name="ref-Wickham15"/>
    <w:p>
      <w:pPr>
        <w:pStyle w:val="Bibliography"/>
      </w:pPr>
      <w:r>
        <w:t xml:space="preserve">———. 2015.</w:t>
      </w:r>
      <w:r>
        <w:t xml:space="preserve"> </w:t>
      </w:r>
      <w:r>
        <w:rPr>
          <w:i/>
        </w:rPr>
        <w:t xml:space="preserve">R Packages</w:t>
      </w:r>
      <w:r>
        <w:t xml:space="preserve">. Sebastopol, California: O’Reilly.</w:t>
      </w:r>
    </w:p>
    <w:bookmarkEnd w:id="156"/>
    <w:bookmarkStart w:id="158"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57">
        <w:r>
          <w:rPr>
            <w:rStyle w:val="Hyperlink"/>
          </w:rPr>
          <w:t xml:space="preserve">http://had.co.nz/ggplot2/book</w:t>
        </w:r>
      </w:hyperlink>
      <w:r>
        <w:t xml:space="preserve">.</w:t>
      </w:r>
    </w:p>
    <w:bookmarkEnd w:id="158"/>
    <w:bookmarkStart w:id="160"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159">
        <w:r>
          <w:rPr>
            <w:rStyle w:val="Hyperlink"/>
          </w:rPr>
          <w:t xml:space="preserve">https://CRAN.R-project.org/package=tidyverse</w:t>
        </w:r>
      </w:hyperlink>
      <w:r>
        <w:t xml:space="preserve">.</w:t>
      </w:r>
    </w:p>
    <w:bookmarkEnd w:id="160"/>
    <w:bookmarkStart w:id="162"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161">
        <w:r>
          <w:rPr>
            <w:rStyle w:val="Hyperlink"/>
          </w:rPr>
          <w:t xml:space="preserve">https://CRAN.R-project.org/package=devtools</w:t>
        </w:r>
      </w:hyperlink>
      <w:r>
        <w:t xml:space="preserve">.</w:t>
      </w:r>
    </w:p>
    <w:bookmarkEnd w:id="162"/>
    <w:bookmarkStart w:id="163"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163"/>
    <w:bookmarkStart w:id="164"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164"/>
    <w:bookmarkStart w:id="166"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165">
        <w:r>
          <w:rPr>
            <w:rStyle w:val="Hyperlink"/>
          </w:rPr>
          <w:t xml:space="preserve">https://yihui.name/knitr/</w:t>
        </w:r>
      </w:hyperlink>
      <w:r>
        <w:t xml:space="preserve">.</w:t>
      </w:r>
    </w:p>
    <w:bookmarkEnd w:id="166"/>
    <w:bookmarkEnd w:id="16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hyperlink" Id="rId120" Target="http://CRAN.R-project.org/doc/Rnews/" TargetMode="External" /><Relationship Type="http://schemas.openxmlformats.org/officeDocument/2006/relationships/hyperlink" Id="rId64" Target="http://doi.org/10.5281/zenodo.1218121" TargetMode="External" /><Relationship Type="http://schemas.openxmlformats.org/officeDocument/2006/relationships/hyperlink" Id="rId157" Target="http://had.co.nz/ggplot2/book" TargetMode="External" /><Relationship Type="http://schemas.openxmlformats.org/officeDocument/2006/relationships/hyperlink" Id="rId50" Target="http://opendefinition.org/" TargetMode="External" /><Relationship Type="http://schemas.openxmlformats.org/officeDocument/2006/relationships/hyperlink" Id="rId85" Target="http://sites.google.com/site/miqueldecaceres/" TargetMode="External" /><Relationship Type="http://schemas.openxmlformats.org/officeDocument/2006/relationships/hyperlink" Id="rId61" Target="https://CRAN.R-project.org/package=TITAN2" TargetMode="External" /><Relationship Type="http://schemas.openxmlformats.org/officeDocument/2006/relationships/hyperlink" Id="rId161" Target="https://CRAN.R-project.org/package=devtools" TargetMode="External" /><Relationship Type="http://schemas.openxmlformats.org/officeDocument/2006/relationships/hyperlink" Id="rId79" Target="https://CRAN.R-project.org/package=leaflet" TargetMode="External" /><Relationship Type="http://schemas.openxmlformats.org/officeDocument/2006/relationships/hyperlink" Id="rId142" Target="https://CRAN.R-project.org/package=nlme" TargetMode="External" /><Relationship Type="http://schemas.openxmlformats.org/officeDocument/2006/relationships/hyperlink" Id="rId54" Target="https://CRAN.R-project.org/package=rmarkdown" TargetMode="External" /><Relationship Type="http://schemas.openxmlformats.org/officeDocument/2006/relationships/hyperlink" Id="rId140" Target="https://CRAN.R-project.org/package=sf" TargetMode="External" /><Relationship Type="http://schemas.openxmlformats.org/officeDocument/2006/relationships/hyperlink" Id="rId77" Target="https://CRAN.R-project.org/package=shiny" TargetMode="External" /><Relationship Type="http://schemas.openxmlformats.org/officeDocument/2006/relationships/hyperlink" Id="rId159" Target="https://CRAN.R-project.org/package=tidyverse" TargetMode="External" /><Relationship Type="http://schemas.openxmlformats.org/officeDocument/2006/relationships/hyperlink" Id="rId138" Target="https://CRAN.R-project.org/package=vegan" TargetMode="External" /><Relationship Type="http://schemas.openxmlformats.org/officeDocument/2006/relationships/hyperlink" Id="rId51" Target="https://creativecommons.org/about/program-areas/open-science/" TargetMode="External" /><Relationship Type="http://schemas.openxmlformats.org/officeDocument/2006/relationships/hyperlink" Id="rId152" Target="https://doi.org/10.1002/ecs2.1394" TargetMode="External" /><Relationship Type="http://schemas.openxmlformats.org/officeDocument/2006/relationships/hyperlink" Id="rId116" Target="https://doi.org/10.1002/fee.1483" TargetMode="External" /><Relationship Type="http://schemas.openxmlformats.org/officeDocument/2006/relationships/hyperlink" Id="rId87" Target="https://doi.org/10.1007/s10811-013-0088-2" TargetMode="External" /><Relationship Type="http://schemas.openxmlformats.org/officeDocument/2006/relationships/hyperlink" Id="rId83" Target="https://doi.org/10.1016/S1470-160X(01)00003-6" TargetMode="External" /><Relationship Type="http://schemas.openxmlformats.org/officeDocument/2006/relationships/hyperlink" Id="rId68" Target="https://doi.org/10.1016/j.aquabot.2013.02.003" TargetMode="External" /><Relationship Type="http://schemas.openxmlformats.org/officeDocument/2006/relationships/hyperlink" Id="rId70" Target="https://doi.org/10.1016/j.ecolind.2011.10.009" TargetMode="External" /><Relationship Type="http://schemas.openxmlformats.org/officeDocument/2006/relationships/hyperlink" Id="rId144" Target="https://doi.org/10.1016/j.envsci.2014.08.006" TargetMode="External" /><Relationship Type="http://schemas.openxmlformats.org/officeDocument/2006/relationships/hyperlink" Id="rId99" Target="https://doi.org/10.1016/j.scitotenv.2010.05.031" TargetMode="External" /><Relationship Type="http://schemas.openxmlformats.org/officeDocument/2006/relationships/hyperlink" Id="rId112" Target="https://doi.org/10.1016/j.scitotenv.2016.02.024" TargetMode="External" /><Relationship Type="http://schemas.openxmlformats.org/officeDocument/2006/relationships/hyperlink" Id="rId118" Target="https://doi.org/10.1038/529459a" TargetMode="External" /><Relationship Type="http://schemas.openxmlformats.org/officeDocument/2006/relationships/hyperlink" Id="rId126" Target="https://doi.org/10.1038/s41559-017-0160" TargetMode="External" /><Relationship Type="http://schemas.openxmlformats.org/officeDocument/2006/relationships/hyperlink" Id="rId89" Target="https://doi.org/10.1046/j.1365-2427.2002.00948.x" TargetMode="External" /><Relationship Type="http://schemas.openxmlformats.org/officeDocument/2006/relationships/hyperlink" Id="rId133" Target="https://doi.org/10.1071/MF15329" TargetMode="External" /><Relationship Type="http://schemas.openxmlformats.org/officeDocument/2006/relationships/hyperlink" Id="rId103" Target="https://doi.org/10.1086/697996" TargetMode="External" /><Relationship Type="http://schemas.openxmlformats.org/officeDocument/2006/relationships/hyperlink" Id="rId72" Target="https://doi.org/10.1088/1748-9326/11/8/084004" TargetMode="External" /><Relationship Type="http://schemas.openxmlformats.org/officeDocument/2006/relationships/hyperlink" Id="rId107" Target="https://doi.org/10.1093/beheco/arx003" TargetMode="External" /><Relationship Type="http://schemas.openxmlformats.org/officeDocument/2006/relationships/hyperlink" Id="rId95" Target="https://doi.org/10.1093/biosci/bix025" TargetMode="External" /><Relationship Type="http://schemas.openxmlformats.org/officeDocument/2006/relationships/hyperlink" Id="rId101" Target="https://doi.org/10.1111/1752-1688.12363" TargetMode="External" /><Relationship Type="http://schemas.openxmlformats.org/officeDocument/2006/relationships/hyperlink" Id="rId122" Target="https://doi.org/10.1111/j.1365-2427.2010.02456.x" TargetMode="External" /><Relationship Type="http://schemas.openxmlformats.org/officeDocument/2006/relationships/hyperlink" Id="rId59" Target="https://doi.org/10.1111/j.1365-294X.2012.05519.x" TargetMode="External" /><Relationship Type="http://schemas.openxmlformats.org/officeDocument/2006/relationships/hyperlink" Id="rId124" Target="https://doi.org/10.1111/j.1600-0706.2013.00970.x" TargetMode="External" /><Relationship Type="http://schemas.openxmlformats.org/officeDocument/2006/relationships/hyperlink" Id="rId81" Target="https://doi.org/10.1111/jvs.12459" TargetMode="External" /><Relationship Type="http://schemas.openxmlformats.org/officeDocument/2006/relationships/hyperlink" Id="rId66" Target="https://doi.org/10.1139/A09-001" TargetMode="External" /><Relationship Type="http://schemas.openxmlformats.org/officeDocument/2006/relationships/hyperlink" Id="rId91" Target="https://doi.org/10.1177%2F1075547012443021" TargetMode="External" /><Relationship Type="http://schemas.openxmlformats.org/officeDocument/2006/relationships/hyperlink" Id="rId128" Target="https://doi.org/10.17605/OSF.IO/3D6XX" TargetMode="External" /><Relationship Type="http://schemas.openxmlformats.org/officeDocument/2006/relationships/hyperlink" Id="rId154" Target="https://doi.org/10.18637/jss.v059.i10" TargetMode="External" /><Relationship Type="http://schemas.openxmlformats.org/officeDocument/2006/relationships/hyperlink" Id="rId97" Target="https://doi.org/10.1890/120103" TargetMode="External" /><Relationship Type="http://schemas.openxmlformats.org/officeDocument/2006/relationships/hyperlink" Id="rId93" Target="https://doi.org/10.1890/ES14-00402.1" TargetMode="External" /><Relationship Type="http://schemas.openxmlformats.org/officeDocument/2006/relationships/hyperlink" Id="rId150" Target="https://doi.org/10.1899/08-053.1" TargetMode="External" /><Relationship Type="http://schemas.openxmlformats.org/officeDocument/2006/relationships/hyperlink" Id="rId75" Target="https://doi.org/10.1899/10-067.1" TargetMode="External" /><Relationship Type="http://schemas.openxmlformats.org/officeDocument/2006/relationships/hyperlink" Id="rId109" Target="https://doi.org/10.2307/1467854" TargetMode="External" /><Relationship Type="http://schemas.openxmlformats.org/officeDocument/2006/relationships/hyperlink" Id="rId114" Target="https://doi.org/10.2307/1942007" TargetMode="External" /><Relationship Type="http://schemas.openxmlformats.org/officeDocument/2006/relationships/hyperlink" Id="rId105" Target="https://doi.org/10.5334/dsj-2017-004" TargetMode="External" /><Relationship Type="http://schemas.openxmlformats.org/officeDocument/2006/relationships/hyperlink" Id="rId56" Target="https://github.com/r-spatial/mapview" TargetMode="External" /><Relationship Type="http://schemas.openxmlformats.org/officeDocument/2006/relationships/hyperlink" Id="rId39" Target="https://leginfo.legislature.ca.gov/faces/billNavClient.xhtml?bill_id=201520160AB1755" TargetMode="External" /><Relationship Type="http://schemas.openxmlformats.org/officeDocument/2006/relationships/hyperlink" Id="rId41" Target="https://sccwrp.shinyapps.io/SCAPE" TargetMode="External" /><Relationship Type="http://schemas.openxmlformats.org/officeDocument/2006/relationships/hyperlink" Id="rId52" Target="https://www.openscience.org" TargetMode="External" /><Relationship Type="http://schemas.openxmlformats.org/officeDocument/2006/relationships/hyperlink" Id="rId40" Target="https://www.waterboards.ca.gov/press_room/press_releases/2018/pr_water_data_071018.pdf" TargetMode="External" /><Relationship Type="http://schemas.openxmlformats.org/officeDocument/2006/relationships/hyperlink" Id="rId147" Target="https://www.waterboards.ca.gov/water_issues/programs/swamp/bioassessment/docs/physical_habitat_index_technical_memo.pdf" TargetMode="External" /><Relationship Type="http://schemas.openxmlformats.org/officeDocument/2006/relationships/hyperlink" Id="rId165"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20" Target="http://CRAN.R-project.org/doc/Rnews/" TargetMode="External" /><Relationship Type="http://schemas.openxmlformats.org/officeDocument/2006/relationships/hyperlink" Id="rId64" Target="http://doi.org/10.5281/zenodo.1218121" TargetMode="External" /><Relationship Type="http://schemas.openxmlformats.org/officeDocument/2006/relationships/hyperlink" Id="rId157" Target="http://had.co.nz/ggplot2/book" TargetMode="External" /><Relationship Type="http://schemas.openxmlformats.org/officeDocument/2006/relationships/hyperlink" Id="rId50" Target="http://opendefinition.org/" TargetMode="External" /><Relationship Type="http://schemas.openxmlformats.org/officeDocument/2006/relationships/hyperlink" Id="rId85" Target="http://sites.google.com/site/miqueldecaceres/" TargetMode="External" /><Relationship Type="http://schemas.openxmlformats.org/officeDocument/2006/relationships/hyperlink" Id="rId61" Target="https://CRAN.R-project.org/package=TITAN2" TargetMode="External" /><Relationship Type="http://schemas.openxmlformats.org/officeDocument/2006/relationships/hyperlink" Id="rId161" Target="https://CRAN.R-project.org/package=devtools" TargetMode="External" /><Relationship Type="http://schemas.openxmlformats.org/officeDocument/2006/relationships/hyperlink" Id="rId79" Target="https://CRAN.R-project.org/package=leaflet" TargetMode="External" /><Relationship Type="http://schemas.openxmlformats.org/officeDocument/2006/relationships/hyperlink" Id="rId142" Target="https://CRAN.R-project.org/package=nlme" TargetMode="External" /><Relationship Type="http://schemas.openxmlformats.org/officeDocument/2006/relationships/hyperlink" Id="rId54" Target="https://CRAN.R-project.org/package=rmarkdown" TargetMode="External" /><Relationship Type="http://schemas.openxmlformats.org/officeDocument/2006/relationships/hyperlink" Id="rId140" Target="https://CRAN.R-project.org/package=sf" TargetMode="External" /><Relationship Type="http://schemas.openxmlformats.org/officeDocument/2006/relationships/hyperlink" Id="rId77" Target="https://CRAN.R-project.org/package=shiny" TargetMode="External" /><Relationship Type="http://schemas.openxmlformats.org/officeDocument/2006/relationships/hyperlink" Id="rId159" Target="https://CRAN.R-project.org/package=tidyverse" TargetMode="External" /><Relationship Type="http://schemas.openxmlformats.org/officeDocument/2006/relationships/hyperlink" Id="rId138" Target="https://CRAN.R-project.org/package=vegan" TargetMode="External" /><Relationship Type="http://schemas.openxmlformats.org/officeDocument/2006/relationships/hyperlink" Id="rId51" Target="https://creativecommons.org/about/program-areas/open-science/" TargetMode="External" /><Relationship Type="http://schemas.openxmlformats.org/officeDocument/2006/relationships/hyperlink" Id="rId152" Target="https://doi.org/10.1002/ecs2.1394" TargetMode="External" /><Relationship Type="http://schemas.openxmlformats.org/officeDocument/2006/relationships/hyperlink" Id="rId116" Target="https://doi.org/10.1002/fee.1483" TargetMode="External" /><Relationship Type="http://schemas.openxmlformats.org/officeDocument/2006/relationships/hyperlink" Id="rId87" Target="https://doi.org/10.1007/s10811-013-0088-2" TargetMode="External" /><Relationship Type="http://schemas.openxmlformats.org/officeDocument/2006/relationships/hyperlink" Id="rId83" Target="https://doi.org/10.1016/S1470-160X(01)00003-6" TargetMode="External" /><Relationship Type="http://schemas.openxmlformats.org/officeDocument/2006/relationships/hyperlink" Id="rId68" Target="https://doi.org/10.1016/j.aquabot.2013.02.003" TargetMode="External" /><Relationship Type="http://schemas.openxmlformats.org/officeDocument/2006/relationships/hyperlink" Id="rId70" Target="https://doi.org/10.1016/j.ecolind.2011.10.009" TargetMode="External" /><Relationship Type="http://schemas.openxmlformats.org/officeDocument/2006/relationships/hyperlink" Id="rId144" Target="https://doi.org/10.1016/j.envsci.2014.08.006" TargetMode="External" /><Relationship Type="http://schemas.openxmlformats.org/officeDocument/2006/relationships/hyperlink" Id="rId99" Target="https://doi.org/10.1016/j.scitotenv.2010.05.031" TargetMode="External" /><Relationship Type="http://schemas.openxmlformats.org/officeDocument/2006/relationships/hyperlink" Id="rId112" Target="https://doi.org/10.1016/j.scitotenv.2016.02.024" TargetMode="External" /><Relationship Type="http://schemas.openxmlformats.org/officeDocument/2006/relationships/hyperlink" Id="rId118" Target="https://doi.org/10.1038/529459a" TargetMode="External" /><Relationship Type="http://schemas.openxmlformats.org/officeDocument/2006/relationships/hyperlink" Id="rId126" Target="https://doi.org/10.1038/s41559-017-0160" TargetMode="External" /><Relationship Type="http://schemas.openxmlformats.org/officeDocument/2006/relationships/hyperlink" Id="rId89" Target="https://doi.org/10.1046/j.1365-2427.2002.00948.x" TargetMode="External" /><Relationship Type="http://schemas.openxmlformats.org/officeDocument/2006/relationships/hyperlink" Id="rId133" Target="https://doi.org/10.1071/MF15329" TargetMode="External" /><Relationship Type="http://schemas.openxmlformats.org/officeDocument/2006/relationships/hyperlink" Id="rId103" Target="https://doi.org/10.1086/697996" TargetMode="External" /><Relationship Type="http://schemas.openxmlformats.org/officeDocument/2006/relationships/hyperlink" Id="rId72" Target="https://doi.org/10.1088/1748-9326/11/8/084004" TargetMode="External" /><Relationship Type="http://schemas.openxmlformats.org/officeDocument/2006/relationships/hyperlink" Id="rId107" Target="https://doi.org/10.1093/beheco/arx003" TargetMode="External" /><Relationship Type="http://schemas.openxmlformats.org/officeDocument/2006/relationships/hyperlink" Id="rId95" Target="https://doi.org/10.1093/biosci/bix025" TargetMode="External" /><Relationship Type="http://schemas.openxmlformats.org/officeDocument/2006/relationships/hyperlink" Id="rId101" Target="https://doi.org/10.1111/1752-1688.12363" TargetMode="External" /><Relationship Type="http://schemas.openxmlformats.org/officeDocument/2006/relationships/hyperlink" Id="rId122" Target="https://doi.org/10.1111/j.1365-2427.2010.02456.x" TargetMode="External" /><Relationship Type="http://schemas.openxmlformats.org/officeDocument/2006/relationships/hyperlink" Id="rId59" Target="https://doi.org/10.1111/j.1365-294X.2012.05519.x" TargetMode="External" /><Relationship Type="http://schemas.openxmlformats.org/officeDocument/2006/relationships/hyperlink" Id="rId124" Target="https://doi.org/10.1111/j.1600-0706.2013.00970.x" TargetMode="External" /><Relationship Type="http://schemas.openxmlformats.org/officeDocument/2006/relationships/hyperlink" Id="rId81" Target="https://doi.org/10.1111/jvs.12459" TargetMode="External" /><Relationship Type="http://schemas.openxmlformats.org/officeDocument/2006/relationships/hyperlink" Id="rId66" Target="https://doi.org/10.1139/A09-001" TargetMode="External" /><Relationship Type="http://schemas.openxmlformats.org/officeDocument/2006/relationships/hyperlink" Id="rId91" Target="https://doi.org/10.1177%2F1075547012443021" TargetMode="External" /><Relationship Type="http://schemas.openxmlformats.org/officeDocument/2006/relationships/hyperlink" Id="rId128" Target="https://doi.org/10.17605/OSF.IO/3D6XX" TargetMode="External" /><Relationship Type="http://schemas.openxmlformats.org/officeDocument/2006/relationships/hyperlink" Id="rId154" Target="https://doi.org/10.18637/jss.v059.i10" TargetMode="External" /><Relationship Type="http://schemas.openxmlformats.org/officeDocument/2006/relationships/hyperlink" Id="rId97" Target="https://doi.org/10.1890/120103" TargetMode="External" /><Relationship Type="http://schemas.openxmlformats.org/officeDocument/2006/relationships/hyperlink" Id="rId93" Target="https://doi.org/10.1890/ES14-00402.1" TargetMode="External" /><Relationship Type="http://schemas.openxmlformats.org/officeDocument/2006/relationships/hyperlink" Id="rId150" Target="https://doi.org/10.1899/08-053.1" TargetMode="External" /><Relationship Type="http://schemas.openxmlformats.org/officeDocument/2006/relationships/hyperlink" Id="rId75" Target="https://doi.org/10.1899/10-067.1" TargetMode="External" /><Relationship Type="http://schemas.openxmlformats.org/officeDocument/2006/relationships/hyperlink" Id="rId109" Target="https://doi.org/10.2307/1467854" TargetMode="External" /><Relationship Type="http://schemas.openxmlformats.org/officeDocument/2006/relationships/hyperlink" Id="rId114" Target="https://doi.org/10.2307/1942007" TargetMode="External" /><Relationship Type="http://schemas.openxmlformats.org/officeDocument/2006/relationships/hyperlink" Id="rId105" Target="https://doi.org/10.5334/dsj-2017-004" TargetMode="External" /><Relationship Type="http://schemas.openxmlformats.org/officeDocument/2006/relationships/hyperlink" Id="rId56" Target="https://github.com/r-spatial/mapview" TargetMode="External" /><Relationship Type="http://schemas.openxmlformats.org/officeDocument/2006/relationships/hyperlink" Id="rId39" Target="https://leginfo.legislature.ca.gov/faces/billNavClient.xhtml?bill_id=201520160AB1755" TargetMode="External" /><Relationship Type="http://schemas.openxmlformats.org/officeDocument/2006/relationships/hyperlink" Id="rId41" Target="https://sccwrp.shinyapps.io/SCAPE" TargetMode="External" /><Relationship Type="http://schemas.openxmlformats.org/officeDocument/2006/relationships/hyperlink" Id="rId52" Target="https://www.openscience.org" TargetMode="External" /><Relationship Type="http://schemas.openxmlformats.org/officeDocument/2006/relationships/hyperlink" Id="rId40" Target="https://www.waterboards.ca.gov/press_room/press_releases/2018/pr_water_data_071018.pdf" TargetMode="External" /><Relationship Type="http://schemas.openxmlformats.org/officeDocument/2006/relationships/hyperlink" Id="rId147" Target="https://www.waterboards.ca.gov/water_issues/programs/swamp/bioassessment/docs/physical_habitat_index_technical_memo.pdf" TargetMode="External" /><Relationship Type="http://schemas.openxmlformats.org/officeDocument/2006/relationships/hyperlink" Id="rId165"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Julie Stewart Lowndes (lowndes@nceas.ucsb.edu), Greg Gearheart (greg.gearheart@waterboards.ca.gov), Belize Lane (belize.lane@usu.edu)</dc:creator>
  <cp:keywords/>
  <dcterms:created xsi:type="dcterms:W3CDTF">2019-01-03T22:28:54Z</dcterms:created>
  <dcterms:modified xsi:type="dcterms:W3CDTF">2019-01-03T22:28:54Z</dcterms:modified>
</cp:coreProperties>
</file>