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tiff" ContentType="image/tiff"/>
  <Override PartName="/word/media/rId32.tiff" ContentType="image/tif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Fri Sep 21 16:26:03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the same guiding principles of the scientific method that seek to make the process of discovery transparent and repeatable. Where the conventional and open science approaches diverge is the extent to which technological advances in communication are leveraged as instrumental tools that are used during every step of the research process. The distinction in thinking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documentation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the access to and reproducibility of data.</w:t>
      </w:r>
    </w:p>
    <w:p>
      <w:pPr>
        <w:pStyle w:val="BodyText"/>
      </w:pPr>
      <w:r>
        <w:t xml:space="preserve">The paradigm of the scientific paper as the final research product can inhibit forward progress for several reasons, particularly so in the applied sciences. Traditionally, the research paper was viewed as a communication tool to report and share results among peers in the scientific community. Researchers access periodicals to stay informed of advances in the field and use the information to replicate methods for follow-up analysis. Although the primary literature continues to provide these fundamental services, this workflow can stifle progress when scientific products are developed to serve interests outside of the research community. The paper as an endpoint for environmental managers fails to deliver tools that are easily accessible from the practitioners perspective, both in application and interpretation. A research paper is rarely sufficient to affect environmental change because it does not provide a mechanism for engaging those that require scientific guidance as the foundation for decision-making. Numerous studies have documented implementation failures as a result of siloing among research communities where the flow of information rarely or insufficiently extends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can be conceptualized by placing the researcher in the role of data steward rather than data owner. This mode of thinking treats the data as a living product with a history, rather than proprietary and serving only the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collaborative efforts. An increasing trend in collaborative publications has been observed in the environmental sciences as researchers leverage open data from different contexts to create synthesis products as the sum of individual datasets. Quantitative meta-analyses and systematic reviews are increasingly used to extract information from the primary literature to identify commonalities across independent research efforts and datasets</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that improves reproducibility and transparency.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Most bioassessment products are applied in regional contexts, as for indices developed at the state-level to satisfy federal requirements. By necessity, the development of indices that cover large spatial areas requires datasets that sufficiently describe the natural varation of a biological assemblage and relevant stressor gradients to evaluate biological response. These datasets are commonly provided by coordinated monitoring programs that are supported through public funds given the required scale of assessment. Many management and regulatory agencies include monitoring programs developed specifically for these purposes and the availability of these data beyond institutional walls is critical for research efforts in developing bioassessment products. While many monitoring datasets are publicly available, the data quality, level of documention, and ease of use varies widely. This can create research and implementation challenges as datasets may be difficult to locate, contexts for data may be misunderstood, and data from different sources require synthesis for comparison.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Open science describes a suite of communication tools that provide a means of achieving openness, in addition to a generalized philosophy of a how a researcher curates data and interacts with peers. 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research 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 Inclusion of the implementation phase is a clear distinction between the generalized research workflow of open science in Figure</w:t>
      </w:r>
      <w:r>
        <w:t xml:space="preserve"> </w:t>
      </w:r>
      <w:r>
        <w:t xml:space="preserve">1</w:t>
      </w:r>
      <w:r>
        <w:t xml:space="preserve"> </w:t>
      </w:r>
      <w:r>
        <w:t xml:space="preserve">and that required for bioassessment.</w:t>
      </w:r>
    </w:p>
    <w:p>
      <w:pPr>
        <w:pStyle w:val="Heading2"/>
      </w:pPr>
      <w:bookmarkStart w:id="27" w:name="closed-science"/>
      <w:r>
        <w:t xml:space="preserve">Closed science</w:t>
      </w:r>
      <w:bookmarkEnd w:id="27"/>
    </w:p>
    <w:p>
      <w:pPr>
        <w:pStyle w:val="FirstParagraph"/>
      </w:pPr>
      <w:r>
        <w:t xml:space="preserve">First we consider a hypothetical but likely workflow that describes how many bioassessment products are potentially created (Figure</w:t>
      </w:r>
      <w:r>
        <w:t xml:space="preserve"> </w:t>
      </w:r>
      <w:r>
        <w:t xml:space="preserve">2</w:t>
      </w:r>
      <w:r>
        <w:t xml:space="preserve">). The process of idea conception based on a research need is usually motivated by legislative requirements to develop indices that assess biological integrity of navigable surface waters. In the United States, this need originates at the state-level where regional regulatory groups are tasked with development of bioassessment methods. Historically, a regulatory agency may not have ownership of the required data for index development, as for states with agencies that separately manage water quality pollutants (e.g., stormwater or discharge permits) and natural resources (e.g., fisheries). The required data may be decentralized across locations at different public and private institutions. The task of identifying, gathering, and synthesizing these data may be contracted by the state regulatory agency with reporting obligations to a third party, such as a private consultant or an academic institution. This separation between consumers and creators of bioassessment products can be an initial cause of implementation challenges as research agendas may diverge from management needs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established methods. Development of a bioassessment index is not explicitly hypothesis-driven, in that an index is not meant to support or refute an academic question, but rather it is implicitly guided by the fundamental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the data were synthesized to create an index can also contribute to implementation challenges in conventional workflows. A preffered scenario is the availability of a regional monitoring dataset that adequately covers the range of observed natural variability and relevant stressor gradients. If such a dataset is available, the origin can easily be identified after the product is developed and others will more easily be able to recreate or refine the index as needed. However, a pre-existing monitoring program may not have goals for collecting data that are shared with the needs of a bioassessment product and the data may have limitations that affect performance of an index, or at worst, prevent their use entirely for assessment. For example, a fisheries monitoring program for important recreational species may only sample select locations that may not be representative of the region, in addition to inadequate coverage of aquatic biodiversity. In these scenarios, supplementary data must be gathered from other individuals and agencies to adequately describe an area of interest, all of which potentially have their own motivation for originally collecting the data. The end product is a synthesized dataset that is wrangled to meet the requirements for the index, but its origin and workflow to achieve the necessary format may be unknown except to the individual that compiled the data. This creates significant challenges for future products or policies that may depend on the index and may even erode institutional trust in the finished product if the provenance of the dataset is undocumented.</w:t>
      </w:r>
    </w:p>
    <w:p>
      <w:pPr>
        <w:pStyle w:val="BodyText"/>
      </w:pPr>
      <w:r>
        <w:t xml:space="preserve">Finally, most workflows for developing bioassessment indices usually lack tools for easy calculation and interpretation of results. Although the availability and need for documentation of the raw data is important, insufficient resources to facilitate use by managers and policy-makers, both in calculation and interpretation, represents the primary challenge in bioassessment effectiveness with conventional workflows. The worst case scenario is a spreadsheet-oriented approach to converting raw data into a synthesized index. Not only is this a major challenge for the researcher that develops the index, but it almost entirely prevents others from applying the tool to reproduce the results and apply it with novel data. There are many reasons for these challenges (e.g., lack of documentation, unknown data requirements, no interpretation guidance), but the fundamental problem is inaccessibility of the product. Essentially all that is delivered from the researcher to the institution requiring bioassessment data is a list of relative scores that are a snapshot of condition. A management or regulatory agency will have no ability to interpret these data and the index will not pass independent review if others cannot recreate the data.</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examples represent an extreme hypothetical case where developed bioassessment products fail to affect any positive change in environmental management due to a complete deficiency in openness. Many bioassessment methods can be described more positively, yet the research community as a whole could benefit from adopting a more open approach to creating and delivering assessment tools to meet their intended uses. This approach is particularly relevant from the perspective of implementation, as all modes of communication between research, managers,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 In all cases, the process from idea conception to delivery of a research product is considered iterative, both within the scope of the specific applied management question, but also the ability of the research product to be further refined or improved by others through open access to data and methods.</w:t>
      </w:r>
    </w:p>
    <w:p>
      <w:pPr>
        <w:pStyle w:val="Heading1"/>
      </w:pPr>
      <w:bookmarkStart w:id="29" w:name="references"/>
      <w:r>
        <w:t xml:space="preserve">References</w:t>
      </w:r>
      <w:bookmarkEnd w:id="29"/>
    </w:p>
    <w:p>
      <w:pPr>
        <w:pStyle w:val="Heading1"/>
      </w:pPr>
      <w:bookmarkStart w:id="30" w:name="figures"/>
      <w:r>
        <w:t xml:space="preserve">Figures</w:t>
      </w:r>
      <w:bookmarkEnd w:id="30"/>
    </w:p>
    <w:p>
      <w:pPr>
        <w:pStyle w:val="CaptionedFigure"/>
      </w:pPr>
      <w:r>
        <w:drawing>
          <wp:inline>
            <wp:extent cx="3810000" cy="2540000"/>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ti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3810000" cy="2540000"/>
            <wp:effectExtent b="0" l="0" r="0" t="0"/>
            <wp:docPr descr="Figure 2 A closed approach to creating and delivering bioassessment research products to the regulatory and management communities. The top boxes indicate those that require or motivate the creationg of bioassessment products, the middle row indicates the closed research process, and the bottom row indicates the flow of external information into the reseach process." title="" id="1" name="Picture"/>
            <a:graphic>
              <a:graphicData uri="http://schemas.openxmlformats.org/drawingml/2006/picture">
                <pic:pic>
                  <pic:nvPicPr>
                    <pic:cNvPr descr="figs/closedscience.ti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 closed approach to creating and delivering bioassessment research products to the regulatory and management communities. The top boxes indicate those that require or motivate the creationg of bioassessment products, the middle row indicates the closed research process, and the bottom row indicates the flow of external information into the reseach process.</w:t>
      </w:r>
    </w:p>
    <w:bookmarkStart w:id="92" w:name="refs"/>
    <w:bookmarkStart w:id="33"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3"/>
    <w:bookmarkStart w:id="35"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4">
        <w:r>
          <w:rPr>
            <w:rStyle w:val="Hyperlink"/>
          </w:rPr>
          <w:t xml:space="preserve">https://doi.org/10.1139/A09-001</w:t>
        </w:r>
      </w:hyperlink>
      <w:r>
        <w:t xml:space="preserve">.</w:t>
      </w:r>
    </w:p>
    <w:bookmarkEnd w:id="35"/>
    <w:bookmarkStart w:id="37"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36">
        <w:r>
          <w:rPr>
            <w:rStyle w:val="Hyperlink"/>
          </w:rPr>
          <w:t xml:space="preserve">https://doi.org/10.1016/j.ecolind.2011.10.009</w:t>
        </w:r>
      </w:hyperlink>
      <w:r>
        <w:t xml:space="preserve">.</w:t>
      </w:r>
    </w:p>
    <w:bookmarkEnd w:id="37"/>
    <w:bookmarkStart w:id="39"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38">
        <w:r>
          <w:rPr>
            <w:rStyle w:val="Hyperlink"/>
          </w:rPr>
          <w:t xml:space="preserve">https://doi.org/10.1088/1748-9326/11/8/084004</w:t>
        </w:r>
      </w:hyperlink>
      <w:r>
        <w:t xml:space="preserve">.</w:t>
      </w:r>
    </w:p>
    <w:bookmarkEnd w:id="39"/>
    <w:bookmarkStart w:id="40"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40"/>
    <w:bookmarkStart w:id="42"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41">
        <w:r>
          <w:rPr>
            <w:rStyle w:val="Hyperlink"/>
          </w:rPr>
          <w:t xml:space="preserve">https://doi.org/10.1899/10-067.1</w:t>
        </w:r>
      </w:hyperlink>
      <w:r>
        <w:t xml:space="preserve">.</w:t>
      </w:r>
    </w:p>
    <w:bookmarkEnd w:id="42"/>
    <w:bookmarkStart w:id="44"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43">
        <w:r>
          <w:rPr>
            <w:rStyle w:val="Hyperlink"/>
          </w:rPr>
          <w:t xml:space="preserve">https://doi.org/10.1111/jvs.12459</w:t>
        </w:r>
      </w:hyperlink>
      <w:r>
        <w:t xml:space="preserve">.</w:t>
      </w:r>
    </w:p>
    <w:bookmarkEnd w:id="44"/>
    <w:bookmarkStart w:id="46"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45">
        <w:r>
          <w:rPr>
            <w:rStyle w:val="Hyperlink"/>
          </w:rPr>
          <w:t xml:space="preserve">https://doi.org/10.1016/S1470-160X(01)00003-6</w:t>
        </w:r>
      </w:hyperlink>
      <w:r>
        <w:t xml:space="preserve">.</w:t>
      </w:r>
    </w:p>
    <w:bookmarkEnd w:id="46"/>
    <w:bookmarkStart w:id="48"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47">
        <w:r>
          <w:rPr>
            <w:rStyle w:val="Hyperlink"/>
          </w:rPr>
          <w:t xml:space="preserve">https://doi.org/10.1046/j.1365-2427.2002.00948.x</w:t>
        </w:r>
      </w:hyperlink>
      <w:r>
        <w:t xml:space="preserve">.</w:t>
      </w:r>
    </w:p>
    <w:bookmarkEnd w:id="48"/>
    <w:bookmarkStart w:id="50"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49">
        <w:r>
          <w:rPr>
            <w:rStyle w:val="Hyperlink"/>
          </w:rPr>
          <w:t xml:space="preserve">https://doi.org/10.1177%2F1075547012443021</w:t>
        </w:r>
      </w:hyperlink>
      <w:r>
        <w:t xml:space="preserve">.</w:t>
      </w:r>
    </w:p>
    <w:bookmarkEnd w:id="50"/>
    <w:bookmarkStart w:id="52"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51">
        <w:r>
          <w:rPr>
            <w:rStyle w:val="Hyperlink"/>
          </w:rPr>
          <w:t xml:space="preserve">https://doi.org/10.1890/ES14-00402.1</w:t>
        </w:r>
      </w:hyperlink>
      <w:r>
        <w:t xml:space="preserve">.</w:t>
      </w:r>
    </w:p>
    <w:bookmarkEnd w:id="52"/>
    <w:bookmarkStart w:id="54"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53">
        <w:r>
          <w:rPr>
            <w:rStyle w:val="Hyperlink"/>
          </w:rPr>
          <w:t xml:space="preserve">https://doi.org/10.1890/120103</w:t>
        </w:r>
      </w:hyperlink>
      <w:r>
        <w:t xml:space="preserve">.</w:t>
      </w:r>
    </w:p>
    <w:bookmarkEnd w:id="54"/>
    <w:bookmarkStart w:id="56"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55">
        <w:r>
          <w:rPr>
            <w:rStyle w:val="Hyperlink"/>
          </w:rPr>
          <w:t xml:space="preserve">https://doi.org/10.1016/j.scitotenv.2010.05.031</w:t>
        </w:r>
      </w:hyperlink>
      <w:r>
        <w:t xml:space="preserve">.</w:t>
      </w:r>
    </w:p>
    <w:bookmarkEnd w:id="56"/>
    <w:bookmarkStart w:id="58"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57">
        <w:r>
          <w:rPr>
            <w:rStyle w:val="Hyperlink"/>
          </w:rPr>
          <w:t xml:space="preserve">https://doi.org/10.1086/697996</w:t>
        </w:r>
      </w:hyperlink>
      <w:r>
        <w:t xml:space="preserve">.</w:t>
      </w:r>
    </w:p>
    <w:bookmarkEnd w:id="58"/>
    <w:bookmarkStart w:id="60"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59">
        <w:r>
          <w:rPr>
            <w:rStyle w:val="Hyperlink"/>
          </w:rPr>
          <w:t xml:space="preserve">https://doi.org/10.1093/beheco/arx003</w:t>
        </w:r>
      </w:hyperlink>
      <w:r>
        <w:t xml:space="preserve">.</w:t>
      </w:r>
    </w:p>
    <w:bookmarkEnd w:id="60"/>
    <w:bookmarkStart w:id="62"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61">
        <w:r>
          <w:rPr>
            <w:rStyle w:val="Hyperlink"/>
          </w:rPr>
          <w:t xml:space="preserve">https://doi.org/10.2307/1467854</w:t>
        </w:r>
      </w:hyperlink>
      <w:r>
        <w:t xml:space="preserve">.</w:t>
      </w:r>
    </w:p>
    <w:bookmarkEnd w:id="62"/>
    <w:bookmarkStart w:id="63"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63"/>
    <w:bookmarkStart w:id="65"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64">
        <w:r>
          <w:rPr>
            <w:rStyle w:val="Hyperlink"/>
          </w:rPr>
          <w:t xml:space="preserve">https://doi.org/10.1016/j.scitotenv.2016.02.024</w:t>
        </w:r>
      </w:hyperlink>
      <w:r>
        <w:t xml:space="preserve">.</w:t>
      </w:r>
    </w:p>
    <w:bookmarkEnd w:id="65"/>
    <w:bookmarkStart w:id="67"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66">
        <w:r>
          <w:rPr>
            <w:rStyle w:val="Hyperlink"/>
          </w:rPr>
          <w:t xml:space="preserve">https://doi.org/10.2307/1942007</w:t>
        </w:r>
      </w:hyperlink>
      <w:r>
        <w:t xml:space="preserve">.</w:t>
      </w:r>
    </w:p>
    <w:bookmarkEnd w:id="67"/>
    <w:bookmarkStart w:id="69"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68">
        <w:r>
          <w:rPr>
            <w:rStyle w:val="Hyperlink"/>
          </w:rPr>
          <w:t xml:space="preserve">https://doi.org/10.1002/fee.1483</w:t>
        </w:r>
      </w:hyperlink>
      <w:r>
        <w:t xml:space="preserve">.</w:t>
      </w:r>
    </w:p>
    <w:bookmarkEnd w:id="69"/>
    <w:bookmarkStart w:id="71"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70">
        <w:r>
          <w:rPr>
            <w:rStyle w:val="Hyperlink"/>
          </w:rPr>
          <w:t xml:space="preserve">https://doi.org/10.1111/j.1365-2427.2010.02456.x</w:t>
        </w:r>
      </w:hyperlink>
      <w:r>
        <w:t xml:space="preserve">.</w:t>
      </w:r>
    </w:p>
    <w:bookmarkEnd w:id="71"/>
    <w:bookmarkStart w:id="73"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72">
        <w:r>
          <w:rPr>
            <w:rStyle w:val="Hyperlink"/>
          </w:rPr>
          <w:t xml:space="preserve">https://doi.org/10.1111/j.1600-0706.2013.00970.x</w:t>
        </w:r>
      </w:hyperlink>
      <w:r>
        <w:t xml:space="preserve">.</w:t>
      </w:r>
    </w:p>
    <w:bookmarkEnd w:id="73"/>
    <w:bookmarkStart w:id="75"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74">
        <w:r>
          <w:rPr>
            <w:rStyle w:val="Hyperlink"/>
          </w:rPr>
          <w:t xml:space="preserve">https://doi.org/10.1038/s41559-017-0160</w:t>
        </w:r>
      </w:hyperlink>
      <w:r>
        <w:t xml:space="preserve">.</w:t>
      </w:r>
    </w:p>
    <w:bookmarkEnd w:id="75"/>
    <w:bookmarkStart w:id="77"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76">
        <w:r>
          <w:rPr>
            <w:rStyle w:val="Hyperlink"/>
          </w:rPr>
          <w:t xml:space="preserve">https://doi.org/10.17605/OSF.IO/3D6XX</w:t>
        </w:r>
      </w:hyperlink>
      <w:r>
        <w:t xml:space="preserve">.</w:t>
      </w:r>
    </w:p>
    <w:bookmarkEnd w:id="77"/>
    <w:bookmarkStart w:id="78"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78"/>
    <w:bookmarkStart w:id="79"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79"/>
    <w:bookmarkStart w:id="81"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80">
        <w:r>
          <w:rPr>
            <w:rStyle w:val="Hyperlink"/>
          </w:rPr>
          <w:t xml:space="preserve">https://doi.org/10.1071/MF15329</w:t>
        </w:r>
      </w:hyperlink>
      <w:r>
        <w:t xml:space="preserve">.</w:t>
      </w:r>
    </w:p>
    <w:bookmarkEnd w:id="81"/>
    <w:bookmarkStart w:id="82"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82"/>
    <w:bookmarkStart w:id="84"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83">
        <w:r>
          <w:rPr>
            <w:rStyle w:val="Hyperlink"/>
          </w:rPr>
          <w:t xml:space="preserve">https://doi.org/10.1016/j.envsci.2014.08.006</w:t>
        </w:r>
      </w:hyperlink>
      <w:r>
        <w:t xml:space="preserve">.</w:t>
      </w:r>
    </w:p>
    <w:bookmarkEnd w:id="84"/>
    <w:bookmarkStart w:id="86"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85">
        <w:r>
          <w:rPr>
            <w:rStyle w:val="Hyperlink"/>
          </w:rPr>
          <w:t xml:space="preserve">https://doi.org/10.2307/1468175</w:t>
        </w:r>
      </w:hyperlink>
      <w:r>
        <w:t xml:space="preserve">.</w:t>
      </w:r>
    </w:p>
    <w:bookmarkEnd w:id="86"/>
    <w:bookmarkStart w:id="87"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87"/>
    <w:bookmarkStart w:id="89"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88">
        <w:r>
          <w:rPr>
            <w:rStyle w:val="Hyperlink"/>
          </w:rPr>
          <w:t xml:space="preserve">https://doi.org/10.1899/08-053.1</w:t>
        </w:r>
      </w:hyperlink>
      <w:r>
        <w:t xml:space="preserve">.</w:t>
      </w:r>
    </w:p>
    <w:bookmarkEnd w:id="89"/>
    <w:bookmarkStart w:id="91"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90">
        <w:r>
          <w:rPr>
            <w:rStyle w:val="Hyperlink"/>
          </w:rPr>
          <w:t xml:space="preserve">https://doi.org/10.1890/1051-0761(2006)016[1267:SEFTEC]2.0.CO;2</w:t>
        </w:r>
      </w:hyperlink>
      <w:r>
        <w:t xml:space="preserve">.</w:t>
      </w:r>
    </w:p>
    <w:bookmarkEnd w:id="91"/>
    <w:bookmarkEnd w:id="92"/>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tiff" /><Relationship Type="http://schemas.openxmlformats.org/officeDocument/2006/relationships/image" Id="rId32" Target="media/rId32.tiff" /><Relationship Type="http://schemas.openxmlformats.org/officeDocument/2006/relationships/hyperlink" Id="rId68" Target="https://doi.org/10.1002/fee.1483" TargetMode="External" /><Relationship Type="http://schemas.openxmlformats.org/officeDocument/2006/relationships/hyperlink" Id="rId45" Target="https://doi.org/10.1016/S1470-160X(01)00003-6" TargetMode="External" /><Relationship Type="http://schemas.openxmlformats.org/officeDocument/2006/relationships/hyperlink" Id="rId36" Target="https://doi.org/10.1016/j.ecolind.2011.10.009" TargetMode="External" /><Relationship Type="http://schemas.openxmlformats.org/officeDocument/2006/relationships/hyperlink" Id="rId83" Target="https://doi.org/10.1016/j.envsci.2014.08.006" TargetMode="External" /><Relationship Type="http://schemas.openxmlformats.org/officeDocument/2006/relationships/hyperlink" Id="rId55" Target="https://doi.org/10.1016/j.scitotenv.2010.05.031" TargetMode="External" /><Relationship Type="http://schemas.openxmlformats.org/officeDocument/2006/relationships/hyperlink" Id="rId64" Target="https://doi.org/10.1016/j.scitotenv.2016.02.024" TargetMode="External" /><Relationship Type="http://schemas.openxmlformats.org/officeDocument/2006/relationships/hyperlink" Id="rId74" Target="https://doi.org/10.1038/s41559-017-0160" TargetMode="External" /><Relationship Type="http://schemas.openxmlformats.org/officeDocument/2006/relationships/hyperlink" Id="rId47" Target="https://doi.org/10.1046/j.1365-2427.2002.00948.x" TargetMode="External" /><Relationship Type="http://schemas.openxmlformats.org/officeDocument/2006/relationships/hyperlink" Id="rId80" Target="https://doi.org/10.1071/MF15329" TargetMode="External" /><Relationship Type="http://schemas.openxmlformats.org/officeDocument/2006/relationships/hyperlink" Id="rId57" Target="https://doi.org/10.1086/697996" TargetMode="External" /><Relationship Type="http://schemas.openxmlformats.org/officeDocument/2006/relationships/hyperlink" Id="rId38" Target="https://doi.org/10.1088/1748-9326/11/8/084004" TargetMode="External" /><Relationship Type="http://schemas.openxmlformats.org/officeDocument/2006/relationships/hyperlink" Id="rId59" Target="https://doi.org/10.1093/beheco/arx003" TargetMode="External" /><Relationship Type="http://schemas.openxmlformats.org/officeDocument/2006/relationships/hyperlink" Id="rId70" Target="https://doi.org/10.1111/j.1365-2427.2010.02456.x" TargetMode="External" /><Relationship Type="http://schemas.openxmlformats.org/officeDocument/2006/relationships/hyperlink" Id="rId72" Target="https://doi.org/10.1111/j.1600-0706.2013.00970.x" TargetMode="External" /><Relationship Type="http://schemas.openxmlformats.org/officeDocument/2006/relationships/hyperlink" Id="rId43" Target="https://doi.org/10.1111/jvs.12459" TargetMode="External" /><Relationship Type="http://schemas.openxmlformats.org/officeDocument/2006/relationships/hyperlink" Id="rId34" Target="https://doi.org/10.1139/A09-001" TargetMode="External" /><Relationship Type="http://schemas.openxmlformats.org/officeDocument/2006/relationships/hyperlink" Id="rId49" Target="https://doi.org/10.1177%2F1075547012443021" TargetMode="External" /><Relationship Type="http://schemas.openxmlformats.org/officeDocument/2006/relationships/hyperlink" Id="rId76" Target="https://doi.org/10.17605/OSF.IO/3D6XX" TargetMode="External" /><Relationship Type="http://schemas.openxmlformats.org/officeDocument/2006/relationships/hyperlink" Id="rId90" Target="https://doi.org/10.1890/1051-0761(2006)016[1267:SEFTEC]2.0.CO;2" TargetMode="External" /><Relationship Type="http://schemas.openxmlformats.org/officeDocument/2006/relationships/hyperlink" Id="rId53" Target="https://doi.org/10.1890/120103" TargetMode="External" /><Relationship Type="http://schemas.openxmlformats.org/officeDocument/2006/relationships/hyperlink" Id="rId51" Target="https://doi.org/10.1890/ES14-00402.1" TargetMode="External" /><Relationship Type="http://schemas.openxmlformats.org/officeDocument/2006/relationships/hyperlink" Id="rId88" Target="https://doi.org/10.1899/08-053.1" TargetMode="External" /><Relationship Type="http://schemas.openxmlformats.org/officeDocument/2006/relationships/hyperlink" Id="rId41" Target="https://doi.org/10.1899/10-067.1" TargetMode="External" /><Relationship Type="http://schemas.openxmlformats.org/officeDocument/2006/relationships/hyperlink" Id="rId61" Target="https://doi.org/10.2307/1467854" TargetMode="External" /><Relationship Type="http://schemas.openxmlformats.org/officeDocument/2006/relationships/hyperlink" Id="rId85" Target="https://doi.org/10.2307/1468175" TargetMode="External" /><Relationship Type="http://schemas.openxmlformats.org/officeDocument/2006/relationships/hyperlink" Id="rId66"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002/fee.1483" TargetMode="External" /><Relationship Type="http://schemas.openxmlformats.org/officeDocument/2006/relationships/hyperlink" Id="rId45" Target="https://doi.org/10.1016/S1470-160X(01)00003-6" TargetMode="External" /><Relationship Type="http://schemas.openxmlformats.org/officeDocument/2006/relationships/hyperlink" Id="rId36" Target="https://doi.org/10.1016/j.ecolind.2011.10.009" TargetMode="External" /><Relationship Type="http://schemas.openxmlformats.org/officeDocument/2006/relationships/hyperlink" Id="rId83" Target="https://doi.org/10.1016/j.envsci.2014.08.006" TargetMode="External" /><Relationship Type="http://schemas.openxmlformats.org/officeDocument/2006/relationships/hyperlink" Id="rId55" Target="https://doi.org/10.1016/j.scitotenv.2010.05.031" TargetMode="External" /><Relationship Type="http://schemas.openxmlformats.org/officeDocument/2006/relationships/hyperlink" Id="rId64" Target="https://doi.org/10.1016/j.scitotenv.2016.02.024" TargetMode="External" /><Relationship Type="http://schemas.openxmlformats.org/officeDocument/2006/relationships/hyperlink" Id="rId74" Target="https://doi.org/10.1038/s41559-017-0160" TargetMode="External" /><Relationship Type="http://schemas.openxmlformats.org/officeDocument/2006/relationships/hyperlink" Id="rId47" Target="https://doi.org/10.1046/j.1365-2427.2002.00948.x" TargetMode="External" /><Relationship Type="http://schemas.openxmlformats.org/officeDocument/2006/relationships/hyperlink" Id="rId80" Target="https://doi.org/10.1071/MF15329" TargetMode="External" /><Relationship Type="http://schemas.openxmlformats.org/officeDocument/2006/relationships/hyperlink" Id="rId57" Target="https://doi.org/10.1086/697996" TargetMode="External" /><Relationship Type="http://schemas.openxmlformats.org/officeDocument/2006/relationships/hyperlink" Id="rId38" Target="https://doi.org/10.1088/1748-9326/11/8/084004" TargetMode="External" /><Relationship Type="http://schemas.openxmlformats.org/officeDocument/2006/relationships/hyperlink" Id="rId59" Target="https://doi.org/10.1093/beheco/arx003" TargetMode="External" /><Relationship Type="http://schemas.openxmlformats.org/officeDocument/2006/relationships/hyperlink" Id="rId70" Target="https://doi.org/10.1111/j.1365-2427.2010.02456.x" TargetMode="External" /><Relationship Type="http://schemas.openxmlformats.org/officeDocument/2006/relationships/hyperlink" Id="rId72" Target="https://doi.org/10.1111/j.1600-0706.2013.00970.x" TargetMode="External" /><Relationship Type="http://schemas.openxmlformats.org/officeDocument/2006/relationships/hyperlink" Id="rId43" Target="https://doi.org/10.1111/jvs.12459" TargetMode="External" /><Relationship Type="http://schemas.openxmlformats.org/officeDocument/2006/relationships/hyperlink" Id="rId34" Target="https://doi.org/10.1139/A09-001" TargetMode="External" /><Relationship Type="http://schemas.openxmlformats.org/officeDocument/2006/relationships/hyperlink" Id="rId49" Target="https://doi.org/10.1177%2F1075547012443021" TargetMode="External" /><Relationship Type="http://schemas.openxmlformats.org/officeDocument/2006/relationships/hyperlink" Id="rId76" Target="https://doi.org/10.17605/OSF.IO/3D6XX" TargetMode="External" /><Relationship Type="http://schemas.openxmlformats.org/officeDocument/2006/relationships/hyperlink" Id="rId90" Target="https://doi.org/10.1890/1051-0761(2006)016[1267:SEFTEC]2.0.CO;2" TargetMode="External" /><Relationship Type="http://schemas.openxmlformats.org/officeDocument/2006/relationships/hyperlink" Id="rId53" Target="https://doi.org/10.1890/120103" TargetMode="External" /><Relationship Type="http://schemas.openxmlformats.org/officeDocument/2006/relationships/hyperlink" Id="rId51" Target="https://doi.org/10.1890/ES14-00402.1" TargetMode="External" /><Relationship Type="http://schemas.openxmlformats.org/officeDocument/2006/relationships/hyperlink" Id="rId88" Target="https://doi.org/10.1899/08-053.1" TargetMode="External" /><Relationship Type="http://schemas.openxmlformats.org/officeDocument/2006/relationships/hyperlink" Id="rId41" Target="https://doi.org/10.1899/10-067.1" TargetMode="External" /><Relationship Type="http://schemas.openxmlformats.org/officeDocument/2006/relationships/hyperlink" Id="rId61" Target="https://doi.org/10.2307/1467854" TargetMode="External" /><Relationship Type="http://schemas.openxmlformats.org/officeDocument/2006/relationships/hyperlink" Id="rId85" Target="https://doi.org/10.2307/1468175" TargetMode="External" /><Relationship Type="http://schemas.openxmlformats.org/officeDocument/2006/relationships/hyperlink" Id="rId66"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2018-09-26T00:32:43Z</dcterms:created>
  <dcterms:modified xsi:type="dcterms:W3CDTF">2018-09-26T00:32:43Z</dcterms:modified>
</cp:coreProperties>
</file>