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Wed Sep 12 12:31:54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and-what-they-mean-for-bioassessment"/>
      <w:r>
        <w:t xml:space="preserve">Principles of open science and what they mean for bioassessment</w:t>
      </w:r>
      <w:bookmarkEnd w:id="25"/>
    </w:p>
    <w:p>
      <w:pPr>
        <w:pStyle w:val="FirstParagraph"/>
      </w:pPr>
      <w:r>
        <w:t xml:space="preserve">Conventional modes of creating scientific products and more contemporary approaches that align with open science principles share the same goals. Both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documentation that have been facilitated by the Internet and computer sciences. As a result, the open science approach enhances all aspects of the scientific process from initial conception of a research idea to the delivery and longevity of a research product.</w:t>
      </w:r>
    </w:p>
    <w:p>
      <w:pPr>
        <w:pStyle w:val="BodyText"/>
      </w:pPr>
      <w:r>
        <w:t xml:space="preserve">The paradigm of the scientific paper as the final research product can inhibit forward progress for several reasons, particularly so in the applied sciences. Traditionally, the research paper was viewed as a communication tool to report and share results among peers in the scientific community. Researchers access periodicals to stay informed of advances in the field and use the information to replicate methods for follow-up analysis. Scientific communities have successfully followed this model for centuries. Although the primary literature continues to provide these fundamental services, this workflow fails to facilitate progress when scientific products are developed to serve interests outside of the research community. The paper as an endpoint for environmental managers fails to deliver tools that are easily accessible from the practitioners perspective, both in application and interpretation. A research paper is rarely sufficient to affect environmental change because it does not provide a mechanism for engaging those that require scientific guidance as the foundation for decision-making. Numerous studies have documented implementation failures as a result of siloing among research communities where the flow of information rarely or insufficiently extends beyond institutional walls.</w:t>
      </w:r>
    </w:p>
    <w:p>
      <w:pPr>
        <w:pStyle w:val="BodyText"/>
      </w:pPr>
      <w:r>
        <w:t xml:space="preserve">The open science approach can be conceptualized by placing the researcher in the role of data steward rather than data owner. This mode of thinking treats the data as a living product with a history, rather than proprietary and serving only the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and unfettered access to data has benefits for the scientific, management, and regulatory communities. Open data can benefit research by contributing to an increase in novel products created through collaborative efforts. An increasing trend in collaborative publications has been observed in many of the environmental sciences as researchers leverage open data from different contexts to create a synthetic product as the sum of individual datasets.</w:t>
      </w:r>
    </w:p>
    <w:p>
      <w:pPr>
        <w:pStyle w:val="BodyText"/>
      </w:pPr>
      <w:r>
        <w:t xml:space="preserve">Communication in open science refers to</w:t>
      </w:r>
    </w:p>
    <w:p>
      <w:pPr>
        <w:pStyle w:val="BodyText"/>
      </w:pPr>
      <w:r>
        <w:t xml:space="preserve">Use Bond-Lamberty as example, more than just the paper as final product</w:t>
      </w:r>
      <w:r>
        <w:t xml:space="preserve"> </w:t>
      </w:r>
      <w:r>
        <w:t xml:space="preserve">Fox and Hendler about data viz - similar paradigm where the static plot as not the final product</w:t>
      </w:r>
    </w:p>
    <w:p>
      <w:pPr>
        <w:pStyle w:val="BodyText"/>
      </w:pPr>
      <w:r>
        <w:t xml:space="preserve">Ecology and bioassessment by extension have not adopted these tools because modes of communication that are intrinsically linked to subjet matter in other fields, such as computer science, are not common.</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2"/>
          <w:ilvl w:val="1"/>
        </w:numPr>
      </w:pPr>
      <w:r>
        <w:t xml:space="preserve">Use the report/manuscript as final product paradigm as old way of thinking</w:t>
      </w:r>
    </w:p>
    <w:p>
      <w:pPr>
        <w:pStyle w:val="Compact"/>
        <w:numPr>
          <w:numId w:val="1002"/>
          <w:ilvl w:val="1"/>
        </w:numPr>
      </w:pPr>
      <w:r>
        <w:t xml:space="preserve">Nielsen def of open science cited in hampton</w:t>
      </w:r>
    </w:p>
    <w:p>
      <w:pPr>
        <w:pStyle w:val="Compact"/>
        <w:numPr>
          <w:numId w:val="1002"/>
          <w:ilvl w:val="1"/>
        </w:numPr>
      </w:pPr>
      <w:r>
        <w:t xml:space="preserve">A philosophy and set of tools that can democratize scientific analysis by making data and analyses more accessible</w:t>
      </w:r>
    </w:p>
    <w:p>
      <w:pPr>
        <w:pStyle w:val="Compact"/>
        <w:numPr>
          <w:numId w:val="1002"/>
          <w:ilvl w:val="1"/>
        </w:numPr>
      </w:pPr>
      <w:r>
        <w:t xml:space="preserve">Emphasis on reproducibility, transparency, communication, and longevity, researchers as data stewards not owners</w:t>
      </w:r>
    </w:p>
    <w:p>
      <w:pPr>
        <w:pStyle w:val="Compact"/>
        <w:numPr>
          <w:numId w:val="1002"/>
          <w:ilvl w:val="1"/>
        </w:numPr>
      </w:pPr>
      <w:r>
        <w:t xml:space="preserve">Embraces all aspects of a project from idea conception to delivery of final products, implications for bioassessment</w:t>
      </w:r>
    </w:p>
    <w:p>
      <w:pPr>
        <w:pStyle w:val="Compact"/>
        <w:numPr>
          <w:numId w:val="1002"/>
          <w:ilvl w:val="1"/>
        </w:numPr>
      </w:pPr>
      <w:r>
        <w:t xml:space="preserve">Overall, encourages collaboration and access to/sharing of data</w:t>
      </w:r>
    </w:p>
    <w:p>
      <w:pPr>
        <w:pStyle w:val="Compact"/>
        <w:numPr>
          <w:numId w:val="1001"/>
          <w:ilvl w:val="0"/>
        </w:numPr>
      </w:pPr>
      <w:r>
        <w:t xml:space="preserve">Why is open science particularly relevant for bioassessment?</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data are publicly funded, typically, so legal/moral mandates necessitate open analysis, see Molloy 2011 for UK example</w:t>
      </w:r>
    </w:p>
    <w:p>
      <w:pPr>
        <w:pStyle w:val="Compact"/>
        <w:numPr>
          <w:numId w:val="1003"/>
          <w:ilvl w:val="1"/>
        </w:numPr>
      </w:pPr>
      <w:r>
        <w:t xml:space="preserve">Multiple methods have been developed, an important component of open science is data discovery. Making methods open and transparent can facilitate synthesis and meta-analysis</w:t>
      </w:r>
    </w:p>
    <w:p>
      <w:pPr>
        <w:pStyle w:val="Compact"/>
        <w:numPr>
          <w:numId w:val="1003"/>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1"/>
          <w:ilvl w:val="0"/>
        </w:numPr>
      </w:pPr>
      <w:r>
        <w:t xml:space="preserve">Aspects of the process that can benefit bioassessment</w:t>
      </w:r>
    </w:p>
    <w:p>
      <w:pPr>
        <w:pStyle w:val="Compact"/>
        <w:numPr>
          <w:numId w:val="1004"/>
          <w:ilvl w:val="1"/>
        </w:numPr>
      </w:pPr>
      <w:r>
        <w:t xml:space="preserve">Data provenance and open data</w:t>
      </w:r>
    </w:p>
    <w:p>
      <w:pPr>
        <w:pStyle w:val="Compact"/>
        <w:numPr>
          <w:numId w:val="1004"/>
          <w:ilvl w:val="1"/>
        </w:numPr>
      </w:pPr>
      <w:r>
        <w:t xml:space="preserve">Method development – existing software packages to facilitate</w:t>
      </w:r>
    </w:p>
    <w:p>
      <w:pPr>
        <w:pStyle w:val="Compact"/>
        <w:numPr>
          <w:numId w:val="1004"/>
          <w:ilvl w:val="1"/>
        </w:numPr>
      </w:pPr>
      <w:r>
        <w:t xml:space="preserve">Method delivery –</w:t>
      </w:r>
    </w:p>
    <w:p>
      <w:pPr>
        <w:pStyle w:val="Compact"/>
        <w:numPr>
          <w:numId w:val="1005"/>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 the case for open computer programs described by Ince et al. 2012 emphasizes the type of problem present in bioassessment - all methods should be complementary with a software packgae as supplement to the primary document</w:t>
      </w:r>
    </w:p>
    <w:p>
      <w:pPr>
        <w:pStyle w:val="Compact"/>
        <w:numPr>
          <w:numId w:val="1005"/>
          <w:ilvl w:val="2"/>
        </w:numPr>
      </w:pPr>
      <w:r>
        <w:t xml:space="preserve">Communication within collaborative teadm and management community, Kelling et al. 2009</w:t>
      </w:r>
    </w:p>
    <w:p>
      <w:pPr>
        <w:pStyle w:val="Compact"/>
        <w:numPr>
          <w:numId w:val="1001"/>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6" w:name="california-examples"/>
      <w:r>
        <w:t xml:space="preserve">California examples</w:t>
      </w:r>
      <w:bookmarkEnd w:id="26"/>
    </w:p>
    <w:p>
      <w:pPr>
        <w:pStyle w:val="Compact"/>
        <w:numPr>
          <w:numId w:val="1006"/>
          <w:ilvl w:val="0"/>
        </w:numPr>
      </w:pPr>
      <w:r>
        <w:t xml:space="preserve">Example approach</w:t>
      </w:r>
    </w:p>
    <w:p>
      <w:pPr>
        <w:pStyle w:val="Compact"/>
        <w:numPr>
          <w:numId w:val="1007"/>
          <w:ilvl w:val="1"/>
        </w:numPr>
      </w:pPr>
      <w:r>
        <w:t xml:space="preserve">What is the legal/policy framework for supporting/impeding open science in CA? Are we living up to our aspirations?</w:t>
      </w:r>
    </w:p>
    <w:p>
      <w:pPr>
        <w:pStyle w:val="Compact"/>
        <w:numPr>
          <w:numId w:val="1008"/>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7">
        <w:r>
          <w:rPr>
            <w:rStyle w:val="Hyperlink"/>
          </w:rPr>
          <w:t xml:space="preserve">press release</w:t>
        </w:r>
      </w:hyperlink>
      <w:r>
        <w:t xml:space="preserve">,</w:t>
      </w:r>
      <w:r>
        <w:t xml:space="preserve"> </w:t>
      </w:r>
      <w:hyperlink r:id="rId28">
        <w:r>
          <w:rPr>
            <w:rStyle w:val="Hyperlink"/>
          </w:rPr>
          <w:t xml:space="preserve">resolution</w:t>
        </w:r>
      </w:hyperlink>
    </w:p>
    <w:p>
      <w:pPr>
        <w:pStyle w:val="Compact"/>
        <w:numPr>
          <w:numId w:val="1007"/>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7"/>
          <w:ilvl w:val="1"/>
        </w:numPr>
      </w:pPr>
      <w:r>
        <w:t xml:space="preserve">The California vision – describe legal/policy demands for bioassessment, current methods developed, developing tools to link technical products with management</w:t>
      </w:r>
    </w:p>
    <w:p>
      <w:pPr>
        <w:pStyle w:val="Compact"/>
        <w:numPr>
          <w:numId w:val="1007"/>
          <w:ilvl w:val="1"/>
        </w:numPr>
      </w:pPr>
      <w:r>
        <w:t xml:space="preserve">Existing applications – assessment methods packaged as standalone applications complete with documentation, vignettes, versioning</w:t>
      </w:r>
    </w:p>
    <w:p>
      <w:pPr>
        <w:pStyle w:val="Compact"/>
        <w:numPr>
          <w:numId w:val="1007"/>
          <w:ilvl w:val="1"/>
        </w:numPr>
      </w:pPr>
      <w:r>
        <w:t xml:space="preserve">Bioassessment as proactive vs reactive – SCAPE for regulatory applications, SCAPE for conservation, other examples</w:t>
      </w:r>
    </w:p>
    <w:p>
      <w:pPr>
        <w:pStyle w:val="Heading1"/>
      </w:pPr>
      <w:bookmarkStart w:id="29" w:name="challenges-and-recommendations-for-bioassessment"/>
      <w:r>
        <w:t xml:space="preserve">Challenges and recommendations for bioassessment</w:t>
      </w:r>
      <w:bookmarkEnd w:id="29"/>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 (e.g., for data sharing Hampton et al. 2015, need to find citation for learnign tech skills)</w:t>
      </w:r>
    </w:p>
    <w:p>
      <w:pPr>
        <w:pStyle w:val="Compact"/>
        <w:numPr>
          <w:numId w:val="1010"/>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09"/>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0" w:name="references"/>
      <w:r>
        <w:t xml:space="preserve">References</w:t>
      </w:r>
      <w:bookmarkEnd w:id="30"/>
    </w:p>
    <w:bookmarkStart w:id="83" w:name="refs"/>
    <w:bookmarkStart w:id="31"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1"/>
    <w:bookmarkStart w:id="33"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2">
        <w:r>
          <w:rPr>
            <w:rStyle w:val="Hyperlink"/>
          </w:rPr>
          <w:t xml:space="preserve">https://doi.org/10.1139/A09-001</w:t>
        </w:r>
      </w:hyperlink>
      <w:r>
        <w:t xml:space="preserve">.</w:t>
      </w:r>
    </w:p>
    <w:bookmarkEnd w:id="33"/>
    <w:bookmarkStart w:id="35"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34">
        <w:r>
          <w:rPr>
            <w:rStyle w:val="Hyperlink"/>
          </w:rPr>
          <w:t xml:space="preserve">https://doi.org/10.1016/j.ecolind.2011.10.009</w:t>
        </w:r>
      </w:hyperlink>
      <w:r>
        <w:t xml:space="preserve">.</w:t>
      </w:r>
    </w:p>
    <w:bookmarkEnd w:id="35"/>
    <w:bookmarkStart w:id="36"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36"/>
    <w:bookmarkStart w:id="38"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37">
        <w:r>
          <w:rPr>
            <w:rStyle w:val="Hyperlink"/>
          </w:rPr>
          <w:t xml:space="preserve">https://doi.org/10.1899/10-067.1</w:t>
        </w:r>
      </w:hyperlink>
      <w:r>
        <w:t xml:space="preserve">.</w:t>
      </w:r>
    </w:p>
    <w:bookmarkEnd w:id="38"/>
    <w:bookmarkStart w:id="40"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39">
        <w:r>
          <w:rPr>
            <w:rStyle w:val="Hyperlink"/>
          </w:rPr>
          <w:t xml:space="preserve">https://doi.org/10.1111/jvs.12459</w:t>
        </w:r>
      </w:hyperlink>
      <w:r>
        <w:t xml:space="preserve">.</w:t>
      </w:r>
    </w:p>
    <w:bookmarkEnd w:id="40"/>
    <w:bookmarkStart w:id="42"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41">
        <w:r>
          <w:rPr>
            <w:rStyle w:val="Hyperlink"/>
          </w:rPr>
          <w:t xml:space="preserve">https://doi.org/10.1016/S1470-160X(01)00003-6</w:t>
        </w:r>
      </w:hyperlink>
      <w:r>
        <w:t xml:space="preserve">.</w:t>
      </w:r>
    </w:p>
    <w:bookmarkEnd w:id="42"/>
    <w:bookmarkStart w:id="44"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43">
        <w:r>
          <w:rPr>
            <w:rStyle w:val="Hyperlink"/>
          </w:rPr>
          <w:t xml:space="preserve">https://doi.org/10.1046/j.1365-2427.2002.00948.x</w:t>
        </w:r>
      </w:hyperlink>
      <w:r>
        <w:t xml:space="preserve">.</w:t>
      </w:r>
    </w:p>
    <w:bookmarkEnd w:id="44"/>
    <w:bookmarkStart w:id="46"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45">
        <w:r>
          <w:rPr>
            <w:rStyle w:val="Hyperlink"/>
          </w:rPr>
          <w:t xml:space="preserve">https://doi.org/10.1890/ES14-00402.1</w:t>
        </w:r>
      </w:hyperlink>
      <w:r>
        <w:t xml:space="preserve">.</w:t>
      </w:r>
    </w:p>
    <w:bookmarkEnd w:id="46"/>
    <w:bookmarkStart w:id="48"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47">
        <w:r>
          <w:rPr>
            <w:rStyle w:val="Hyperlink"/>
          </w:rPr>
          <w:t xml:space="preserve">https://doi.org/10.1890/120103</w:t>
        </w:r>
      </w:hyperlink>
      <w:r>
        <w:t xml:space="preserve">.</w:t>
      </w:r>
    </w:p>
    <w:bookmarkEnd w:id="48"/>
    <w:bookmarkStart w:id="50"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49">
        <w:r>
          <w:rPr>
            <w:rStyle w:val="Hyperlink"/>
          </w:rPr>
          <w:t xml:space="preserve">https://doi.org/10.1016/j.scitotenv.2010.05.031</w:t>
        </w:r>
      </w:hyperlink>
      <w:r>
        <w:t xml:space="preserve">.</w:t>
      </w:r>
    </w:p>
    <w:bookmarkEnd w:id="50"/>
    <w:bookmarkStart w:id="52"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51">
        <w:r>
          <w:rPr>
            <w:rStyle w:val="Hyperlink"/>
          </w:rPr>
          <w:t xml:space="preserve">https://doi.org/10.1086/697996</w:t>
        </w:r>
      </w:hyperlink>
      <w:r>
        <w:t xml:space="preserve">.</w:t>
      </w:r>
    </w:p>
    <w:bookmarkEnd w:id="52"/>
    <w:bookmarkStart w:id="54"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53">
        <w:r>
          <w:rPr>
            <w:rStyle w:val="Hyperlink"/>
          </w:rPr>
          <w:t xml:space="preserve">https://doi.org/10.1093/beheco/arx003</w:t>
        </w:r>
      </w:hyperlink>
      <w:r>
        <w:t xml:space="preserve">.</w:t>
      </w:r>
    </w:p>
    <w:bookmarkEnd w:id="54"/>
    <w:bookmarkStart w:id="56"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55">
        <w:r>
          <w:rPr>
            <w:rStyle w:val="Hyperlink"/>
          </w:rPr>
          <w:t xml:space="preserve">https://doi.org/10.2307/1467854</w:t>
        </w:r>
      </w:hyperlink>
      <w:r>
        <w:t xml:space="preserve">.</w:t>
      </w:r>
    </w:p>
    <w:bookmarkEnd w:id="56"/>
    <w:bookmarkStart w:id="57"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57"/>
    <w:bookmarkStart w:id="59"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58">
        <w:r>
          <w:rPr>
            <w:rStyle w:val="Hyperlink"/>
          </w:rPr>
          <w:t xml:space="preserve">https://doi.org/10.1016/j.scitotenv.2016.02.024</w:t>
        </w:r>
      </w:hyperlink>
      <w:r>
        <w:t xml:space="preserve">.</w:t>
      </w:r>
    </w:p>
    <w:bookmarkEnd w:id="59"/>
    <w:bookmarkStart w:id="61"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60">
        <w:r>
          <w:rPr>
            <w:rStyle w:val="Hyperlink"/>
          </w:rPr>
          <w:t xml:space="preserve">https://doi.org/10.2307/1942007</w:t>
        </w:r>
      </w:hyperlink>
      <w:r>
        <w:t xml:space="preserve">.</w:t>
      </w:r>
    </w:p>
    <w:bookmarkEnd w:id="61"/>
    <w:bookmarkStart w:id="63"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62">
        <w:r>
          <w:rPr>
            <w:rStyle w:val="Hyperlink"/>
          </w:rPr>
          <w:t xml:space="preserve">https://doi.org/10.1002/fee.1483</w:t>
        </w:r>
      </w:hyperlink>
      <w:r>
        <w:t xml:space="preserve">.</w:t>
      </w:r>
    </w:p>
    <w:bookmarkEnd w:id="63"/>
    <w:bookmarkStart w:id="65"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64">
        <w:r>
          <w:rPr>
            <w:rStyle w:val="Hyperlink"/>
          </w:rPr>
          <w:t xml:space="preserve">https://doi.org/10.1111/j.1365-2427.2010.02456.x</w:t>
        </w:r>
      </w:hyperlink>
      <w:r>
        <w:t xml:space="preserve">.</w:t>
      </w:r>
    </w:p>
    <w:bookmarkEnd w:id="65"/>
    <w:bookmarkStart w:id="67"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66">
        <w:r>
          <w:rPr>
            <w:rStyle w:val="Hyperlink"/>
          </w:rPr>
          <w:t xml:space="preserve">https://doi.org/10.1038/s41559-017-0160</w:t>
        </w:r>
      </w:hyperlink>
      <w:r>
        <w:t xml:space="preserve">.</w:t>
      </w:r>
    </w:p>
    <w:bookmarkEnd w:id="67"/>
    <w:bookmarkStart w:id="69"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68">
        <w:r>
          <w:rPr>
            <w:rStyle w:val="Hyperlink"/>
          </w:rPr>
          <w:t xml:space="preserve">https://doi.org/10.17605/OSF.IO/3D6XX</w:t>
        </w:r>
      </w:hyperlink>
      <w:r>
        <w:t xml:space="preserve">.</w:t>
      </w:r>
    </w:p>
    <w:bookmarkEnd w:id="69"/>
    <w:bookmarkStart w:id="70"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70"/>
    <w:bookmarkStart w:id="72"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71">
        <w:r>
          <w:rPr>
            <w:rStyle w:val="Hyperlink"/>
          </w:rPr>
          <w:t xml:space="preserve">https://doi.org/10.1071/MF15329</w:t>
        </w:r>
      </w:hyperlink>
      <w:r>
        <w:t xml:space="preserve">.</w:t>
      </w:r>
    </w:p>
    <w:bookmarkEnd w:id="72"/>
    <w:bookmarkStart w:id="73"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73"/>
    <w:bookmarkStart w:id="75"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74">
        <w:r>
          <w:rPr>
            <w:rStyle w:val="Hyperlink"/>
          </w:rPr>
          <w:t xml:space="preserve">https://doi.org/10.1016/j.envsci.2014.08.006</w:t>
        </w:r>
      </w:hyperlink>
      <w:r>
        <w:t xml:space="preserve">.</w:t>
      </w:r>
    </w:p>
    <w:bookmarkEnd w:id="75"/>
    <w:bookmarkStart w:id="77"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76">
        <w:r>
          <w:rPr>
            <w:rStyle w:val="Hyperlink"/>
          </w:rPr>
          <w:t xml:space="preserve">https://doi.org/10.2307/1468175</w:t>
        </w:r>
      </w:hyperlink>
      <w:r>
        <w:t xml:space="preserve">.</w:t>
      </w:r>
    </w:p>
    <w:bookmarkEnd w:id="77"/>
    <w:bookmarkStart w:id="78"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78"/>
    <w:bookmarkStart w:id="80"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79">
        <w:r>
          <w:rPr>
            <w:rStyle w:val="Hyperlink"/>
          </w:rPr>
          <w:t xml:space="preserve">https://doi.org/10.1899/08-053.1</w:t>
        </w:r>
      </w:hyperlink>
      <w:r>
        <w:t xml:space="preserve">.</w:t>
      </w:r>
    </w:p>
    <w:bookmarkEnd w:id="80"/>
    <w:bookmarkStart w:id="82"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81">
        <w:r>
          <w:rPr>
            <w:rStyle w:val="Hyperlink"/>
          </w:rPr>
          <w:t xml:space="preserve">https://doi.org/10.1890/1051-0761(2006)016[1267:SEFTEC]2.0.CO;2</w:t>
        </w:r>
      </w:hyperlink>
      <w:r>
        <w:t xml:space="preserve">.</w:t>
      </w:r>
    </w:p>
    <w:bookmarkEnd w:id="82"/>
    <w:bookmarkEnd w:id="83"/>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2" Target="https://doi.org/10.1002/fee.1483" TargetMode="External" /><Relationship Type="http://schemas.openxmlformats.org/officeDocument/2006/relationships/hyperlink" Id="rId41" Target="https://doi.org/10.1016/S1470-160X(01)00003-6" TargetMode="External" /><Relationship Type="http://schemas.openxmlformats.org/officeDocument/2006/relationships/hyperlink" Id="rId34" Target="https://doi.org/10.1016/j.ecolind.2011.10.009" TargetMode="External" /><Relationship Type="http://schemas.openxmlformats.org/officeDocument/2006/relationships/hyperlink" Id="rId74" Target="https://doi.org/10.1016/j.envsci.2014.08.006" TargetMode="External" /><Relationship Type="http://schemas.openxmlformats.org/officeDocument/2006/relationships/hyperlink" Id="rId49" Target="https://doi.org/10.1016/j.scitotenv.2010.05.031" TargetMode="External" /><Relationship Type="http://schemas.openxmlformats.org/officeDocument/2006/relationships/hyperlink" Id="rId58" Target="https://doi.org/10.1016/j.scitotenv.2016.02.024" TargetMode="External" /><Relationship Type="http://schemas.openxmlformats.org/officeDocument/2006/relationships/hyperlink" Id="rId66" Target="https://doi.org/10.1038/s41559-017-0160" TargetMode="External" /><Relationship Type="http://schemas.openxmlformats.org/officeDocument/2006/relationships/hyperlink" Id="rId43" Target="https://doi.org/10.1046/j.1365-2427.2002.00948.x" TargetMode="External" /><Relationship Type="http://schemas.openxmlformats.org/officeDocument/2006/relationships/hyperlink" Id="rId71" Target="https://doi.org/10.1071/MF15329" TargetMode="External" /><Relationship Type="http://schemas.openxmlformats.org/officeDocument/2006/relationships/hyperlink" Id="rId51" Target="https://doi.org/10.1086/697996" TargetMode="External" /><Relationship Type="http://schemas.openxmlformats.org/officeDocument/2006/relationships/hyperlink" Id="rId53" Target="https://doi.org/10.1093/beheco/arx003" TargetMode="External" /><Relationship Type="http://schemas.openxmlformats.org/officeDocument/2006/relationships/hyperlink" Id="rId64" Target="https://doi.org/10.1111/j.1365-2427.2010.02456.x" TargetMode="External" /><Relationship Type="http://schemas.openxmlformats.org/officeDocument/2006/relationships/hyperlink" Id="rId39" Target="https://doi.org/10.1111/jvs.12459" TargetMode="External" /><Relationship Type="http://schemas.openxmlformats.org/officeDocument/2006/relationships/hyperlink" Id="rId32" Target="https://doi.org/10.1139/A09-001" TargetMode="External" /><Relationship Type="http://schemas.openxmlformats.org/officeDocument/2006/relationships/hyperlink" Id="rId68" Target="https://doi.org/10.17605/OSF.IO/3D6XX" TargetMode="External" /><Relationship Type="http://schemas.openxmlformats.org/officeDocument/2006/relationships/hyperlink" Id="rId81" Target="https://doi.org/10.1890/1051-0761(2006)016[1267:SEFTEC]2.0.CO;2" TargetMode="External" /><Relationship Type="http://schemas.openxmlformats.org/officeDocument/2006/relationships/hyperlink" Id="rId47" Target="https://doi.org/10.1890/120103" TargetMode="External" /><Relationship Type="http://schemas.openxmlformats.org/officeDocument/2006/relationships/hyperlink" Id="rId45" Target="https://doi.org/10.1890/ES14-00402.1" TargetMode="External" /><Relationship Type="http://schemas.openxmlformats.org/officeDocument/2006/relationships/hyperlink" Id="rId79" Target="https://doi.org/10.1899/08-053.1" TargetMode="External" /><Relationship Type="http://schemas.openxmlformats.org/officeDocument/2006/relationships/hyperlink" Id="rId37" Target="https://doi.org/10.1899/10-067.1" TargetMode="External" /><Relationship Type="http://schemas.openxmlformats.org/officeDocument/2006/relationships/hyperlink" Id="rId55" Target="https://doi.org/10.2307/1467854" TargetMode="External" /><Relationship Type="http://schemas.openxmlformats.org/officeDocument/2006/relationships/hyperlink" Id="rId76" Target="https://doi.org/10.2307/1468175" TargetMode="External" /><Relationship Type="http://schemas.openxmlformats.org/officeDocument/2006/relationships/hyperlink" Id="rId60" Target="https://doi.org/10.2307/1942007" TargetMode="Externa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02/fee.1483" TargetMode="External" /><Relationship Type="http://schemas.openxmlformats.org/officeDocument/2006/relationships/hyperlink" Id="rId41" Target="https://doi.org/10.1016/S1470-160X(01)00003-6" TargetMode="External" /><Relationship Type="http://schemas.openxmlformats.org/officeDocument/2006/relationships/hyperlink" Id="rId34" Target="https://doi.org/10.1016/j.ecolind.2011.10.009" TargetMode="External" /><Relationship Type="http://schemas.openxmlformats.org/officeDocument/2006/relationships/hyperlink" Id="rId74" Target="https://doi.org/10.1016/j.envsci.2014.08.006" TargetMode="External" /><Relationship Type="http://schemas.openxmlformats.org/officeDocument/2006/relationships/hyperlink" Id="rId49" Target="https://doi.org/10.1016/j.scitotenv.2010.05.031" TargetMode="External" /><Relationship Type="http://schemas.openxmlformats.org/officeDocument/2006/relationships/hyperlink" Id="rId58" Target="https://doi.org/10.1016/j.scitotenv.2016.02.024" TargetMode="External" /><Relationship Type="http://schemas.openxmlformats.org/officeDocument/2006/relationships/hyperlink" Id="rId66" Target="https://doi.org/10.1038/s41559-017-0160" TargetMode="External" /><Relationship Type="http://schemas.openxmlformats.org/officeDocument/2006/relationships/hyperlink" Id="rId43" Target="https://doi.org/10.1046/j.1365-2427.2002.00948.x" TargetMode="External" /><Relationship Type="http://schemas.openxmlformats.org/officeDocument/2006/relationships/hyperlink" Id="rId71" Target="https://doi.org/10.1071/MF15329" TargetMode="External" /><Relationship Type="http://schemas.openxmlformats.org/officeDocument/2006/relationships/hyperlink" Id="rId51" Target="https://doi.org/10.1086/697996" TargetMode="External" /><Relationship Type="http://schemas.openxmlformats.org/officeDocument/2006/relationships/hyperlink" Id="rId53" Target="https://doi.org/10.1093/beheco/arx003" TargetMode="External" /><Relationship Type="http://schemas.openxmlformats.org/officeDocument/2006/relationships/hyperlink" Id="rId64" Target="https://doi.org/10.1111/j.1365-2427.2010.02456.x" TargetMode="External" /><Relationship Type="http://schemas.openxmlformats.org/officeDocument/2006/relationships/hyperlink" Id="rId39" Target="https://doi.org/10.1111/jvs.12459" TargetMode="External" /><Relationship Type="http://schemas.openxmlformats.org/officeDocument/2006/relationships/hyperlink" Id="rId32" Target="https://doi.org/10.1139/A09-001" TargetMode="External" /><Relationship Type="http://schemas.openxmlformats.org/officeDocument/2006/relationships/hyperlink" Id="rId68" Target="https://doi.org/10.17605/OSF.IO/3D6XX" TargetMode="External" /><Relationship Type="http://schemas.openxmlformats.org/officeDocument/2006/relationships/hyperlink" Id="rId81" Target="https://doi.org/10.1890/1051-0761(2006)016[1267:SEFTEC]2.0.CO;2" TargetMode="External" /><Relationship Type="http://schemas.openxmlformats.org/officeDocument/2006/relationships/hyperlink" Id="rId47" Target="https://doi.org/10.1890/120103" TargetMode="External" /><Relationship Type="http://schemas.openxmlformats.org/officeDocument/2006/relationships/hyperlink" Id="rId45" Target="https://doi.org/10.1890/ES14-00402.1" TargetMode="External" /><Relationship Type="http://schemas.openxmlformats.org/officeDocument/2006/relationships/hyperlink" Id="rId79" Target="https://doi.org/10.1899/08-053.1" TargetMode="External" /><Relationship Type="http://schemas.openxmlformats.org/officeDocument/2006/relationships/hyperlink" Id="rId37" Target="https://doi.org/10.1899/10-067.1" TargetMode="External" /><Relationship Type="http://schemas.openxmlformats.org/officeDocument/2006/relationships/hyperlink" Id="rId55" Target="https://doi.org/10.2307/1467854" TargetMode="External" /><Relationship Type="http://schemas.openxmlformats.org/officeDocument/2006/relationships/hyperlink" Id="rId76" Target="https://doi.org/10.2307/1468175" TargetMode="External" /><Relationship Type="http://schemas.openxmlformats.org/officeDocument/2006/relationships/hyperlink" Id="rId60" Target="https://doi.org/10.2307/1942007" TargetMode="Externa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2018-09-13T18:50:32Z</dcterms:created>
  <dcterms:modified xsi:type="dcterms:W3CDTF">2018-09-13T18:50:32Z</dcterms:modified>
</cp:coreProperties>
</file>