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Thu Sep 6 12:03:03 2018 -0700</w:t>
      </w:r>
    </w:p>
    <w:p>
      <w:pPr>
        <w:pStyle w:val="Heading1"/>
      </w:pPr>
      <w:bookmarkStart w:id="23" w:name="abstract"/>
      <w:r>
        <w:t xml:space="preserve">Abstract</w:t>
      </w:r>
      <w:bookmarkEnd w:id="23"/>
    </w:p>
    <w:p>
      <w:pPr>
        <w:pStyle w:val="FirstParagraph"/>
      </w:pPr>
      <w:r>
        <w:t xml:space="preserve">A critical gap between the technical advances in the field of bioassessment and the advances needed to link the science with practitioners has impeded forward progress in managing ecological integrity of aquatic resources. Open science principles that seek to democratize science can effectively bridge the gap between researchers and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environmental monitoring programs that establishes a foundation of decisions for managing the ecological integrity of aquatic resources. Decades of research have supported the development of methods that use different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significant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Despite these gains, the ability of these tools to reach the management community and to positively affect environmental change is imbalanced relative to the information that is available through research and coordinated monitoring efforts</w:t>
      </w:r>
      <w:r>
        <w:t xml:space="preserve"> </w:t>
      </w:r>
      <w:r>
        <w:t xml:space="preserve">(Kuehne et al.</w:t>
      </w:r>
      <w:r>
        <w:t xml:space="preserve"> </w:t>
      </w:r>
      <w:hyperlink w:anchor="ref-Kuehne17">
        <w:r>
          <w:rPr>
            <w:rStyle w:val="Hyperlink"/>
          </w:rPr>
          <w:t xml:space="preserve">2017</w:t>
        </w:r>
      </w:hyperlink>
      <w:r>
        <w:t xml:space="preserve">)</w:t>
      </w:r>
      <w:r>
        <w:t xml:space="preserve">. Morever, existing methods may not be discoverable beyond specific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and can provide competing objectives from inconsistencies between research goals and the needs of practitioners</w:t>
      </w:r>
      <w:r>
        <w:t xml:space="preserve"> </w:t>
      </w:r>
      <w:r>
        <w:t xml:space="preserve">(Stein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Environmental managers require additional tools that synthesize bioassessment information and bridge the gap between method and application.</w:t>
      </w:r>
    </w:p>
    <w:p>
      <w:pPr>
        <w:pStyle w:val="BodyText"/>
      </w:pPr>
      <w:r>
        <w:t xml:space="preserve">The development of bioassessment tools has for decades focused on addressing technical challenges, rather than implementation challenges of integrating methods with management, conservation, or policy</w:t>
      </w:r>
      <w:r>
        <w:t xml:space="preserve"> </w:t>
      </w:r>
      <w:r>
        <w:t xml:space="preserve">(Dale and Beyeler</w:t>
      </w:r>
      <w:r>
        <w:t xml:space="preserve"> </w:t>
      </w:r>
      <w:hyperlink w:anchor="ref-Dale01">
        <w:r>
          <w:rPr>
            <w:rStyle w:val="Hyperlink"/>
          </w:rPr>
          <w:t xml:space="preserve">2001</w:t>
        </w:r>
      </w:hyperlink>
      <w:r>
        <w:t xml:space="preserve">; Kuehne et al.</w:t>
      </w:r>
      <w:r>
        <w:t xml:space="preserve"> </w:t>
      </w:r>
      <w:hyperlink w:anchor="ref-Kuehne17">
        <w:r>
          <w:rPr>
            <w:rStyle w:val="Hyperlink"/>
          </w:rPr>
          <w:t xml:space="preserve">2017</w:t>
        </w:r>
      </w:hyperlink>
      <w:r>
        <w:t xml:space="preserve">)</w:t>
      </w:r>
      <w:r>
        <w:t xml:space="preserve">. Legal mandates to assess biological condition have set a precedent for developing bioassessment methods in the United States (Clean Water Act), Canada (Canada Waters Act), and Europe (Water Framework Directive). Basic research to address broad legislative objectives has historically focused on identifying which biological components respond predictably to environmental change, how these components can be measured with minimum uncertainty relative to natural environmental variation, and what basis of comparison is used to evaluate relative changes between communities. Most bioassessment indices developed at the assemblage-level are characterized as either multimetric, such as the index of biotic integrity, or multivariate where condition is assessed using ratios of observed and expected taxa. The reference-condition approach also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methods.</w:t>
      </w:r>
    </w:p>
    <w:p>
      <w:pPr>
        <w:pStyle w:val="BodyText"/>
      </w:pPr>
      <w:r>
        <w:t xml:space="preserve">Bioassessment has matured to the point where researchers have many options for developing methods to apply in novel contexts. The prevalence of best practices in bioassessment studies has increased over the past few decades</w:t>
      </w:r>
      <w:r>
        <w:t xml:space="preserve"> </w:t>
      </w:r>
      <w:r>
        <w:t xml:space="preserve">(Kuehne et al.</w:t>
      </w:r>
      <w:r>
        <w:t xml:space="preserve"> </w:t>
      </w:r>
      <w:hyperlink w:anchor="ref-Kuehne17">
        <w:r>
          <w:rPr>
            <w:rStyle w:val="Hyperlink"/>
          </w:rPr>
          <w:t xml:space="preserve">2017</w:t>
        </w:r>
      </w:hyperlink>
      <w:r>
        <w:t xml:space="preserve">)</w:t>
      </w:r>
      <w:r>
        <w:t xml:space="preserve">, including use of the reference condition approach and methods that separate anthropogenic impacts from natural variability. New assessment tools can also be developed using readily available technical support documents or national protocols that synthesize the body of research and best practices to date</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This has in part contributed to the proliferation of hundreds of assessment methods that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Although there are logistical and ecological rationale for why location- and taxa-specific methods are needed,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Morever,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Characterizing how an index could be used in practice to inform decisions and prioritize management actions is often opaque relative to why an index may have been originally developed.</w:t>
      </w:r>
    </w:p>
    <w:p>
      <w:pPr>
        <w:pStyle w:val="BodyText"/>
      </w:pPr>
      <w:r>
        <w:t xml:space="preserve">The explicit link to environmental management distinguishes bioassessment from others field of ecological study. Although bioassessment can and has been used to inform basic research, the intended use of these tools is strictly applied, often through legal definitions and requirements. An argument can be made that an index is only as valuable as its level of integration with management and regulatory communities. Analyses and outputs of bioassessments products will have limited use if they do not meet the needs of these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into a regulatory framework, e.g., TMDL reporting, permitting, etc. If federal approval is a rough assessment of index efficacy, a tremendous imbalance exists between the methods developed and those that are federally approved for regulatory use. A recent review of assessment methods for ecological integrity in the US showed that only 24% were related to any specific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that are actively used, a more problematic issue is the manner of application within standard regulatory frameworks. Biological indices are typically used to develop post-hoc diagnoses that are routinely used to trigger remediative or restoration actions, or at best serve as early warning indicators</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pro-actively guide planning decisions, such as identifying conservation priorities, could greatly extend the reach of tools that have already been developed.</w:t>
      </w:r>
    </w:p>
    <w:p>
      <w:pPr>
        <w:pStyle w:val="BodyText"/>
      </w:pPr>
      <w:r>
        <w:t xml:space="preserve">Bioassessment currently suffers from an excess of information and a lack of integration. Forward progress in protecting and restorating ecological integrity will not be made unless this information meets the needs of the management community. A new mode of operation is needed whereby method development is open and transparent and methods are discoverable and reproducible. Most importantly, information transfer to the management community must be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these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seen open science permeate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empower the research and management community to embrace open science as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and-what-they-mean-for-bioassessment"/>
      <w:r>
        <w:t xml:space="preserve">Principles of open science and what they mean for bioassessment</w:t>
      </w:r>
      <w:bookmarkEnd w:id="25"/>
    </w:p>
    <w:p>
      <w:pPr>
        <w:pStyle w:val="FirstParagraph"/>
      </w:pPr>
      <w:r>
        <w:t xml:space="preserve">Conventional modes of creating scientific products and more contemporary approaches that align with open science principles share the same goals. Both approaches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that have been facilitated by the Internet and computer science. As a result, the open science approach enhances all aspects the scientific process from idea conception to delivery and longevity of the research result.</w:t>
      </w:r>
    </w:p>
    <w:p>
      <w:pPr>
        <w:pStyle w:val="BodyText"/>
      </w:pPr>
      <w:r>
        <w:t xml:space="preserve">The paradigm of the scientific paper as the final research product inhibits forward progress for several reasons, particularly so in the applied sciences. Traditionally, the research paper was viewed as a communication tool to report and share results among peers in the scientific community. Researchers could access periodicals to stay informed of advances in the field and use the information to replicate methods for follow-up analysis. Scientific communities have successfully followed this model for centuries. Although the primary literature continues to provide these fundamental services, this workflow fails to facilitate progress when scientific products are developed to serve interests outside of the research community. The paper as a research endpoint for environmental managers fails to deliver tools that are easily accessible from the practitioners perspective, both in application and interpretation. Inclusion of the applied audience at the terminal end of the research process has routinely been exposed as an ineffective mechanism to engage the managment and policy communities with science. Many scientists and even research institutions that serve the public fail to realize that publishing a paper is rarely sufficient to affect environmental change. Practitioners are more likely to view a research paper as a rubber stamp from within the scientific community that lends credibility to a result. It does not provide a mechanism for engaging those that actively seek to benefit from decisions based on scientific evidence.</w:t>
      </w:r>
    </w:p>
    <w:p>
      <w:pPr>
        <w:pStyle w:val="BodyText"/>
      </w:pPr>
      <w:r>
        <w:t xml:space="preserve">The open science approach is best conceptualized by placing the scientist in the role of data steward rather than data owner. This mode of thinking places the scientist in a position where data are treated as a living product rather than proprietary and serving only the needs of an immediate research goal.</w:t>
      </w:r>
    </w:p>
    <w:p>
      <w:pPr>
        <w:pStyle w:val="BodyText"/>
      </w:pPr>
      <w:r>
        <w:t xml:space="preserve">Use Bond-Lamberty as example, more than just the paper as final product</w:t>
      </w:r>
      <w:r>
        <w:t xml:space="preserve"> </w:t>
      </w:r>
      <w:r>
        <w:t xml:space="preserve">Fox and Hendler about data viz - similar paradigm where the static plot as not the final product</w:t>
      </w:r>
    </w:p>
    <w:p>
      <w:pPr>
        <w:pStyle w:val="BodyText"/>
      </w:pPr>
      <w:r>
        <w:t xml:space="preserve">Ecology and bioassessment by extension have not adopted these tools because modes of communication that are intrinsically linked to subjet matter in other fields, such as computer science, are not common.</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6" w:name="california-examples"/>
      <w:r>
        <w:t xml:space="preserve">California examples</w:t>
      </w:r>
      <w:bookmarkEnd w:id="26"/>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7">
        <w:r>
          <w:rPr>
            <w:rStyle w:val="Hyperlink"/>
          </w:rPr>
          <w:t xml:space="preserve">press release</w:t>
        </w:r>
      </w:hyperlink>
      <w:r>
        <w:t xml:space="preserve">,</w:t>
      </w:r>
      <w:r>
        <w:t xml:space="preserve"> </w:t>
      </w:r>
      <w:hyperlink r:id="rId28">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29" w:name="challenges-and-recommendations-for-bioassessment"/>
      <w:r>
        <w:t xml:space="preserve">Challenges and recommendations for bioassessment</w:t>
      </w:r>
      <w:bookmarkEnd w:id="29"/>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0" w:name="references"/>
      <w:r>
        <w:t xml:space="preserve">References</w:t>
      </w:r>
      <w:bookmarkEnd w:id="30"/>
    </w:p>
    <w:bookmarkStart w:id="75" w:name="refs"/>
    <w:bookmarkStart w:id="31"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1"/>
    <w:bookmarkStart w:id="33"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2">
        <w:r>
          <w:rPr>
            <w:rStyle w:val="Hyperlink"/>
          </w:rPr>
          <w:t xml:space="preserve">https://doi.org/10.1139/A09-001</w:t>
        </w:r>
      </w:hyperlink>
      <w:r>
        <w:t xml:space="preserve">.</w:t>
      </w:r>
    </w:p>
    <w:bookmarkEnd w:id="33"/>
    <w:bookmarkStart w:id="35"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4">
        <w:r>
          <w:rPr>
            <w:rStyle w:val="Hyperlink"/>
          </w:rPr>
          <w:t xml:space="preserve">https://doi.org/10.1016/j.ecolind.2011.10.009</w:t>
        </w:r>
      </w:hyperlink>
      <w:r>
        <w:t xml:space="preserve">.</w:t>
      </w:r>
    </w:p>
    <w:bookmarkEnd w:id="35"/>
    <w:bookmarkStart w:id="36"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36"/>
    <w:bookmarkStart w:id="38"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37">
        <w:r>
          <w:rPr>
            <w:rStyle w:val="Hyperlink"/>
          </w:rPr>
          <w:t xml:space="preserve">https://doi.org/10.1899/10-067.1</w:t>
        </w:r>
      </w:hyperlink>
      <w:r>
        <w:t xml:space="preserve">.</w:t>
      </w:r>
    </w:p>
    <w:bookmarkEnd w:id="38"/>
    <w:bookmarkStart w:id="40"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39">
        <w:r>
          <w:rPr>
            <w:rStyle w:val="Hyperlink"/>
          </w:rPr>
          <w:t xml:space="preserve">https://doi.org/10.1111/jvs.12459</w:t>
        </w:r>
      </w:hyperlink>
      <w:r>
        <w:t xml:space="preserve">.</w:t>
      </w:r>
    </w:p>
    <w:bookmarkEnd w:id="40"/>
    <w:bookmarkStart w:id="42"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1">
        <w:r>
          <w:rPr>
            <w:rStyle w:val="Hyperlink"/>
          </w:rPr>
          <w:t xml:space="preserve">https://doi.org/10.1016/S1470-160X(01)00003-6</w:t>
        </w:r>
      </w:hyperlink>
      <w:r>
        <w:t xml:space="preserve">.</w:t>
      </w:r>
    </w:p>
    <w:bookmarkEnd w:id="42"/>
    <w:bookmarkStart w:id="44"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3">
        <w:r>
          <w:rPr>
            <w:rStyle w:val="Hyperlink"/>
          </w:rPr>
          <w:t xml:space="preserve">https://doi.org/10.1046/j.1365-2427.2002.00948.x</w:t>
        </w:r>
      </w:hyperlink>
      <w:r>
        <w:t xml:space="preserve">.</w:t>
      </w:r>
    </w:p>
    <w:bookmarkEnd w:id="44"/>
    <w:bookmarkStart w:id="46"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45">
        <w:r>
          <w:rPr>
            <w:rStyle w:val="Hyperlink"/>
          </w:rPr>
          <w:t xml:space="preserve">https://doi.org/10.1890/ES14-00402.1</w:t>
        </w:r>
      </w:hyperlink>
      <w:r>
        <w:t xml:space="preserve">.</w:t>
      </w:r>
    </w:p>
    <w:bookmarkEnd w:id="46"/>
    <w:bookmarkStart w:id="48"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47">
        <w:r>
          <w:rPr>
            <w:rStyle w:val="Hyperlink"/>
          </w:rPr>
          <w:t xml:space="preserve">https://doi.org/10.1890/120103</w:t>
        </w:r>
      </w:hyperlink>
      <w:r>
        <w:t xml:space="preserve">.</w:t>
      </w:r>
    </w:p>
    <w:bookmarkEnd w:id="48"/>
    <w:bookmarkStart w:id="50"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49">
        <w:r>
          <w:rPr>
            <w:rStyle w:val="Hyperlink"/>
          </w:rPr>
          <w:t xml:space="preserve">https://doi.org/10.1016/j.scitotenv.2010.05.031</w:t>
        </w:r>
      </w:hyperlink>
      <w:r>
        <w:t xml:space="preserve">.</w:t>
      </w:r>
    </w:p>
    <w:bookmarkEnd w:id="50"/>
    <w:bookmarkStart w:id="52"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51">
        <w:r>
          <w:rPr>
            <w:rStyle w:val="Hyperlink"/>
          </w:rPr>
          <w:t xml:space="preserve">https://doi.org/10.1093/beheco/arx003</w:t>
        </w:r>
      </w:hyperlink>
      <w:r>
        <w:t xml:space="preserve">.</w:t>
      </w:r>
    </w:p>
    <w:bookmarkEnd w:id="52"/>
    <w:bookmarkStart w:id="53"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53"/>
    <w:bookmarkStart w:id="55"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54">
        <w:r>
          <w:rPr>
            <w:rStyle w:val="Hyperlink"/>
          </w:rPr>
          <w:t xml:space="preserve">https://doi.org/10.1016/j.scitotenv.2016.02.024</w:t>
        </w:r>
      </w:hyperlink>
      <w:r>
        <w:t xml:space="preserve">.</w:t>
      </w:r>
    </w:p>
    <w:bookmarkEnd w:id="55"/>
    <w:bookmarkStart w:id="57"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56">
        <w:r>
          <w:rPr>
            <w:rStyle w:val="Hyperlink"/>
          </w:rPr>
          <w:t xml:space="preserve">https://doi.org/10.2307/1942007</w:t>
        </w:r>
      </w:hyperlink>
      <w:r>
        <w:t xml:space="preserve">.</w:t>
      </w:r>
    </w:p>
    <w:bookmarkEnd w:id="57"/>
    <w:bookmarkStart w:id="59"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58">
        <w:r>
          <w:rPr>
            <w:rStyle w:val="Hyperlink"/>
          </w:rPr>
          <w:t xml:space="preserve">https://doi.org/10.1002/fee.1483</w:t>
        </w:r>
      </w:hyperlink>
      <w:r>
        <w:t xml:space="preserve">.</w:t>
      </w:r>
    </w:p>
    <w:bookmarkEnd w:id="59"/>
    <w:bookmarkStart w:id="61"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60">
        <w:r>
          <w:rPr>
            <w:rStyle w:val="Hyperlink"/>
          </w:rPr>
          <w:t xml:space="preserve">https://doi.org/10.1038/s41559-017-0160</w:t>
        </w:r>
      </w:hyperlink>
      <w:r>
        <w:t xml:space="preserve">.</w:t>
      </w:r>
    </w:p>
    <w:bookmarkEnd w:id="61"/>
    <w:bookmarkStart w:id="63"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62">
        <w:r>
          <w:rPr>
            <w:rStyle w:val="Hyperlink"/>
          </w:rPr>
          <w:t xml:space="preserve">https://doi.org/10.17605/OSF.IO/3D6XX</w:t>
        </w:r>
      </w:hyperlink>
      <w:r>
        <w:t xml:space="preserve">.</w:t>
      </w:r>
    </w:p>
    <w:bookmarkEnd w:id="63"/>
    <w:bookmarkStart w:id="64"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64"/>
    <w:bookmarkStart w:id="66"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65">
        <w:r>
          <w:rPr>
            <w:rStyle w:val="Hyperlink"/>
          </w:rPr>
          <w:t xml:space="preserve">https://doi.org/10.1071/MF15329</w:t>
        </w:r>
      </w:hyperlink>
      <w:r>
        <w:t xml:space="preserve">.</w:t>
      </w:r>
    </w:p>
    <w:bookmarkEnd w:id="66"/>
    <w:bookmarkStart w:id="67"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67"/>
    <w:bookmarkStart w:id="69"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68">
        <w:r>
          <w:rPr>
            <w:rStyle w:val="Hyperlink"/>
          </w:rPr>
          <w:t xml:space="preserve">https://doi.org/10.2307/1468175</w:t>
        </w:r>
      </w:hyperlink>
      <w:r>
        <w:t xml:space="preserve">.</w:t>
      </w:r>
    </w:p>
    <w:bookmarkEnd w:id="69"/>
    <w:bookmarkStart w:id="70"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70"/>
    <w:bookmarkStart w:id="72"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71">
        <w:r>
          <w:rPr>
            <w:rStyle w:val="Hyperlink"/>
          </w:rPr>
          <w:t xml:space="preserve">https://doi.org/10.1899/08-053.1</w:t>
        </w:r>
      </w:hyperlink>
      <w:r>
        <w:t xml:space="preserve">.</w:t>
      </w:r>
    </w:p>
    <w:bookmarkEnd w:id="72"/>
    <w:bookmarkStart w:id="74"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73">
        <w:r>
          <w:rPr>
            <w:rStyle w:val="Hyperlink"/>
          </w:rPr>
          <w:t xml:space="preserve">https://doi.org/10.1890/1051-0761(2006)016[1267:SEFTEC]2.0.CO;2</w:t>
        </w:r>
      </w:hyperlink>
      <w:r>
        <w:t xml:space="preserve">.</w:t>
      </w:r>
    </w:p>
    <w:bookmarkEnd w:id="74"/>
    <w:bookmarkEnd w:id="7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8" Target="https://doi.org/10.1002/fee.1483" TargetMode="External" /><Relationship Type="http://schemas.openxmlformats.org/officeDocument/2006/relationships/hyperlink" Id="rId41" Target="https://doi.org/10.1016/S1470-160X(01)00003-6" TargetMode="External" /><Relationship Type="http://schemas.openxmlformats.org/officeDocument/2006/relationships/hyperlink" Id="rId34" Target="https://doi.org/10.1016/j.ecolind.2011.10.009" TargetMode="External" /><Relationship Type="http://schemas.openxmlformats.org/officeDocument/2006/relationships/hyperlink" Id="rId49" Target="https://doi.org/10.1016/j.scitotenv.2010.05.031" TargetMode="External" /><Relationship Type="http://schemas.openxmlformats.org/officeDocument/2006/relationships/hyperlink" Id="rId54" Target="https://doi.org/10.1016/j.scitotenv.2016.02.024" TargetMode="External" /><Relationship Type="http://schemas.openxmlformats.org/officeDocument/2006/relationships/hyperlink" Id="rId60" Target="https://doi.org/10.1038/s41559-017-0160" TargetMode="External" /><Relationship Type="http://schemas.openxmlformats.org/officeDocument/2006/relationships/hyperlink" Id="rId43" Target="https://doi.org/10.1046/j.1365-2427.2002.00948.x" TargetMode="External" /><Relationship Type="http://schemas.openxmlformats.org/officeDocument/2006/relationships/hyperlink" Id="rId65" Target="https://doi.org/10.1071/MF15329" TargetMode="External" /><Relationship Type="http://schemas.openxmlformats.org/officeDocument/2006/relationships/hyperlink" Id="rId51" Target="https://doi.org/10.1093/beheco/arx003" TargetMode="External" /><Relationship Type="http://schemas.openxmlformats.org/officeDocument/2006/relationships/hyperlink" Id="rId39" Target="https://doi.org/10.1111/jvs.12459" TargetMode="External" /><Relationship Type="http://schemas.openxmlformats.org/officeDocument/2006/relationships/hyperlink" Id="rId32" Target="https://doi.org/10.1139/A09-001" TargetMode="External" /><Relationship Type="http://schemas.openxmlformats.org/officeDocument/2006/relationships/hyperlink" Id="rId62" Target="https://doi.org/10.17605/OSF.IO/3D6XX" TargetMode="External" /><Relationship Type="http://schemas.openxmlformats.org/officeDocument/2006/relationships/hyperlink" Id="rId73" Target="https://doi.org/10.1890/1051-0761(2006)016[1267:SEFTEC]2.0.CO;2" TargetMode="External" /><Relationship Type="http://schemas.openxmlformats.org/officeDocument/2006/relationships/hyperlink" Id="rId47" Target="https://doi.org/10.1890/120103" TargetMode="External" /><Relationship Type="http://schemas.openxmlformats.org/officeDocument/2006/relationships/hyperlink" Id="rId45" Target="https://doi.org/10.1890/ES14-00402.1" TargetMode="External" /><Relationship Type="http://schemas.openxmlformats.org/officeDocument/2006/relationships/hyperlink" Id="rId71" Target="https://doi.org/10.1899/08-053.1" TargetMode="External" /><Relationship Type="http://schemas.openxmlformats.org/officeDocument/2006/relationships/hyperlink" Id="rId37" Target="https://doi.org/10.1899/10-067.1" TargetMode="External" /><Relationship Type="http://schemas.openxmlformats.org/officeDocument/2006/relationships/hyperlink" Id="rId68" Target="https://doi.org/10.2307/1468175" TargetMode="External" /><Relationship Type="http://schemas.openxmlformats.org/officeDocument/2006/relationships/hyperlink" Id="rId56" Target="https://doi.org/10.2307/1942007" TargetMode="Externa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2/fee.1483" TargetMode="External" /><Relationship Type="http://schemas.openxmlformats.org/officeDocument/2006/relationships/hyperlink" Id="rId41" Target="https://doi.org/10.1016/S1470-160X(01)00003-6" TargetMode="External" /><Relationship Type="http://schemas.openxmlformats.org/officeDocument/2006/relationships/hyperlink" Id="rId34" Target="https://doi.org/10.1016/j.ecolind.2011.10.009" TargetMode="External" /><Relationship Type="http://schemas.openxmlformats.org/officeDocument/2006/relationships/hyperlink" Id="rId49" Target="https://doi.org/10.1016/j.scitotenv.2010.05.031" TargetMode="External" /><Relationship Type="http://schemas.openxmlformats.org/officeDocument/2006/relationships/hyperlink" Id="rId54" Target="https://doi.org/10.1016/j.scitotenv.2016.02.024" TargetMode="External" /><Relationship Type="http://schemas.openxmlformats.org/officeDocument/2006/relationships/hyperlink" Id="rId60" Target="https://doi.org/10.1038/s41559-017-0160" TargetMode="External" /><Relationship Type="http://schemas.openxmlformats.org/officeDocument/2006/relationships/hyperlink" Id="rId43" Target="https://doi.org/10.1046/j.1365-2427.2002.00948.x" TargetMode="External" /><Relationship Type="http://schemas.openxmlformats.org/officeDocument/2006/relationships/hyperlink" Id="rId65" Target="https://doi.org/10.1071/MF15329" TargetMode="External" /><Relationship Type="http://schemas.openxmlformats.org/officeDocument/2006/relationships/hyperlink" Id="rId51" Target="https://doi.org/10.1093/beheco/arx003" TargetMode="External" /><Relationship Type="http://schemas.openxmlformats.org/officeDocument/2006/relationships/hyperlink" Id="rId39" Target="https://doi.org/10.1111/jvs.12459" TargetMode="External" /><Relationship Type="http://schemas.openxmlformats.org/officeDocument/2006/relationships/hyperlink" Id="rId32" Target="https://doi.org/10.1139/A09-001" TargetMode="External" /><Relationship Type="http://schemas.openxmlformats.org/officeDocument/2006/relationships/hyperlink" Id="rId62" Target="https://doi.org/10.17605/OSF.IO/3D6XX" TargetMode="External" /><Relationship Type="http://schemas.openxmlformats.org/officeDocument/2006/relationships/hyperlink" Id="rId73" Target="https://doi.org/10.1890/1051-0761(2006)016[1267:SEFTEC]2.0.CO;2" TargetMode="External" /><Relationship Type="http://schemas.openxmlformats.org/officeDocument/2006/relationships/hyperlink" Id="rId47" Target="https://doi.org/10.1890/120103" TargetMode="External" /><Relationship Type="http://schemas.openxmlformats.org/officeDocument/2006/relationships/hyperlink" Id="rId45" Target="https://doi.org/10.1890/ES14-00402.1" TargetMode="External" /><Relationship Type="http://schemas.openxmlformats.org/officeDocument/2006/relationships/hyperlink" Id="rId71" Target="https://doi.org/10.1899/08-053.1" TargetMode="External" /><Relationship Type="http://schemas.openxmlformats.org/officeDocument/2006/relationships/hyperlink" Id="rId37" Target="https://doi.org/10.1899/10-067.1" TargetMode="External" /><Relationship Type="http://schemas.openxmlformats.org/officeDocument/2006/relationships/hyperlink" Id="rId68" Target="https://doi.org/10.2307/1468175" TargetMode="External" /><Relationship Type="http://schemas.openxmlformats.org/officeDocument/2006/relationships/hyperlink" Id="rId56" Target="https://doi.org/10.2307/1942007" TargetMode="Externa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biological assessment</dc:title>
  <dc:creator>Marcus W. Beck (marcusb@sccwrp.org), Raphael D. Mazor (raphaelm@sccwrp.org), Susanna T. Theroux (susannat@sccwrp.org)</dc:creator>
  <cp:keywords/>
  <dcterms:created xsi:type="dcterms:W3CDTF">2018-09-07T18:59:42Z</dcterms:created>
  <dcterms:modified xsi:type="dcterms:W3CDTF">2018-09-07T18:59:42Z</dcterms:modified>
</cp:coreProperties>
</file>