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r>
        <w:t xml:space="preserve"> </w:t>
      </w:r>
      <w:r>
        <w:t xml:space="preserve">-</w:t>
      </w:r>
      <w:r>
        <w:t xml:space="preserve"> </w:t>
      </w:r>
      <w:r>
        <w:t xml:space="preserve">outline</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Compact"/>
        <w:numPr>
          <w:numId w:val="1001"/>
          <w:ilvl w:val="0"/>
        </w:numPr>
      </w:pPr>
      <w:r>
        <w:t xml:space="preserve">Overview of the open science process – follow Hampton paradigm, distinguish between benefits for the researcher vs research institution vs stakeholder/managers</w:t>
      </w:r>
    </w:p>
    <w:p>
      <w:pPr>
        <w:pStyle w:val="Compact"/>
        <w:numPr>
          <w:numId w:val="1002"/>
          <w:ilvl w:val="1"/>
        </w:numPr>
      </w:pPr>
      <w:r>
        <w:t xml:space="preserve">Use the report/manuscript as final product paradigm as old way of thinking</w:t>
      </w:r>
    </w:p>
    <w:p>
      <w:pPr>
        <w:pStyle w:val="Compact"/>
        <w:numPr>
          <w:numId w:val="1002"/>
          <w:ilvl w:val="1"/>
        </w:numPr>
      </w:pPr>
      <w:r>
        <w:t xml:space="preserve">Nielsen def of open science cited in hampton</w:t>
      </w:r>
    </w:p>
    <w:p>
      <w:pPr>
        <w:pStyle w:val="Compact"/>
        <w:numPr>
          <w:numId w:val="1002"/>
          <w:ilvl w:val="1"/>
        </w:numPr>
      </w:pPr>
      <w:r>
        <w:t xml:space="preserve">A philosophy and set of tools that can democratize scientific analysis by making data and analyses more accessible</w:t>
      </w:r>
    </w:p>
    <w:p>
      <w:pPr>
        <w:pStyle w:val="Compact"/>
        <w:numPr>
          <w:numId w:val="1002"/>
          <w:ilvl w:val="1"/>
        </w:numPr>
      </w:pPr>
      <w:r>
        <w:t xml:space="preserve">Emphasis on reproducibility, transparency, communication, and longevity, researchers as data stewards not owners</w:t>
      </w:r>
    </w:p>
    <w:p>
      <w:pPr>
        <w:pStyle w:val="Compact"/>
        <w:numPr>
          <w:numId w:val="1002"/>
          <w:ilvl w:val="1"/>
        </w:numPr>
      </w:pPr>
      <w:r>
        <w:t xml:space="preserve">Embraces all aspects of a project from idea conception to delivery of final products, implications for bioassessment</w:t>
      </w:r>
    </w:p>
    <w:p>
      <w:pPr>
        <w:pStyle w:val="Compact"/>
        <w:numPr>
          <w:numId w:val="1002"/>
          <w:ilvl w:val="1"/>
        </w:numPr>
      </w:pPr>
      <w:r>
        <w:t xml:space="preserve">Overall, encourages collaboration and access to/sharing of data</w:t>
      </w:r>
    </w:p>
    <w:p>
      <w:pPr>
        <w:pStyle w:val="Compact"/>
        <w:numPr>
          <w:numId w:val="1001"/>
          <w:ilvl w:val="0"/>
        </w:numPr>
      </w:pPr>
      <w:r>
        <w:t xml:space="preserve">Why is open science particularly relevant for bioassessment?</w:t>
      </w:r>
    </w:p>
    <w:p>
      <w:pPr>
        <w:pStyle w:val="Compact"/>
        <w:numPr>
          <w:numId w:val="1003"/>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3"/>
          <w:ilvl w:val="1"/>
        </w:numPr>
      </w:pPr>
      <w:r>
        <w:t xml:space="preserve">data are publicly funded, typically, so legal/moral mandates necessitate open analysis, see Molloy 2011 for UK example</w:t>
      </w:r>
    </w:p>
    <w:p>
      <w:pPr>
        <w:pStyle w:val="Compact"/>
        <w:numPr>
          <w:numId w:val="1003"/>
          <w:ilvl w:val="1"/>
        </w:numPr>
      </w:pPr>
      <w:r>
        <w:t xml:space="preserve">Multiple methods have been developed, an important component of open science is data discovery. Making methods open and transparent can facilitate synthesis and meta-analysis</w:t>
      </w:r>
    </w:p>
    <w:p>
      <w:pPr>
        <w:pStyle w:val="Compact"/>
        <w:numPr>
          <w:numId w:val="1003"/>
          <w:ilvl w:val="1"/>
        </w:numPr>
      </w:pPr>
      <w:r>
        <w:t xml:space="preserve">Data used for bioassessment methods are typically not the</w:t>
      </w:r>
      <w:r>
        <w:t xml:space="preserve"> </w:t>
      </w:r>
      <w:r>
        <w:t xml:space="preserve">“</w:t>
      </w:r>
      <w:r>
        <w:t xml:space="preserve">long-tail</w:t>
      </w:r>
      <w:r>
        <w:t xml:space="preserve">”</w:t>
      </w:r>
      <w:r>
        <w:t xml:space="preserve"> </w:t>
      </w:r>
      <w:r>
        <w:t xml:space="preserve">of the ecological sciences, i.e., the carefully collected observational data meant to address specific research questions. Scientists in the long-tail are potentially more relucant to adopt open-science because of the perception of less benefit to making the data open. This suggests that bioassessment datasets and associated methods are inherently more likely to benefit from openness because more widespread appeal. Conversely, the long-tail datasets individually may not have broad relevance but collectively could serve larger purposes, some countries have abandonated national-scale coordinated monitoring efforts in favor localized sampling (Nichols et al. 2016)</w:t>
      </w:r>
    </w:p>
    <w:p>
      <w:pPr>
        <w:pStyle w:val="Compact"/>
        <w:numPr>
          <w:numId w:val="1001"/>
          <w:ilvl w:val="0"/>
        </w:numPr>
      </w:pPr>
      <w:r>
        <w:t xml:space="preserve">Aspects of the process that can benefit bioassessment</w:t>
      </w:r>
    </w:p>
    <w:p>
      <w:pPr>
        <w:pStyle w:val="Compact"/>
        <w:numPr>
          <w:numId w:val="1004"/>
          <w:ilvl w:val="1"/>
        </w:numPr>
      </w:pPr>
      <w:r>
        <w:t xml:space="preserve">Data provenance and open data</w:t>
      </w:r>
    </w:p>
    <w:p>
      <w:pPr>
        <w:pStyle w:val="Compact"/>
        <w:numPr>
          <w:numId w:val="1004"/>
          <w:ilvl w:val="1"/>
        </w:numPr>
      </w:pPr>
      <w:r>
        <w:t xml:space="preserve">Method development – existing software packages to facilitate</w:t>
      </w:r>
    </w:p>
    <w:p>
      <w:pPr>
        <w:pStyle w:val="Compact"/>
        <w:numPr>
          <w:numId w:val="1004"/>
          <w:ilvl w:val="1"/>
        </w:numPr>
      </w:pPr>
      <w:r>
        <w:t xml:space="preserve">Method delivery –</w:t>
      </w:r>
    </w:p>
    <w:p>
      <w:pPr>
        <w:pStyle w:val="Compact"/>
        <w:numPr>
          <w:numId w:val="1005"/>
          <w:ilvl w:val="2"/>
        </w:numPr>
      </w:pPr>
      <w:r>
        <w:t xml:space="preserve">portable packages and data visualization, emphasis on interactive online tools: Zastrow 2015 describes power of interactive mapping, Kelling et al. 2009 describe data-intensive approaches for biodiveristy to identify patterns born from the data and data viz is one approach, Fox and Hendler 2011 emphasize viz as part of analysis process not as end-product, the case for open computer programs described by Ince et al. 2012 emphasizes the type of problem present in bioassessment - all methods should be complementary with a software packgae as supplement to the primary document</w:t>
      </w:r>
    </w:p>
    <w:p>
      <w:pPr>
        <w:pStyle w:val="Compact"/>
        <w:numPr>
          <w:numId w:val="1005"/>
          <w:ilvl w:val="2"/>
        </w:numPr>
      </w:pPr>
      <w:r>
        <w:t xml:space="preserve">Communication within collaborative teadm and management community, Kelling et al. 2009</w:t>
      </w:r>
    </w:p>
    <w:p>
      <w:pPr>
        <w:pStyle w:val="Compact"/>
        <w:numPr>
          <w:numId w:val="1001"/>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3" w:name="california-examples"/>
      <w:r>
        <w:t xml:space="preserve">California examples</w:t>
      </w:r>
      <w:bookmarkEnd w:id="23"/>
    </w:p>
    <w:p>
      <w:pPr>
        <w:pStyle w:val="Compact"/>
        <w:numPr>
          <w:numId w:val="1006"/>
          <w:ilvl w:val="0"/>
        </w:numPr>
      </w:pPr>
      <w:r>
        <w:t xml:space="preserve">Example approach</w:t>
      </w:r>
    </w:p>
    <w:p>
      <w:pPr>
        <w:pStyle w:val="Compact"/>
        <w:numPr>
          <w:numId w:val="1007"/>
          <w:ilvl w:val="1"/>
        </w:numPr>
      </w:pPr>
      <w:r>
        <w:t xml:space="preserve">What is the legal/policy framework for supporting/impeding open science in CA? Are we living up to our aspirations?</w:t>
      </w:r>
    </w:p>
    <w:p>
      <w:pPr>
        <w:pStyle w:val="Compact"/>
        <w:numPr>
          <w:numId w:val="1008"/>
          <w:ilvl w:val="2"/>
        </w:numPr>
      </w:pPr>
      <w:r>
        <w:t xml:space="preserve">On July 10, 2018 the The State Water Resources Control Board</w:t>
      </w:r>
      <w:r>
        <w:t xml:space="preserve"> </w:t>
      </w:r>
      <w:r>
        <w:t xml:space="preserve">“</w:t>
      </w:r>
      <w:r>
        <w:t xml:space="preserve">adopted a resolution on</w:t>
      </w:r>
      <w:r>
        <w:t xml:space="preserve"> </w:t>
      </w:r>
      <w:r>
        <w:t xml:space="preserve">open data principles committing it and the Regional Water Boards to providing broader access</w:t>
      </w:r>
      <w:r>
        <w:t xml:space="preserve"> </w:t>
      </w:r>
      <w:r>
        <w:t xml:space="preserve">to the data used to make local, regional and statewide water management and regulatory</w:t>
      </w:r>
      <w:r>
        <w:t xml:space="preserve"> </w:t>
      </w:r>
      <w:r>
        <w:t xml:space="preserve">decisions in California.</w:t>
      </w:r>
      <w:r>
        <w:t xml:space="preserve">”</w:t>
      </w:r>
      <w:r>
        <w:t xml:space="preserve"> </w:t>
      </w:r>
      <w:hyperlink r:id="rId24">
        <w:r>
          <w:rPr>
            <w:rStyle w:val="Hyperlink"/>
          </w:rPr>
          <w:t xml:space="preserve">press release</w:t>
        </w:r>
      </w:hyperlink>
      <w:r>
        <w:t xml:space="preserve">,</w:t>
      </w:r>
      <w:r>
        <w:t xml:space="preserve"> </w:t>
      </w:r>
      <w:hyperlink r:id="rId25">
        <w:r>
          <w:rPr>
            <w:rStyle w:val="Hyperlink"/>
          </w:rPr>
          <w:t xml:space="preserve">resolution</w:t>
        </w:r>
      </w:hyperlink>
    </w:p>
    <w:p>
      <w:pPr>
        <w:pStyle w:val="Compact"/>
        <w:numPr>
          <w:numId w:val="1007"/>
          <w:ilvl w:val="1"/>
        </w:numPr>
      </w:pPr>
      <w:r>
        <w:t xml:space="preserve">AB 1755, Dodd. The Open and Transparent Water Data Act. Passed in 2016, requires state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and</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p>
    <w:p>
      <w:pPr>
        <w:pStyle w:val="Compact"/>
        <w:numPr>
          <w:numId w:val="1007"/>
          <w:ilvl w:val="1"/>
        </w:numPr>
      </w:pPr>
      <w:r>
        <w:t xml:space="preserve">The California vision – describe legal/policy demands for bioassessment, current methods developed, developing tools to link technical products with management</w:t>
      </w:r>
    </w:p>
    <w:p>
      <w:pPr>
        <w:pStyle w:val="Compact"/>
        <w:numPr>
          <w:numId w:val="1007"/>
          <w:ilvl w:val="1"/>
        </w:numPr>
      </w:pPr>
      <w:r>
        <w:t xml:space="preserve">Existing applications – assessment methods packaged as standalone applications complete with documentation, vignettes, versioning</w:t>
      </w:r>
    </w:p>
    <w:p>
      <w:pPr>
        <w:pStyle w:val="Compact"/>
        <w:numPr>
          <w:numId w:val="1007"/>
          <w:ilvl w:val="1"/>
        </w:numPr>
      </w:pPr>
      <w:r>
        <w:t xml:space="preserve">Bioassessment as proactive vs reactive – SCAPE for regulatory applications, SCAPE for conservation, other examples</w:t>
      </w:r>
    </w:p>
    <w:p>
      <w:pPr>
        <w:pStyle w:val="Heading1"/>
      </w:pPr>
      <w:bookmarkStart w:id="26" w:name="challenges-and-recommendations-for-bioassessment"/>
      <w:r>
        <w:t xml:space="preserve">Challenges and recommendations for bioassessment</w:t>
      </w:r>
      <w:bookmarkEnd w:id="26"/>
    </w:p>
    <w:p>
      <w:pPr>
        <w:pStyle w:val="Compact"/>
        <w:numPr>
          <w:numId w:val="1009"/>
          <w:ilvl w:val="0"/>
        </w:numPr>
      </w:pPr>
      <w:r>
        <w:t xml:space="preserve">Challenges for application</w:t>
      </w:r>
    </w:p>
    <w:p>
      <w:pPr>
        <w:pStyle w:val="Compact"/>
        <w:numPr>
          <w:numId w:val="1010"/>
          <w:ilvl w:val="1"/>
        </w:numPr>
      </w:pPr>
      <w:r>
        <w:t xml:space="preserve">Technical hurdles – technical and constantly expanding skillset is required, immediate returns difficult to see (e.g., for data sharing Hampton et al. 2015, need to find citation for learnign tech skills) - Ecology and bioassessment by extension have not adopted these tools because modes of communication that are intrinsically linked to subjet matter in other fields, such as computer science, are not common.</w:t>
      </w:r>
      <w:r>
        <w:br w:type="textWrapping"/>
      </w:r>
    </w:p>
    <w:p>
      <w:pPr>
        <w:pStyle w:val="Compact"/>
        <w:numPr>
          <w:numId w:val="1010"/>
          <w:ilvl w:val="1"/>
        </w:numPr>
      </w:pPr>
      <w:r>
        <w:t xml:space="preserve">Sociocultural hurdles – unwillingness to share hard-earned data (less so for bioassesssment than traditional ecology, but could be an issue), vulnerability to criticism (Lewandowsky and Bishop 2016 describe concerns of transparency leading to damage of scientific integrity)</w:t>
      </w:r>
    </w:p>
    <w:p>
      <w:pPr>
        <w:pStyle w:val="Compact"/>
        <w:numPr>
          <w:numId w:val="1010"/>
          <w:ilvl w:val="1"/>
        </w:numPr>
      </w:pPr>
      <w:r>
        <w:t xml:space="preserve">Institutional barriers – entrenched modes of operation can discourage novelty and exploration, no incentive for adoption</w:t>
      </w:r>
    </w:p>
    <w:p>
      <w:pPr>
        <w:pStyle w:val="Compact"/>
        <w:numPr>
          <w:numId w:val="1009"/>
          <w:ilvl w:val="0"/>
        </w:numPr>
      </w:pPr>
      <w:r>
        <w:t xml:space="preserve">The way forward</w:t>
      </w:r>
    </w:p>
    <w:p>
      <w:pPr>
        <w:pStyle w:val="Compact"/>
        <w:numPr>
          <w:numId w:val="1011"/>
          <w:ilvl w:val="1"/>
        </w:numPr>
      </w:pPr>
      <w:r>
        <w:t xml:space="preserve">The holy grail is widespread adoption of open science in bioassessment, but this will never be completely integrated, see challenges above</w:t>
      </w:r>
    </w:p>
    <w:p>
      <w:pPr>
        <w:pStyle w:val="Compact"/>
        <w:numPr>
          <w:numId w:val="1011"/>
          <w:ilvl w:val="1"/>
        </w:numPr>
      </w:pPr>
      <w:r>
        <w:t xml:space="preserve">Teaching as an approach – let the trainee become the trainer, Hampton et al. 2017 describes training initiatives to close the skill-transfer gap, Touchon and McCoy 2016 describe mismatch between grad programs and tech skills used in contemporary ecological analysis</w:t>
      </w:r>
    </w:p>
    <w:p>
      <w:pPr>
        <w:pStyle w:val="Compact"/>
        <w:numPr>
          <w:numId w:val="1011"/>
          <w:ilvl w:val="1"/>
        </w:numPr>
      </w:pPr>
      <w:r>
        <w:t xml:space="preserve">Who is likely to adopt? Cultivate adopters (researcher benefits, institution benefits, stakeholder benefits), work with non-adopters (institution benefits, stakeholder benefits)</w:t>
      </w:r>
    </w:p>
    <w:p>
      <w:pPr>
        <w:pStyle w:val="Compact"/>
        <w:numPr>
          <w:numId w:val="1011"/>
          <w:ilvl w:val="1"/>
        </w:numPr>
      </w:pPr>
      <w:r>
        <w:t xml:space="preserve">Roles for adopters, roles for non-adopters</w:t>
      </w:r>
    </w:p>
    <w:p>
      <w:pPr>
        <w:pStyle w:val="Compact"/>
        <w:numPr>
          <w:numId w:val="1011"/>
          <w:ilvl w:val="1"/>
        </w:numPr>
      </w:pPr>
      <w:r>
        <w:t xml:space="preserve">Development as an approach – roles for adopters, develop specialized software packages (require vetting, Borregard et al. 2016, could link in to new but existing pathways for review such as ROpenSci or peer review journals like the R Journal), Touchon and McCoy 2016 advocate for a role of adopters as specialists to facilitate collaboration with</w:t>
      </w:r>
      <w:r>
        <w:t xml:space="preserve"> </w:t>
      </w:r>
      <w:r>
        <w:t xml:space="preserve">“</w:t>
      </w:r>
      <w:r>
        <w:t xml:space="preserve">less quantitatively trained or interested students</w:t>
      </w:r>
      <w:r>
        <w:t xml:space="preserve">”</w:t>
      </w:r>
      <w:r>
        <w:t xml:space="preserve"> </w:t>
      </w:r>
      <w:r>
        <w:t xml:space="preserve">rather than the latter analysizing their data in potentially suboptimal ways.</w:t>
      </w:r>
    </w:p>
    <w:p>
      <w:pPr>
        <w:pStyle w:val="Compact"/>
        <w:numPr>
          <w:numId w:val="1009"/>
          <w:ilvl w:val="0"/>
        </w:numPr>
      </w:pPr>
      <w:r>
        <w:t xml:space="preserve">Call to implement now - field is transitioning to molecular approaches where information acquisition will be orders of magnitude greater than traditional taxonomic-based approaches. Data acquisition and management will require systematic methods for documenting, cataloging, and sharing information - start now. Use of online eDNA archives have been established. Baird and Hajibabaei 2012 describe the bioassessment paradigm with molecular approaches</w:t>
      </w:r>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s://www.waterboards.ca.gov/board_info/agendas/2018/jul/071018_5_drft_reso.pdf" TargetMode="External" /><Relationship Type="http://schemas.openxmlformats.org/officeDocument/2006/relationships/hyperlink" Id="rId24"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25" Target="https://www.waterboards.ca.gov/board_info/agendas/2018/jul/071018_5_drft_reso.pdf" TargetMode="External" /><Relationship Type="http://schemas.openxmlformats.org/officeDocument/2006/relationships/hyperlink" Id="rId24" Target="https://www.waterboards.ca.gov/press_room/press_releases/2018/pr_water_data_071018.pdf"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 - outline</dc:title>
  <dc:creator>Marcus W. Beck (marcusb@sccwrp.org), Raphael D. Mazor (raphaelm@sccwrp.org), Susanna T. Theroux (susannat@sccwrp.org)</dc:creator>
  <cp:keywords/>
  <dcterms:created xsi:type="dcterms:W3CDTF">2018-10-12T14:56:49Z</dcterms:created>
  <dcterms:modified xsi:type="dcterms:W3CDTF">2018-10-12T14:56:49Z</dcterms:modified>
</cp:coreProperties>
</file>