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DB68D32"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importance of open science for biological assessem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C. O’Hara, J. S. Lowndes, R. D. Mazor, S. Theroux, D. J. Gillett, B. Lane, G. Gearheart</w:t>
      </w:r>
      <w:r w:rsidRPr="00DF67C3">
        <w:rPr>
          <w:rFonts w:ascii="Times New Roman" w:hAnsi="Times New Roman" w:cs="Times New Roman"/>
          <w:i/>
          <w:iCs/>
          <w:sz w:val="24"/>
          <w:szCs w:val="24"/>
        </w:rPr>
        <w:t xml:space="preserve">. Submitted to </w:t>
      </w:r>
      <w:r w:rsidR="0066455B" w:rsidRPr="00DF67C3">
        <w:rPr>
          <w:rFonts w:ascii="Times New Roman" w:hAnsi="Times New Roman" w:cs="Times New Roman"/>
          <w:i/>
          <w:iCs/>
          <w:sz w:val="24"/>
          <w:szCs w:val="24"/>
        </w:rPr>
        <w:t>PeerJ</w:t>
      </w:r>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2C7CAA24"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ecogenomics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reviewed, revised the introduction to better contextualize the open science movement and included additional international examples, and included a brief discussion of molecular and ecogenomics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standardisation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5F8E33CE" w:rsidR="00DF67C3" w:rsidRDefault="00DF67C3"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32DB7E4"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w:t>
      </w:r>
      <w:r w:rsidRPr="00DF67C3">
        <w:rPr>
          <w:rFonts w:ascii="Times New Roman" w:hAnsi="Times New Roman" w:cs="Times New Roman"/>
          <w:sz w:val="24"/>
          <w:szCs w:val="24"/>
        </w:rPr>
        <w:lastRenderedPageBreak/>
        <w:t>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6"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BF46C0A" w14:textId="5AE176AD" w:rsidR="00DF67C3" w:rsidRDefault="00DF67C3" w:rsidP="00DF67C3">
      <w:pPr>
        <w:spacing w:after="0"/>
        <w:rPr>
          <w:rFonts w:ascii="Times New Roman" w:hAnsi="Times New Roman" w:cs="Times New Roman"/>
          <w:sz w:val="24"/>
          <w:szCs w:val="24"/>
        </w:rPr>
      </w:pP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The conclusions appear to be well supported and clearly made. My concerns here are centred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6F669EFB" w:rsidR="00DF67C3" w:rsidRPr="00E61FB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Although the Introduction and background show the context, there are some issues which need to be taken into account,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interaction, more replicability, more transparent, more responses to new questions,…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77777777"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agree with this description and have </w:t>
      </w:r>
      <w:r w:rsidR="00986B0F">
        <w:rPr>
          <w:rFonts w:ascii="Times New Roman" w:hAnsi="Times New Roman" w:cs="Times New Roman"/>
          <w:i/>
          <w:iCs/>
          <w:sz w:val="24"/>
          <w:szCs w:val="24"/>
        </w:rPr>
        <w:t xml:space="preserve">replaced “democratize” with “improve”.  Our original intent was to emphasize increased collaboration and openness among peers, which is not entirely described by “democratize”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Lines 42-46: it is good to have some examples of the legislation driving monitoring and assessment in these three areas. However, there are many other countries/regions (e.g. China, 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Demetriades, J. G. Ferreira, A. T. Forbes, P. Hutchings, X. Jia, R. Kenchington,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48-49: regarding marine waters, one of the co-authors of this manuscript has also a paper that can be cited here, since it constitutes a good review of the current methods availability: Borja, A., M. Elliott, J. H. Andersen, T. Berg, J. Carstensen, B. S. Halpern, A.-S. Heiskanen, S. Korpinen, J. S. S. Lowndes, G. Martin, N. Rodriguez-Ezpeleta, 2016. Overview of integrative assessment of marine systems: the Ecosystem Approach in practice. Frontiers in Marine Science, 3: doi: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o Borja, A., J. M. Garmendia, I. Menchaca, A. Uriarte, Y. Sagarmínaga,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o Essl, F., F. Courchamp, S. Dullinger, J. M. Jeschke, S. Schindler, 2020. Make Open Access Publishing Fair and Transparent! BioScience,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lastRenderedPageBreak/>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  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Marwick et al. 2016, behavioral ecology, Ihle et al. 2017, hydrology, Slater et al. 2019, vegetation sciences, Collins 2016) and 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Oudenhoven et al. 2016; </w:t>
      </w:r>
      <w:r w:rsidR="007C6BD0" w:rsidRPr="007C6BD0">
        <w:rPr>
          <w:rFonts w:ascii="TimesNewRomanPSMT" w:hAnsi="TimesNewRomanPSMT" w:cs="TimesNewRomanPSMT"/>
          <w:i/>
          <w:iCs/>
          <w:sz w:val="24"/>
          <w:szCs w:val="24"/>
        </w:rPr>
        <w:t xml:space="preserve">Essl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Oudenhoven, A. P. E., M. Schröter,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Thank you for the suggestions.  Lowndes et al. 2017 was a formative paper that heavily influenced our thinking about this topic</w:t>
      </w:r>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Oudenhoven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12807A51" w:rsidR="00605664" w:rsidRDefault="00605664" w:rsidP="00E61FB3">
      <w:pPr>
        <w:spacing w:after="0"/>
      </w:pPr>
      <w:r>
        <w:rPr>
          <w:rFonts w:ascii="Times New Roman" w:hAnsi="Times New Roman" w:cs="Times New Roman"/>
          <w:i/>
          <w:iCs/>
          <w:sz w:val="24"/>
          <w:szCs w:val="24"/>
        </w:rPr>
        <w:t>This section was included in accordance with the publishing guidelines of PeerJ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7"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xml:space="preserve">.  Please note that there is no requirement for a similar section provided in the results, as suggested, so we have not included this content.  We also do not provide results because of limited examples specific to bioassessment, as noted in the main text.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77777777"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is 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endogamic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167-170 and 188-196: an example of this are the metabarcoded databases of species (e.g. BOLD, GenBank,…).</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Prominent examples that can benefit next-generation bioassessment methods, such as molecular-based techniques for species identification, include the BarCode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253-255: there are also many taxonomical resources that can be mentioned e.g. WoRMs</w:t>
      </w:r>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8"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9"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445123D2" w:rsidR="00F27B22" w:rsidRDefault="00F27B22"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section is limited to our regional case study, but we have added the following on line 558: “</w:t>
      </w:r>
      <w:r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Pr="00F27B22">
        <w:rPr>
          <w:rFonts w:ascii="Times New Roman" w:hAnsi="Times New Roman" w:cs="Times New Roman"/>
          <w:i/>
          <w:iCs/>
          <w:sz w:val="24"/>
          <w:szCs w:val="24"/>
        </w:rPr>
        <w:t>o publish data and papers as open access (Horizon 2020, Tri-Agency Open Access Policy).</w:t>
      </w:r>
      <w:r>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7B239003" w14:textId="77777777" w:rsidR="00022422"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environmental managers.</w:t>
      </w:r>
      <w:r w:rsidRPr="00DF67C3">
        <w:rPr>
          <w:rFonts w:ascii="Times New Roman" w:hAnsi="Times New Roman" w:cs="Times New Roman"/>
          <w:sz w:val="24"/>
          <w:szCs w:val="24"/>
        </w:rPr>
        <w:br/>
      </w:r>
    </w:p>
    <w:p w14:paraId="2FAB9FEA" w14:textId="77777777" w:rsidR="00022422" w:rsidRDefault="00022422"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we appreciate your comments and have carefully considered your suggestions below. </w:t>
      </w:r>
    </w:p>
    <w:p w14:paraId="06D7C390" w14:textId="539E13D7" w:rsidR="00557C79"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lastRenderedPageBreak/>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The first point concerns the new ecogenomic tools that are currently transforming the field of biomonitoring and bioassessment. I was quite surprised to find no reference to these tools despite the fact that their impact on so-called “democratization” of bioassessment practices is well documented (e.g. Deiner et al. 2017, Pawlowski et al. 2018, Hering et al. 2019). In particular, it is worth to be mentioned that the access to genomic or metagenomic data can be much easier and more open compared to the classical morphotaxonomic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p>
    <w:p w14:paraId="5179E003" w14:textId="5800AD48" w:rsidR="00577B9C" w:rsidRDefault="00577B9C"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This is an important suggestion as we avoided discussing these techniques in the original draft to focus more on conventional bioassessment methods that rely on morpho-taxonomic identification. </w:t>
      </w:r>
      <w:r w:rsidR="00707819">
        <w:rPr>
          <w:rFonts w:ascii="Times New Roman" w:eastAsia="Times New Roman" w:hAnsi="Times New Roman" w:cs="Times New Roman"/>
          <w:i/>
          <w:iCs/>
          <w:color w:val="000000"/>
          <w:sz w:val="24"/>
          <w:szCs w:val="24"/>
        </w:rPr>
        <w:t xml:space="preserve"> However, we agree it would be useful to include some discussion about molecular approaches and the connection to open science.</w:t>
      </w:r>
      <w:r>
        <w:rPr>
          <w:rFonts w:ascii="Times New Roman" w:eastAsia="Times New Roman" w:hAnsi="Times New Roman" w:cs="Times New Roman"/>
          <w:i/>
          <w:iCs/>
          <w:color w:val="000000"/>
          <w:sz w:val="24"/>
          <w:szCs w:val="24"/>
        </w:rPr>
        <w:t xml:space="preserve"> We have added some content </w:t>
      </w:r>
      <w:r w:rsidR="00692DFD">
        <w:rPr>
          <w:rFonts w:ascii="Times New Roman" w:eastAsia="Times New Roman" w:hAnsi="Times New Roman" w:cs="Times New Roman"/>
          <w:i/>
          <w:iCs/>
          <w:color w:val="000000"/>
          <w:sz w:val="24"/>
          <w:szCs w:val="24"/>
        </w:rPr>
        <w:t>to line 257:</w:t>
      </w:r>
    </w:p>
    <w:p w14:paraId="2D048517" w14:textId="21728658" w:rsidR="00692DFD" w:rsidRDefault="00692DFD"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511CE222" w14:textId="7216ACA0" w:rsidR="00A04F21"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A04F21">
        <w:rPr>
          <w:rFonts w:ascii="Times New Roman" w:eastAsia="Times New Roman" w:hAnsi="Times New Roman" w:cs="Times New Roman"/>
          <w:i/>
          <w:iCs/>
          <w:color w:val="000000"/>
          <w:sz w:val="24"/>
          <w:szCs w:val="24"/>
        </w:rPr>
        <w:t xml:space="preserve">In contrast, molecular techniques based on DNA barcoding eliminate the need for direct species collection and morphological identification </w:t>
      </w:r>
      <w:r>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Deiner et al. 2017; Hering et al. 2018</w:t>
      </w:r>
      <w:r>
        <w:rPr>
          <w:rFonts w:ascii="Times New Roman" w:eastAsia="Times New Roman" w:hAnsi="Times New Roman" w:cs="Times New Roman"/>
          <w:i/>
          <w:iCs/>
          <w:color w:val="000000"/>
          <w:sz w:val="24"/>
          <w:szCs w:val="24"/>
        </w:rPr>
        <w:t>)</w:t>
      </w:r>
      <w:r w:rsidRPr="00A04F21">
        <w:rPr>
          <w:rFonts w:ascii="Times New Roman" w:eastAsia="Times New Roman" w:hAnsi="Times New Roman" w:cs="Times New Roman"/>
          <w:i/>
          <w:iCs/>
          <w:color w:val="000000"/>
          <w:sz w:val="24"/>
          <w:szCs w:val="24"/>
        </w:rPr>
        <w:t>.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w:t>
      </w:r>
      <w:r>
        <w:rPr>
          <w:rFonts w:ascii="Times New Roman" w:eastAsia="Times New Roman" w:hAnsi="Times New Roman" w:cs="Times New Roman"/>
          <w:i/>
          <w:iCs/>
          <w:color w:val="000000"/>
          <w:sz w:val="24"/>
          <w:szCs w:val="24"/>
        </w:rPr>
        <w:t xml:space="preserve"> (White et al. 2014; Elbrecht et al. 2017)</w:t>
      </w:r>
      <w:r w:rsidRPr="00A04F21">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p>
    <w:p w14:paraId="0F6096D0" w14:textId="2C298D42" w:rsidR="00577B9C"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04F21">
        <w:rPr>
          <w:rFonts w:ascii="Times New Roman" w:eastAsia="Times New Roman" w:hAnsi="Times New Roman" w:cs="Times New Roman"/>
          <w:i/>
          <w:iCs/>
          <w:color w:val="000000"/>
          <w:sz w:val="24"/>
          <w:szCs w:val="24"/>
        </w:rPr>
        <w:t xml:space="preserve">  </w:t>
      </w:r>
    </w:p>
    <w:p w14:paraId="07867458" w14:textId="77777777" w:rsidR="00577B9C" w:rsidRDefault="00577B9C" w:rsidP="00577B9C">
      <w:pPr>
        <w:spacing w:after="0"/>
        <w:rPr>
          <w:rFonts w:ascii="Times New Roman" w:hAnsi="Times New Roman" w:cs="Times New Roman"/>
          <w:i/>
          <w:iCs/>
          <w:sz w:val="24"/>
          <w:szCs w:val="24"/>
        </w:rPr>
      </w:pPr>
      <w:r>
        <w:rPr>
          <w:rFonts w:ascii="Times New Roman" w:hAnsi="Times New Roman" w:cs="Times New Roman"/>
          <w:i/>
          <w:iCs/>
          <w:sz w:val="24"/>
          <w:szCs w:val="24"/>
        </w:rPr>
        <w:t xml:space="preserve">Please note that we have also addressed some of these concerns in our response to reviewer 2 (additions to lines 170 and 255). </w:t>
      </w:r>
    </w:p>
    <w:p w14:paraId="30560724" w14:textId="4D0D396B" w:rsid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br/>
      </w:r>
      <w:r w:rsidR="00E05428">
        <w:rPr>
          <w:rFonts w:ascii="Times New Roman" w:eastAsia="Times New Roman" w:hAnsi="Times New Roman" w:cs="Times New Roman"/>
          <w:i/>
          <w:iCs/>
          <w:color w:val="000000"/>
          <w:sz w:val="24"/>
          <w:szCs w:val="24"/>
        </w:rPr>
        <w:t xml:space="preserve">This paragraph was also added to the conclusions section. </w:t>
      </w:r>
    </w:p>
    <w:p w14:paraId="1E9F01D8" w14:textId="77777777" w:rsidR="00E05428"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6F5CC019" w14:textId="27538E4E" w:rsidR="00557C79"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w:t>
      </w:r>
      <w:r>
        <w:rPr>
          <w:rFonts w:ascii="Times New Roman" w:eastAsia="Times New Roman" w:hAnsi="Times New Roman" w:cs="Times New Roman"/>
          <w:i/>
          <w:iCs/>
          <w:color w:val="000000"/>
          <w:sz w:val="24"/>
          <w:szCs w:val="24"/>
        </w:rPr>
        <w:t>(Baird and Hajibabei 2012)</w:t>
      </w:r>
      <w:r w:rsidR="00557C79" w:rsidRPr="00557C79">
        <w:rPr>
          <w:rFonts w:ascii="Times New Roman" w:eastAsia="Times New Roman" w:hAnsi="Times New Roman" w:cs="Times New Roman"/>
          <w:i/>
          <w:iCs/>
          <w:color w:val="000000"/>
          <w:sz w:val="24"/>
          <w:szCs w:val="24"/>
        </w:rP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w:t>
      </w:r>
      <w:r w:rsidR="00557C79" w:rsidRPr="00557C79">
        <w:rPr>
          <w:rFonts w:ascii="Times New Roman" w:eastAsia="Times New Roman" w:hAnsi="Times New Roman" w:cs="Times New Roman"/>
          <w:i/>
          <w:iCs/>
          <w:color w:val="000000"/>
          <w:sz w:val="24"/>
          <w:szCs w:val="24"/>
        </w:rPr>
        <w:lastRenderedPageBreak/>
        <w:t>emerging arena to ensure that new bioassessment methods continue to have relevance for determining the condition of aquatic resources.</w:t>
      </w: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 </w:t>
      </w:r>
    </w:p>
    <w:p w14:paraId="45A564E8" w14:textId="6892CA1C" w:rsidR="0036525F"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second point, somehow related to the first, concerns a certain conservationism of bioassessment practitioners regarding scientific progress. As discussed by Guareschi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p>
    <w:p w14:paraId="74644B34" w14:textId="77777777" w:rsidR="0036525F" w:rsidRDefault="0036525F" w:rsidP="00DF67C3">
      <w:pPr>
        <w:spacing w:after="0"/>
        <w:rPr>
          <w:rFonts w:ascii="Times New Roman" w:hAnsi="Times New Roman" w:cs="Times New Roman"/>
          <w:sz w:val="24"/>
          <w:szCs w:val="24"/>
        </w:rPr>
      </w:pPr>
    </w:p>
    <w:p w14:paraId="425F5932" w14:textId="30595CA6" w:rsidR="0036525F" w:rsidRPr="0036525F" w:rsidRDefault="0036525F" w:rsidP="000E056E">
      <w:pPr>
        <w:spacing w:after="0"/>
        <w:rPr>
          <w:rFonts w:ascii="Times New Roman" w:eastAsia="Times New Roman" w:hAnsi="Times New Roman" w:cs="Times New Roman"/>
          <w:i/>
          <w:iCs/>
          <w:sz w:val="24"/>
          <w:szCs w:val="24"/>
        </w:rPr>
      </w:pPr>
      <w:r>
        <w:rPr>
          <w:rFonts w:ascii="Times New Roman" w:hAnsi="Times New Roman" w:cs="Times New Roman"/>
          <w:i/>
          <w:iCs/>
          <w:sz w:val="24"/>
          <w:szCs w:val="24"/>
        </w:rPr>
        <w:t xml:space="preserve">This is an insightful comment that speaks to </w:t>
      </w:r>
      <w:r w:rsidR="000E056E">
        <w:rPr>
          <w:rFonts w:ascii="Times New Roman" w:hAnsi="Times New Roman" w:cs="Times New Roman"/>
          <w:i/>
          <w:iCs/>
          <w:sz w:val="24"/>
          <w:szCs w:val="24"/>
        </w:rPr>
        <w:t xml:space="preserve">both the challenges of developing relevant assessment methods and the need to encourage their timely application in management scenarios.  We agree that open science can indeed facilitate these advances by improving workflows that allow for reproducibility and rapid update of methods (e.g., in the case of taxonomic changes or updates to species lists with invasions), while also allowing improved ability to translate the science in an applied setting.  The latter will always be a challenge and one of our goals for developing this paper is to address this need by encouraging researchers to adopt open science principles into their worfklows (e.g., lines </w:t>
      </w:r>
      <w:r w:rsidR="00CA732E">
        <w:rPr>
          <w:rFonts w:ascii="Times New Roman" w:hAnsi="Times New Roman" w:cs="Times New Roman"/>
          <w:i/>
          <w:iCs/>
          <w:sz w:val="24"/>
          <w:szCs w:val="24"/>
        </w:rPr>
        <w:t xml:space="preserve">90, </w:t>
      </w:r>
      <w:r w:rsidR="000E056E">
        <w:rPr>
          <w:rFonts w:ascii="Times New Roman" w:hAnsi="Times New Roman" w:cs="Times New Roman"/>
          <w:i/>
          <w:iCs/>
          <w:sz w:val="24"/>
          <w:szCs w:val="24"/>
        </w:rPr>
        <w:t>178, 474, 482</w:t>
      </w:r>
      <w:r w:rsidR="00CA732E">
        <w:rPr>
          <w:rFonts w:ascii="Times New Roman" w:hAnsi="Times New Roman" w:cs="Times New Roman"/>
          <w:i/>
          <w:iCs/>
          <w:sz w:val="24"/>
          <w:szCs w:val="24"/>
        </w:rPr>
        <w:t>-488)</w:t>
      </w:r>
      <w:r w:rsidR="000E056E">
        <w:rPr>
          <w:rFonts w:ascii="Times New Roman" w:hAnsi="Times New Roman" w:cs="Times New Roman"/>
          <w:i/>
          <w:iCs/>
          <w:sz w:val="24"/>
          <w:szCs w:val="24"/>
        </w:rPr>
        <w:t xml:space="preserve">.  </w:t>
      </w:r>
      <w:r w:rsidR="00CA732E">
        <w:rPr>
          <w:rFonts w:ascii="Times New Roman" w:hAnsi="Times New Roman" w:cs="Times New Roman"/>
          <w:i/>
          <w:iCs/>
          <w:sz w:val="24"/>
          <w:szCs w:val="24"/>
        </w:rPr>
        <w:t xml:space="preserve">We also specifically emphasize the role of administrative leaders (e.g., managers) in encouraging the adoption of open science to address this concern (lines 503-513).  We feel these sections address the challenge of science translation and adoption in applied settings through use of open science. </w:t>
      </w:r>
    </w:p>
    <w:p w14:paraId="53DE27F4" w14:textId="0CAFAEBC" w:rsidR="007175B1"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p>
    <w:p w14:paraId="4ACF15C6" w14:textId="4C5B3CF0" w:rsidR="007175B1" w:rsidRPr="007175B1" w:rsidRDefault="007175B1" w:rsidP="00DF67C3">
      <w:pPr>
        <w:spacing w:after="0"/>
        <w:rPr>
          <w:rFonts w:ascii="Times New Roman" w:hAnsi="Times New Roman" w:cs="Times New Roman"/>
          <w:i/>
          <w:iCs/>
          <w:sz w:val="24"/>
          <w:szCs w:val="24"/>
        </w:rPr>
      </w:pPr>
      <w:r>
        <w:rPr>
          <w:rFonts w:ascii="Times New Roman" w:hAnsi="Times New Roman" w:cs="Times New Roman"/>
          <w:i/>
          <w:iCs/>
          <w:sz w:val="24"/>
          <w:szCs w:val="24"/>
        </w:rPr>
        <w:t>This section is given extra emphasis because it highlights</w:t>
      </w:r>
      <w:r w:rsidR="00293FC2">
        <w:rPr>
          <w:rFonts w:ascii="Times New Roman" w:hAnsi="Times New Roman" w:cs="Times New Roman"/>
          <w:i/>
          <w:iCs/>
          <w:sz w:val="24"/>
          <w:szCs w:val="24"/>
        </w:rPr>
        <w:t xml:space="preserve"> R as</w:t>
      </w:r>
      <w:r>
        <w:rPr>
          <w:rFonts w:ascii="Times New Roman" w:hAnsi="Times New Roman" w:cs="Times New Roman"/>
          <w:i/>
          <w:iCs/>
          <w:sz w:val="24"/>
          <w:szCs w:val="24"/>
        </w:rPr>
        <w:t xml:space="preserve"> a critical resource that can be leveraged to embrace and facilitate open science principles.  Our intent was to demonstrate its applicability, while also providing an inventory o</w:t>
      </w:r>
      <w:r w:rsidR="00293FC2">
        <w:rPr>
          <w:rFonts w:ascii="Times New Roman" w:hAnsi="Times New Roman" w:cs="Times New Roman"/>
          <w:i/>
          <w:iCs/>
          <w:sz w:val="24"/>
          <w:szCs w:val="24"/>
        </w:rPr>
        <w:t>f</w:t>
      </w:r>
      <w:r>
        <w:rPr>
          <w:rFonts w:ascii="Times New Roman" w:hAnsi="Times New Roman" w:cs="Times New Roman"/>
          <w:i/>
          <w:iCs/>
          <w:sz w:val="24"/>
          <w:szCs w:val="24"/>
        </w:rPr>
        <w:t xml:space="preserve"> relevant packages within the R environment that bioassessment practitioners can use.  </w:t>
      </w:r>
      <w:r w:rsidR="00CC7CF0">
        <w:rPr>
          <w:rFonts w:ascii="Times New Roman" w:hAnsi="Times New Roman" w:cs="Times New Roman"/>
          <w:i/>
          <w:iCs/>
          <w:sz w:val="24"/>
          <w:szCs w:val="24"/>
        </w:rPr>
        <w:t>The current section</w:t>
      </w:r>
      <w:r w:rsidR="00293FC2">
        <w:rPr>
          <w:rFonts w:ascii="Times New Roman" w:hAnsi="Times New Roman" w:cs="Times New Roman"/>
          <w:i/>
          <w:iCs/>
          <w:sz w:val="24"/>
          <w:szCs w:val="24"/>
        </w:rPr>
        <w:t xml:space="preserve"> is approximately 1132 words.  We have revised the R content to reduce the number of words to 953. Further, our existing text in the “Limitations and opportunities” section addresses several of the concerns in the reviewer’</w:t>
      </w:r>
      <w:bookmarkStart w:id="0" w:name="_GoBack"/>
      <w:bookmarkEnd w:id="0"/>
      <w:r w:rsidR="00293FC2">
        <w:rPr>
          <w:rFonts w:ascii="Times New Roman" w:hAnsi="Times New Roman" w:cs="Times New Roman"/>
          <w:i/>
          <w:iCs/>
          <w:sz w:val="24"/>
          <w:szCs w:val="24"/>
        </w:rPr>
        <w:t xml:space="preserve">s comments, i.e., training is necessary, encourage a community of practice, etc. </w:t>
      </w:r>
    </w:p>
    <w:p w14:paraId="081240C7" w14:textId="624D8B19"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References:</w:t>
      </w:r>
      <w:r w:rsidRPr="00DF67C3">
        <w:rPr>
          <w:rFonts w:ascii="Times New Roman" w:hAnsi="Times New Roman" w:cs="Times New Roman"/>
          <w:sz w:val="24"/>
          <w:szCs w:val="24"/>
        </w:rPr>
        <w:br/>
        <w:t>Hering et al. 2019</w:t>
      </w:r>
      <w:r w:rsidRPr="00DF67C3">
        <w:rPr>
          <w:rFonts w:ascii="Times New Roman" w:hAnsi="Times New Roman" w:cs="Times New Roman"/>
          <w:sz w:val="24"/>
          <w:szCs w:val="24"/>
        </w:rPr>
        <w:br/>
      </w:r>
      <w:hyperlink r:id="rId10"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t>Guareschi et al. 2019</w:t>
      </w:r>
      <w:r w:rsidRPr="00DF67C3">
        <w:rPr>
          <w:rFonts w:ascii="Times New Roman" w:hAnsi="Times New Roman" w:cs="Times New Roman"/>
          <w:sz w:val="24"/>
          <w:szCs w:val="24"/>
        </w:rPr>
        <w:br/>
      </w:r>
      <w:hyperlink r:id="rId11"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t>Deiner et al. 2017</w:t>
      </w:r>
      <w:r w:rsidRPr="00DF67C3">
        <w:rPr>
          <w:rFonts w:ascii="Times New Roman" w:hAnsi="Times New Roman" w:cs="Times New Roman"/>
          <w:sz w:val="24"/>
          <w:szCs w:val="24"/>
        </w:rPr>
        <w:br/>
      </w:r>
      <w:hyperlink r:id="rId12"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056E"/>
    <w:rsid w:val="000E367E"/>
    <w:rsid w:val="000F00C8"/>
    <w:rsid w:val="000F4239"/>
    <w:rsid w:val="00126823"/>
    <w:rsid w:val="00143F08"/>
    <w:rsid w:val="0018121D"/>
    <w:rsid w:val="001F5EBA"/>
    <w:rsid w:val="001F6818"/>
    <w:rsid w:val="00201E27"/>
    <w:rsid w:val="00207ECB"/>
    <w:rsid w:val="00221AB6"/>
    <w:rsid w:val="00247914"/>
    <w:rsid w:val="00293FC2"/>
    <w:rsid w:val="002B5748"/>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F02F2"/>
    <w:rsid w:val="00514766"/>
    <w:rsid w:val="00557C79"/>
    <w:rsid w:val="00577B9C"/>
    <w:rsid w:val="005D751B"/>
    <w:rsid w:val="005F3E42"/>
    <w:rsid w:val="00605664"/>
    <w:rsid w:val="0063252A"/>
    <w:rsid w:val="0066455B"/>
    <w:rsid w:val="00671128"/>
    <w:rsid w:val="00692DFD"/>
    <w:rsid w:val="00707819"/>
    <w:rsid w:val="007175B1"/>
    <w:rsid w:val="00730928"/>
    <w:rsid w:val="00734BB4"/>
    <w:rsid w:val="00753824"/>
    <w:rsid w:val="007C654D"/>
    <w:rsid w:val="007C6BD0"/>
    <w:rsid w:val="007E0D6D"/>
    <w:rsid w:val="00800CC9"/>
    <w:rsid w:val="00802694"/>
    <w:rsid w:val="00807BD3"/>
    <w:rsid w:val="00820CB9"/>
    <w:rsid w:val="00862159"/>
    <w:rsid w:val="008809CE"/>
    <w:rsid w:val="008D7C4E"/>
    <w:rsid w:val="008E5129"/>
    <w:rsid w:val="00902D20"/>
    <w:rsid w:val="0090545C"/>
    <w:rsid w:val="00986B0F"/>
    <w:rsid w:val="009A0A54"/>
    <w:rsid w:val="009B252C"/>
    <w:rsid w:val="00A049A9"/>
    <w:rsid w:val="00A04F21"/>
    <w:rsid w:val="00A25A8E"/>
    <w:rsid w:val="00A432EB"/>
    <w:rsid w:val="00A540BC"/>
    <w:rsid w:val="00A56C6E"/>
    <w:rsid w:val="00A655E3"/>
    <w:rsid w:val="00A756AA"/>
    <w:rsid w:val="00A847BC"/>
    <w:rsid w:val="00AE3B23"/>
    <w:rsid w:val="00AF5543"/>
    <w:rsid w:val="00B365EA"/>
    <w:rsid w:val="00B544CC"/>
    <w:rsid w:val="00B7772D"/>
    <w:rsid w:val="00B835BA"/>
    <w:rsid w:val="00B86F3E"/>
    <w:rsid w:val="00BB0A9B"/>
    <w:rsid w:val="00BC270D"/>
    <w:rsid w:val="00BE4234"/>
    <w:rsid w:val="00BF3EA6"/>
    <w:rsid w:val="00C23138"/>
    <w:rsid w:val="00C655CE"/>
    <w:rsid w:val="00C95648"/>
    <w:rsid w:val="00CA0972"/>
    <w:rsid w:val="00CA732E"/>
    <w:rsid w:val="00CC7CF0"/>
    <w:rsid w:val="00CD42D8"/>
    <w:rsid w:val="00CF261B"/>
    <w:rsid w:val="00CF6454"/>
    <w:rsid w:val="00D4147C"/>
    <w:rsid w:val="00D700D3"/>
    <w:rsid w:val="00D73290"/>
    <w:rsid w:val="00DF5F92"/>
    <w:rsid w:val="00DF67C3"/>
    <w:rsid w:val="00E00613"/>
    <w:rsid w:val="00E05428"/>
    <w:rsid w:val="00E61FB3"/>
    <w:rsid w:val="00E80D0A"/>
    <w:rsid w:val="00E81249"/>
    <w:rsid w:val="00E87BF3"/>
    <w:rsid w:val="00E96BC5"/>
    <w:rsid w:val="00EA080D"/>
    <w:rsid w:val="00ED51D4"/>
    <w:rsid w:val="00F26FB9"/>
    <w:rsid w:val="00F27B22"/>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research/participants/docs/h2020-funding-guide/cross-cutting-issues/open-access-dissemination_en.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erj.com/about/policies-and-procedures/" TargetMode="External"/><Relationship Id="rId12" Type="http://schemas.openxmlformats.org/officeDocument/2006/relationships/hyperlink" Target="https://onlinelibrary.wiley.com/doi/full/10.1111/mec.143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sf.io/" TargetMode="External"/><Relationship Id="rId11" Type="http://schemas.openxmlformats.org/officeDocument/2006/relationships/hyperlink" Target="https://www.sciencedirect.com/science/article/pii/S0048969719300087?via%3Dihub" TargetMode="External"/><Relationship Id="rId5" Type="http://schemas.openxmlformats.org/officeDocument/2006/relationships/webSettings" Target="webSettings.xml"/><Relationship Id="rId10" Type="http://schemas.openxmlformats.org/officeDocument/2006/relationships/hyperlink" Target="https://www.sciencedirect.com/science/article/pii/S0043135418301830?via%3Dihub" TargetMode="External"/><Relationship Id="rId4" Type="http://schemas.openxmlformats.org/officeDocument/2006/relationships/settings" Target="settings.xml"/><Relationship Id="rId9" Type="http://schemas.openxmlformats.org/officeDocument/2006/relationships/hyperlink" Target="https://www.ic.gc.ca/eic/site/063.nsf/eng/h_F676546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826BD-9837-44D8-B534-9B18361C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9</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86</cp:revision>
  <cp:lastPrinted>2019-08-20T19:51:00Z</cp:lastPrinted>
  <dcterms:created xsi:type="dcterms:W3CDTF">2019-08-19T15:25:00Z</dcterms:created>
  <dcterms:modified xsi:type="dcterms:W3CDTF">2020-05-15T18:51:00Z</dcterms:modified>
</cp:coreProperties>
</file>