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EEA" w:rsidRDefault="00005EEA">
      <w:pPr>
        <w:pStyle w:val="Title"/>
      </w:pPr>
      <w:r>
        <w:t>Running head: Open science for biological as</w:t>
      </w:r>
      <w:bookmarkStart w:id="0" w:name="_GoBack"/>
      <w:bookmarkEnd w:id="0"/>
      <w:r>
        <w:t>sessment</w:t>
      </w:r>
    </w:p>
    <w:p w:rsidR="00B86358" w:rsidRDefault="009E2199">
      <w:pPr>
        <w:pStyle w:val="Title"/>
      </w:pPr>
      <w:r>
        <w:t>The importance of open science for biological assessment</w:t>
      </w:r>
    </w:p>
    <w:p w:rsidR="009E2199" w:rsidRDefault="009E2199" w:rsidP="009E2199">
      <w:pPr>
        <w:pStyle w:val="Author"/>
      </w:pPr>
      <w:r>
        <w:t>Marcus W. Beck (</w:t>
      </w:r>
      <w:hyperlink r:id="rId7">
        <w:r>
          <w:rPr>
            <w:rStyle w:val="Hyperlink"/>
          </w:rPr>
          <w:t>marcusb@sccwrp.org</w:t>
        </w:r>
      </w:hyperlink>
      <w:r>
        <w:t>)</w:t>
      </w:r>
      <w:r w:rsidRPr="009E2199">
        <w:rPr>
          <w:vertAlign w:val="superscript"/>
        </w:rPr>
        <w:t>1</w:t>
      </w:r>
      <w:r w:rsidRPr="009E2199">
        <w:t>*</w:t>
      </w:r>
    </w:p>
    <w:p w:rsidR="009E2199" w:rsidRDefault="009E2199" w:rsidP="009E2199">
      <w:pPr>
        <w:pStyle w:val="Author"/>
      </w:pPr>
      <w:r>
        <w:t>Casey O’Hara (</w:t>
      </w:r>
      <w:hyperlink r:id="rId8">
        <w:r>
          <w:rPr>
            <w:rStyle w:val="Hyperlink"/>
          </w:rPr>
          <w:t>ohara@nceas.ucsb.edu</w:t>
        </w:r>
      </w:hyperlink>
      <w:r>
        <w:t>)</w:t>
      </w:r>
      <w:r w:rsidRPr="009E2199">
        <w:rPr>
          <w:vertAlign w:val="superscript"/>
        </w:rPr>
        <w:t>2</w:t>
      </w:r>
    </w:p>
    <w:p w:rsidR="009E2199" w:rsidRDefault="009E2199" w:rsidP="009E2199">
      <w:pPr>
        <w:pStyle w:val="Author"/>
      </w:pPr>
      <w:r>
        <w:t>Julia Stewart Lowndes (</w:t>
      </w:r>
      <w:hyperlink r:id="rId9">
        <w:r>
          <w:rPr>
            <w:rStyle w:val="Hyperlink"/>
          </w:rPr>
          <w:t>lowndes@nceas.ucsb.edu</w:t>
        </w:r>
      </w:hyperlink>
      <w:r>
        <w:t>)</w:t>
      </w:r>
      <w:r w:rsidRPr="009E2199">
        <w:rPr>
          <w:vertAlign w:val="superscript"/>
        </w:rPr>
        <w:t>2</w:t>
      </w:r>
    </w:p>
    <w:p w:rsidR="009E2199" w:rsidRDefault="009E2199">
      <w:pPr>
        <w:pStyle w:val="Author"/>
      </w:pPr>
      <w:r>
        <w:t>Raphael D. Mazor (</w:t>
      </w:r>
      <w:hyperlink r:id="rId10">
        <w:r>
          <w:rPr>
            <w:rStyle w:val="Hyperlink"/>
          </w:rPr>
          <w:t>raphaelm@sccwrp.org</w:t>
        </w:r>
      </w:hyperlink>
      <w:r>
        <w:t>)</w:t>
      </w:r>
      <w:r w:rsidRPr="009E2199">
        <w:rPr>
          <w:vertAlign w:val="superscript"/>
        </w:rPr>
        <w:t>1</w:t>
      </w:r>
    </w:p>
    <w:p w:rsidR="009E2199" w:rsidRDefault="009E2199">
      <w:pPr>
        <w:pStyle w:val="Author"/>
      </w:pPr>
      <w:r>
        <w:t>Susanna T. Theroux (</w:t>
      </w:r>
      <w:hyperlink r:id="rId11">
        <w:r>
          <w:rPr>
            <w:rStyle w:val="Hyperlink"/>
          </w:rPr>
          <w:t>susannat@sccwrp.org</w:t>
        </w:r>
      </w:hyperlink>
      <w:r>
        <w:t>)</w:t>
      </w:r>
      <w:r w:rsidRPr="009E2199">
        <w:rPr>
          <w:vertAlign w:val="superscript"/>
        </w:rPr>
        <w:t>1</w:t>
      </w:r>
    </w:p>
    <w:p w:rsidR="009E2199" w:rsidRDefault="009E2199" w:rsidP="009E2199">
      <w:pPr>
        <w:pStyle w:val="Author"/>
      </w:pPr>
      <w:r>
        <w:t>David J. Gillett (</w:t>
      </w:r>
      <w:hyperlink r:id="rId12">
        <w:r>
          <w:rPr>
            <w:rStyle w:val="Hyperlink"/>
          </w:rPr>
          <w:t>davidg@sccwrp.org</w:t>
        </w:r>
      </w:hyperlink>
      <w:r>
        <w:t>)</w:t>
      </w:r>
      <w:r w:rsidRPr="009E2199">
        <w:rPr>
          <w:vertAlign w:val="superscript"/>
        </w:rPr>
        <w:t>1</w:t>
      </w:r>
    </w:p>
    <w:p w:rsidR="009E2199" w:rsidRDefault="009E2199">
      <w:pPr>
        <w:pStyle w:val="Author"/>
      </w:pPr>
      <w:r>
        <w:t>Greg Gearheart (</w:t>
      </w:r>
      <w:hyperlink r:id="rId13">
        <w:r>
          <w:rPr>
            <w:rStyle w:val="Hyperlink"/>
          </w:rPr>
          <w:t>greg.gearheart@waterboards.ca.gov</w:t>
        </w:r>
      </w:hyperlink>
      <w:r>
        <w:t>)</w:t>
      </w:r>
      <w:r w:rsidRPr="009E2199">
        <w:rPr>
          <w:vertAlign w:val="superscript"/>
        </w:rPr>
        <w:t>3</w:t>
      </w:r>
    </w:p>
    <w:p w:rsidR="00B86358" w:rsidRDefault="009E2199">
      <w:pPr>
        <w:pStyle w:val="Author"/>
      </w:pPr>
      <w:r>
        <w:t>Belize Lane (</w:t>
      </w:r>
      <w:hyperlink r:id="rId14">
        <w:r>
          <w:rPr>
            <w:rStyle w:val="Hyperlink"/>
          </w:rPr>
          <w:t>belize.lane@usu.edu</w:t>
        </w:r>
      </w:hyperlink>
      <w:r>
        <w:t>)</w:t>
      </w:r>
      <w:r w:rsidRPr="009E2199">
        <w:rPr>
          <w:vertAlign w:val="superscript"/>
        </w:rPr>
        <w:t>4</w:t>
      </w:r>
    </w:p>
    <w:p w:rsidR="009E2199" w:rsidRDefault="009E2199" w:rsidP="0091258F">
      <w:pPr>
        <w:autoSpaceDE w:val="0"/>
        <w:autoSpaceDN w:val="0"/>
        <w:adjustRightInd w:val="0"/>
        <w:rPr>
          <w:rFonts w:cs="Times New Roman"/>
        </w:rPr>
      </w:pPr>
      <w:bookmarkStart w:id="1" w:name="abstract"/>
      <w:r>
        <w:rPr>
          <w:rFonts w:cs="Times New Roman"/>
        </w:rPr>
        <w:t>*Corresponding author</w:t>
      </w:r>
    </w:p>
    <w:p w:rsidR="009E2199" w:rsidRDefault="009E2199" w:rsidP="0091258F">
      <w:pPr>
        <w:autoSpaceDE w:val="0"/>
        <w:autoSpaceDN w:val="0"/>
        <w:adjustRightInd w:val="0"/>
        <w:rPr>
          <w:rFonts w:cs="Times New Roman"/>
        </w:rPr>
      </w:pPr>
      <w:r w:rsidRPr="009E2199">
        <w:rPr>
          <w:rFonts w:cs="Times New Roman"/>
          <w:vertAlign w:val="superscript"/>
        </w:rPr>
        <w:t>1</w:t>
      </w:r>
      <w:r w:rsidRPr="009E2199">
        <w:rPr>
          <w:rFonts w:cs="Times New Roman"/>
        </w:rPr>
        <w:t>S</w:t>
      </w:r>
      <w:r>
        <w:rPr>
          <w:rFonts w:cs="Times New Roman"/>
        </w:rPr>
        <w:t>ou</w:t>
      </w:r>
      <w:r w:rsidR="0091258F">
        <w:rPr>
          <w:rFonts w:cs="Times New Roman"/>
        </w:rPr>
        <w:t>t</w:t>
      </w:r>
      <w:r>
        <w:rPr>
          <w:rFonts w:cs="Times New Roman"/>
        </w:rPr>
        <w:t>hern California Coastal Water Research Project, 3535 Harbor Blvd., Costa Mesa, CA, 92626</w:t>
      </w:r>
    </w:p>
    <w:p w:rsidR="009E2199" w:rsidRDefault="009E2199" w:rsidP="0091258F">
      <w:pPr>
        <w:autoSpaceDE w:val="0"/>
        <w:autoSpaceDN w:val="0"/>
        <w:adjustRightInd w:val="0"/>
        <w:rPr>
          <w:rFonts w:cs="Times New Roman"/>
        </w:rPr>
      </w:pPr>
      <w:r w:rsidRPr="00A95EDE">
        <w:rPr>
          <w:rFonts w:cs="Times New Roman"/>
          <w:vertAlign w:val="superscript"/>
        </w:rPr>
        <w:t>2</w:t>
      </w:r>
      <w:r>
        <w:rPr>
          <w:rFonts w:cs="Times New Roman"/>
        </w:rPr>
        <w:t>National Center for Ecological Analysis and Synthesis, University of California at Santa Barbara, 735 State Street, Suite 300, Santa Barbara, CA 93101</w:t>
      </w:r>
    </w:p>
    <w:p w:rsidR="009E2199" w:rsidRDefault="009E2199" w:rsidP="0091258F">
      <w:pPr>
        <w:autoSpaceDE w:val="0"/>
        <w:autoSpaceDN w:val="0"/>
        <w:adjustRightInd w:val="0"/>
        <w:rPr>
          <w:rFonts w:cs="Times New Roman"/>
        </w:rPr>
      </w:pPr>
      <w:r w:rsidRPr="00A95EDE">
        <w:rPr>
          <w:rFonts w:cs="Times New Roman"/>
          <w:vertAlign w:val="superscript"/>
        </w:rPr>
        <w:t>3</w:t>
      </w:r>
      <w:r>
        <w:rPr>
          <w:rFonts w:cs="Times New Roman"/>
        </w:rPr>
        <w:t xml:space="preserve">Office of Information Management and Analysis, California State Water Resources Control Board, </w:t>
      </w:r>
      <w:r w:rsidR="00A95EDE">
        <w:rPr>
          <w:rFonts w:cs="Times New Roman"/>
        </w:rPr>
        <w:t>1001 I Street, Sacramento, CA 95814</w:t>
      </w:r>
    </w:p>
    <w:p w:rsidR="00A95EDE" w:rsidRPr="009E2199" w:rsidRDefault="00A95EDE" w:rsidP="0091258F">
      <w:pPr>
        <w:autoSpaceDE w:val="0"/>
        <w:autoSpaceDN w:val="0"/>
        <w:adjustRightInd w:val="0"/>
        <w:rPr>
          <w:rFonts w:cs="Times New Roman"/>
        </w:rPr>
      </w:pPr>
      <w:r w:rsidRPr="00A95EDE">
        <w:rPr>
          <w:rFonts w:cs="Times New Roman"/>
          <w:vertAlign w:val="superscript"/>
        </w:rPr>
        <w:t>4</w:t>
      </w:r>
      <w:r>
        <w:rPr>
          <w:rFonts w:cs="Times New Roman"/>
        </w:rPr>
        <w:t>Department of Civil and Environmental Engineering, Utah Water Research Laboratory, Utah State University, 8200 Old Main Hill, Logan, UT 84322</w:t>
      </w:r>
    </w:p>
    <w:p w:rsidR="0091258F" w:rsidRDefault="0091258F" w:rsidP="0091258F">
      <w:pPr>
        <w:pStyle w:val="BodyText"/>
        <w:rPr>
          <w:rFonts w:eastAsiaTheme="majorEastAsia" w:cstheme="majorBidi"/>
          <w:color w:val="000000" w:themeColor="text1"/>
          <w:sz w:val="32"/>
          <w:szCs w:val="32"/>
        </w:rPr>
      </w:pPr>
      <w:r>
        <w:br w:type="page"/>
      </w:r>
    </w:p>
    <w:p w:rsidR="00B86358" w:rsidRDefault="009E2199" w:rsidP="0091258F">
      <w:pPr>
        <w:pStyle w:val="Heading1"/>
        <w:spacing w:line="480" w:lineRule="auto"/>
      </w:pPr>
      <w:r>
        <w:lastRenderedPageBreak/>
        <w:t>Abstract</w:t>
      </w:r>
      <w:bookmarkEnd w:id="1"/>
    </w:p>
    <w:p w:rsidR="00B86358" w:rsidRDefault="009E2199" w:rsidP="0091258F">
      <w:pPr>
        <w:pStyle w:val="FirstParagraph"/>
        <w:spacing w:line="480" w:lineRule="auto"/>
      </w:pPr>
      <w:r>
        <w:t>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rsidR="00B86358" w:rsidRDefault="009E2199" w:rsidP="0091258F">
      <w:pPr>
        <w:pStyle w:val="Heading1"/>
        <w:spacing w:line="480" w:lineRule="auto"/>
      </w:pPr>
      <w:bookmarkStart w:id="2" w:name="introduction"/>
      <w:r>
        <w:t>Introduction</w:t>
      </w:r>
      <w:bookmarkEnd w:id="2"/>
    </w:p>
    <w:p w:rsidR="00B86358" w:rsidRDefault="009E2199" w:rsidP="0091258F">
      <w:pPr>
        <w:pStyle w:val="FirstParagraph"/>
        <w:spacing w:line="480" w:lineRule="auto"/>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 (Karr et al. </w:t>
      </w:r>
      <w:hyperlink w:anchor="ref-Karr86">
        <w:r>
          <w:rPr>
            <w:rStyle w:val="Hyperlink"/>
          </w:rPr>
          <w:t>1986</w:t>
        </w:r>
      </w:hyperlink>
      <w:r>
        <w:t xml:space="preserve">; Kerans and Karr </w:t>
      </w:r>
      <w:hyperlink w:anchor="ref-Kerans94">
        <w:r>
          <w:rPr>
            <w:rStyle w:val="Hyperlink"/>
          </w:rPr>
          <w:t>1994</w:t>
        </w:r>
      </w:hyperlink>
      <w:r>
        <w:t xml:space="preserve">; Fore </w:t>
      </w:r>
      <w:r>
        <w:lastRenderedPageBreak/>
        <w:t xml:space="preserve">and Grafe </w:t>
      </w:r>
      <w:hyperlink w:anchor="ref-Fore02">
        <w:r>
          <w:rPr>
            <w:rStyle w:val="Hyperlink"/>
          </w:rPr>
          <w:t>2002</w:t>
        </w:r>
      </w:hyperlink>
      <w:r>
        <w:t xml:space="preserve">; Beck and Hatch </w:t>
      </w:r>
      <w:hyperlink w:anchor="ref-Beck09">
        <w:r>
          <w:rPr>
            <w:rStyle w:val="Hyperlink"/>
          </w:rPr>
          <w:t>2009</w:t>
        </w:r>
      </w:hyperlink>
      <w:r>
        <w:t xml:space="preserve">; Borja, Ranasinghe, and Weisberg </w:t>
      </w:r>
      <w:hyperlink w:anchor="ref-Borja09">
        <w:r>
          <w:rPr>
            <w:rStyle w:val="Hyperlink"/>
          </w:rPr>
          <w:t>2009</w:t>
        </w:r>
      </w:hyperlink>
      <w:r>
        <w:t>).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rsidR="00B86358" w:rsidRDefault="009E2199" w:rsidP="0091258F">
      <w:pPr>
        <w:pStyle w:val="BodyText"/>
        <w:spacing w:line="480" w:lineRule="auto"/>
      </w:pPr>
      <w:r>
        <w:t xml:space="preserve">Bioassessment products will have limited use if they do not meet the needs of management and regulatory communities (Bain et al. </w:t>
      </w:r>
      <w:hyperlink w:anchor="ref-Bain00">
        <w:r>
          <w:rPr>
            <w:rStyle w:val="Hyperlink"/>
          </w:rPr>
          <w:t>2000</w:t>
        </w:r>
      </w:hyperlink>
      <w:r>
        <w:t xml:space="preserve">; Stein et al. </w:t>
      </w:r>
      <w:hyperlink w:anchor="ref-Stein09">
        <w:r>
          <w:rPr>
            <w:rStyle w:val="Hyperlink"/>
          </w:rPr>
          <w:t>2009</w:t>
        </w:r>
      </w:hyperlink>
      <w:r>
        <w:t xml:space="preserve">; Kuehne et al. </w:t>
      </w:r>
      <w:hyperlink w:anchor="ref-Kuehne17">
        <w:r>
          <w:rPr>
            <w:rStyle w:val="Hyperlink"/>
          </w:rPr>
          <w:t>2017</w:t>
        </w:r>
      </w:hyperlink>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 (Kuehne et al. </w:t>
      </w:r>
      <w:hyperlink w:anchor="ref-Kuehne17">
        <w:r>
          <w:rPr>
            <w:rStyle w:val="Hyperlink"/>
          </w:rPr>
          <w:t>2017</w:t>
        </w:r>
      </w:hyperlink>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 (Niemi and McDonald </w:t>
      </w:r>
      <w:hyperlink w:anchor="ref-Niemi04">
        <w:r>
          <w:rPr>
            <w:rStyle w:val="Hyperlink"/>
          </w:rPr>
          <w:t>2004</w:t>
        </w:r>
      </w:hyperlink>
      <w:r>
        <w:t xml:space="preserve">). Bioassessment tools for guiding planning activities, such as identifying conservation priorities (Linke, Turak, and Nel </w:t>
      </w:r>
      <w:hyperlink w:anchor="ref-Linke11">
        <w:r>
          <w:rPr>
            <w:rStyle w:val="Hyperlink"/>
          </w:rPr>
          <w:t>2011</w:t>
        </w:r>
      </w:hyperlink>
      <w:r>
        <w:t xml:space="preserve">; Howard et al. </w:t>
      </w:r>
      <w:hyperlink w:anchor="ref-Howard18">
        <w:r>
          <w:rPr>
            <w:rStyle w:val="Hyperlink"/>
          </w:rPr>
          <w:t>2018</w:t>
        </w:r>
      </w:hyperlink>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 (Nielsen </w:t>
      </w:r>
      <w:hyperlink w:anchor="ref-Nielsen11">
        <w:r>
          <w:rPr>
            <w:rStyle w:val="Hyperlink"/>
          </w:rPr>
          <w:t>2011</w:t>
        </w:r>
      </w:hyperlink>
      <w:r>
        <w:t xml:space="preserve">; Hampton et al. </w:t>
      </w:r>
      <w:hyperlink w:anchor="ref-Hampton15">
        <w:r>
          <w:rPr>
            <w:rStyle w:val="Hyperlink"/>
          </w:rPr>
          <w:t>2015</w:t>
        </w:r>
      </w:hyperlink>
      <w:r>
        <w:t>).</w:t>
      </w:r>
    </w:p>
    <w:p w:rsidR="00B86358" w:rsidRDefault="009E2199" w:rsidP="0091258F">
      <w:pPr>
        <w:pStyle w:val="BodyText"/>
        <w:spacing w:line="480" w:lineRule="auto"/>
      </w:pPr>
      <w:r>
        <w:t xml:space="preserve">An effective bioassessment product must jointly address the technical challenges of developing a diagnostic index and the implementation challenges of using an index to address the needs of environmental managers and regulators (Jackson and Davis </w:t>
      </w:r>
      <w:hyperlink w:anchor="ref-Jackson94">
        <w:r>
          <w:rPr>
            <w:rStyle w:val="Hyperlink"/>
          </w:rPr>
          <w:t>1994</w:t>
        </w:r>
      </w:hyperlink>
      <w:r>
        <w:t xml:space="preserve">; Dale and Beyeler </w:t>
      </w:r>
      <w:hyperlink w:anchor="ref-Dale01">
        <w:r>
          <w:rPr>
            <w:rStyle w:val="Hyperlink"/>
          </w:rPr>
          <w:t>2001</w:t>
        </w:r>
      </w:hyperlink>
      <w:r>
        <w:t xml:space="preserve">). For decades, research in the bioassessment community has focused on addressing the former. 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 (McDonald et al. </w:t>
      </w:r>
      <w:hyperlink w:anchor="ref-McDonald04">
        <w:r>
          <w:rPr>
            <w:rStyle w:val="Hyperlink"/>
          </w:rPr>
          <w:t>2004</w:t>
        </w:r>
      </w:hyperlink>
      <w:r>
        <w:t xml:space="preserve">; Stoddard et al. </w:t>
      </w:r>
      <w:hyperlink w:anchor="ref-Stoddard08">
        <w:r>
          <w:rPr>
            <w:rStyle w:val="Hyperlink"/>
          </w:rPr>
          <w:t>2008</w:t>
        </w:r>
      </w:hyperlink>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 (Birk et al. </w:t>
      </w:r>
      <w:hyperlink w:anchor="ref-Birk12">
        <w:r>
          <w:rPr>
            <w:rStyle w:val="Hyperlink"/>
          </w:rPr>
          <w:t>2012</w:t>
        </w:r>
      </w:hyperlink>
      <w:r>
        <w:t xml:space="preserve">) and concerns about redundancy, comparability, duplicated effort, and lack of coordinated monitoring have recently been discussed within the research community (Cao and Hawkins </w:t>
      </w:r>
      <w:hyperlink w:anchor="ref-Cao11">
        <w:r>
          <w:rPr>
            <w:rStyle w:val="Hyperlink"/>
          </w:rPr>
          <w:t>2011</w:t>
        </w:r>
      </w:hyperlink>
      <w:r>
        <w:t xml:space="preserve">; Poikane et al. </w:t>
      </w:r>
      <w:hyperlink w:anchor="ref-Poikane14">
        <w:r>
          <w:rPr>
            <w:rStyle w:val="Hyperlink"/>
          </w:rPr>
          <w:t>2014</w:t>
        </w:r>
      </w:hyperlink>
      <w:r>
        <w:t xml:space="preserve">; Kelly et al. </w:t>
      </w:r>
      <w:hyperlink w:anchor="ref-Kelly16">
        <w:r>
          <w:rPr>
            <w:rStyle w:val="Hyperlink"/>
          </w:rPr>
          <w:t>2016</w:t>
        </w:r>
      </w:hyperlink>
      <w:r>
        <w:t xml:space="preserve">; Nichols et al. </w:t>
      </w:r>
      <w:hyperlink w:anchor="ref-Nichols16">
        <w:r>
          <w:rPr>
            <w:rStyle w:val="Hyperlink"/>
          </w:rPr>
          <w:t>2016</w:t>
        </w:r>
      </w:hyperlink>
      <w:r>
        <w:t xml:space="preserve">). Moreover, existing methods may not be discoverable beyond immediate research applications (Hering et al. </w:t>
      </w:r>
      <w:hyperlink w:anchor="ref-Hering10">
        <w:r>
          <w:rPr>
            <w:rStyle w:val="Hyperlink"/>
          </w:rPr>
          <w:t>2010</w:t>
        </w:r>
      </w:hyperlink>
      <w:r>
        <w:t xml:space="preserve">; Nichols et al. </w:t>
      </w:r>
      <w:hyperlink w:anchor="ref-Nichols16">
        <w:r>
          <w:rPr>
            <w:rStyle w:val="Hyperlink"/>
          </w:rPr>
          <w:t>2016</w:t>
        </w:r>
      </w:hyperlink>
      <w:r>
        <w:t xml:space="preserve">) or may be incorrectly applied based on differences between goals for developing an index and the needs of management programs (Dale and Beyeler </w:t>
      </w:r>
      <w:hyperlink w:anchor="ref-Dale01">
        <w:r>
          <w:rPr>
            <w:rStyle w:val="Hyperlink"/>
          </w:rPr>
          <w:t>2001</w:t>
        </w:r>
      </w:hyperlink>
      <w:r>
        <w:t xml:space="preserve">; Stein et al. </w:t>
      </w:r>
      <w:hyperlink w:anchor="ref-Stein09">
        <w:r>
          <w:rPr>
            <w:rStyle w:val="Hyperlink"/>
          </w:rPr>
          <w:t>2009</w:t>
        </w:r>
      </w:hyperlink>
      <w:r>
        <w:t xml:space="preserve">). The abundance of available methods can be a point of frustration for managers given a lack of guidance for choosing an appropriate method among alternatives, particularly as to how a method may relate to specific management, monitoring, or policy objectives (Dale and Beyeler </w:t>
      </w:r>
      <w:hyperlink w:anchor="ref-Dale01">
        <w:r>
          <w:rPr>
            <w:rStyle w:val="Hyperlink"/>
          </w:rPr>
          <w:t>2001</w:t>
        </w:r>
      </w:hyperlink>
      <w:r>
        <w:t xml:space="preserve">; Stein et al. </w:t>
      </w:r>
      <w:hyperlink w:anchor="ref-Stein09">
        <w:r>
          <w:rPr>
            <w:rStyle w:val="Hyperlink"/>
          </w:rPr>
          <w:t>2009</w:t>
        </w:r>
      </w:hyperlink>
      <w:r>
        <w:t>).</w:t>
      </w:r>
    </w:p>
    <w:p w:rsidR="00B86358" w:rsidRDefault="009E2199" w:rsidP="0091258F">
      <w:pPr>
        <w:pStyle w:val="BodyText"/>
        <w:spacing w:line="480" w:lineRule="auto"/>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 (Hampton et al. </w:t>
      </w:r>
      <w:hyperlink w:anchor="ref-Hampton15">
        <w:r>
          <w:rPr>
            <w:rStyle w:val="Hyperlink"/>
          </w:rPr>
          <w:t>2015</w:t>
        </w:r>
      </w:hyperlink>
      <w:r>
        <w:t xml:space="preserve">, </w:t>
      </w:r>
      <w:hyperlink w:anchor="ref-Hampton16">
        <w:r>
          <w:rPr>
            <w:rStyle w:val="Hyperlink"/>
          </w:rPr>
          <w:t>2016</w:t>
        </w:r>
      </w:hyperlink>
      <w:r>
        <w:t xml:space="preserve">; Lowndes et al. </w:t>
      </w:r>
      <w:hyperlink w:anchor="ref-Lowndes17">
        <w:r>
          <w:rPr>
            <w:rStyle w:val="Hyperlink"/>
          </w:rPr>
          <w:t>2017</w:t>
        </w:r>
      </w:hyperlink>
      <w:r>
        <w:t xml:space="preserve">) and a growing wave of momentum has influenced how scientists conceptualize research in other disciplines (e.g., archaeology, Marwick et al. </w:t>
      </w:r>
      <w:hyperlink w:anchor="ref-Marwick16">
        <w:r>
          <w:rPr>
            <w:rStyle w:val="Hyperlink"/>
          </w:rPr>
          <w:t>2016</w:t>
        </w:r>
      </w:hyperlink>
      <w:r>
        <w:t xml:space="preserve">; behavioral ecology, Ihle et al. </w:t>
      </w:r>
      <w:hyperlink w:anchor="ref-Ihle17">
        <w:r>
          <w:rPr>
            <w:rStyle w:val="Hyperlink"/>
          </w:rPr>
          <w:t>2017</w:t>
        </w:r>
      </w:hyperlink>
      <w:r>
        <w:t xml:space="preserve">; vegetation sciences, Collins </w:t>
      </w:r>
      <w:hyperlink w:anchor="ref-Collins16">
        <w:r>
          <w:rPr>
            <w:rStyle w:val="Hyperlink"/>
          </w:rPr>
          <w:t>2016</w:t>
        </w:r>
      </w:hyperlink>
      <w:r>
        <w:t>).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rsidR="00B86358" w:rsidRDefault="009E2199" w:rsidP="0091258F">
      <w:pPr>
        <w:pStyle w:val="BodyText"/>
        <w:spacing w:line="480" w:lineRule="auto"/>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w:t>
      </w:r>
      <w:r>
        <w:lastRenderedPageBreak/>
        <w:t>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rsidR="00B86358" w:rsidRDefault="009E2199" w:rsidP="0091258F">
      <w:pPr>
        <w:pStyle w:val="Heading1"/>
        <w:spacing w:line="480" w:lineRule="auto"/>
      </w:pPr>
      <w:bookmarkStart w:id="3" w:name="principles-of-open-science"/>
      <w:r>
        <w:t>Principles of open science</w:t>
      </w:r>
      <w:bookmarkEnd w:id="3"/>
    </w:p>
    <w:p w:rsidR="00B86358" w:rsidRDefault="009E2199" w:rsidP="0091258F">
      <w:pPr>
        <w:pStyle w:val="FirstParagraph"/>
        <w:spacing w:line="480" w:lineRule="auto"/>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 “research paper as the only and final product” for the conventional approach, whereas the open science approach is inherently linked to advances in communication and analysis that have been facilitated by the Internet and computer </w:t>
      </w:r>
      <w:r>
        <w:lastRenderedPageBreak/>
        <w:t>sciences (Table 1). As a result, the open science approach can enhance all aspects of the scientific process from initial conception of a research idea to the delivery and longevity of a research product (Figure 1). The process is iterative where products are improved by the individual and/or others, facilitated by open science tools that enhance access and reproducibility of data.</w:t>
      </w:r>
    </w:p>
    <w:p w:rsidR="00B86358" w:rsidRDefault="009E2199" w:rsidP="0091258F">
      <w:pPr>
        <w:pStyle w:val="BodyText"/>
        <w:spacing w:line="480" w:lineRule="auto"/>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 (e.g., Mitchell </w:t>
      </w:r>
      <w:hyperlink w:anchor="ref-Mitchell05">
        <w:r>
          <w:rPr>
            <w:rStyle w:val="Hyperlink"/>
          </w:rPr>
          <w:t>2005</w:t>
        </w:r>
      </w:hyperlink>
      <w:r>
        <w:t xml:space="preserve">; Liu et al. </w:t>
      </w:r>
      <w:hyperlink w:anchor="ref-Liu08">
        <w:r>
          <w:rPr>
            <w:rStyle w:val="Hyperlink"/>
          </w:rPr>
          <w:t>2008</w:t>
        </w:r>
      </w:hyperlink>
      <w:r>
        <w:t xml:space="preserve">). Information loss over time is another well-known flaw associated with the paradigm of research paper as final product (Michener et al. </w:t>
      </w:r>
      <w:hyperlink w:anchor="ref-Michener97">
        <w:r>
          <w:rPr>
            <w:rStyle w:val="Hyperlink"/>
          </w:rPr>
          <w:t>1997</w:t>
        </w:r>
      </w:hyperlink>
      <w:r>
        <w:t>).</w:t>
      </w:r>
    </w:p>
    <w:p w:rsidR="00B86358" w:rsidRDefault="009E2199" w:rsidP="0091258F">
      <w:pPr>
        <w:pStyle w:val="Heading2"/>
        <w:spacing w:line="480" w:lineRule="auto"/>
      </w:pPr>
      <w:bookmarkStart w:id="4" w:name="open-data-as-a-component-of-the-open-sci"/>
      <w:r>
        <w:lastRenderedPageBreak/>
        <w:t>Open data as a component of the open science process</w:t>
      </w:r>
      <w:bookmarkEnd w:id="4"/>
    </w:p>
    <w:p w:rsidR="00B86358" w:rsidRDefault="009E2199" w:rsidP="0091258F">
      <w:pPr>
        <w:pStyle w:val="FirstParagraph"/>
        <w:spacing w:line="480" w:lineRule="auto"/>
      </w:pPr>
      <w:r>
        <w:t xml:space="preserve">Open data is a fundamental component of the broader open science process in Figure 1.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 (Horsburgh et al. </w:t>
      </w:r>
      <w:hyperlink w:anchor="ref-Horsburgh16">
        <w:r>
          <w:rPr>
            <w:rStyle w:val="Hyperlink"/>
          </w:rPr>
          <w:t>2016</w:t>
        </w:r>
      </w:hyperlink>
      <w:r>
        <w:t xml:space="preserve">; Hsu et al. </w:t>
      </w:r>
      <w:hyperlink w:anchor="ref-Hsu17">
        <w:r>
          <w:rPr>
            <w:rStyle w:val="Hyperlink"/>
          </w:rPr>
          <w:t>2017</w:t>
        </w:r>
      </w:hyperlink>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 (Bond-Lamberty, Smith, and Bailey </w:t>
      </w:r>
      <w:hyperlink w:anchor="ref-BondLamberty16">
        <w:r>
          <w:rPr>
            <w:rStyle w:val="Hyperlink"/>
          </w:rPr>
          <w:t>2016</w:t>
        </w:r>
      </w:hyperlink>
      <w:r>
        <w:t>).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rsidR="00B86358" w:rsidRDefault="009E2199" w:rsidP="0091258F">
      <w:pPr>
        <w:pStyle w:val="BodyText"/>
        <w:spacing w:line="480" w:lineRule="auto"/>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w:t>
      </w:r>
      <w:r>
        <w:lastRenderedPageBreak/>
        <w:t xml:space="preserve">from the primary literature (Lortie </w:t>
      </w:r>
      <w:hyperlink w:anchor="ref-Lortie14">
        <w:r>
          <w:rPr>
            <w:rStyle w:val="Hyperlink"/>
          </w:rPr>
          <w:t>2014</w:t>
        </w:r>
      </w:hyperlink>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 (Lowndes et al. </w:t>
      </w:r>
      <w:hyperlink w:anchor="ref-Lowndes17">
        <w:r>
          <w:rPr>
            <w:rStyle w:val="Hyperlink"/>
          </w:rPr>
          <w:t>2017</w:t>
        </w:r>
      </w:hyperlink>
      <w:r>
        <w:t xml:space="preserve">) and have proven useful in recent applications in the hydrologic sciences (Idaszak et al. </w:t>
      </w:r>
      <w:hyperlink w:anchor="ref-Idaszak17">
        <w:r>
          <w:rPr>
            <w:rStyle w:val="Hyperlink"/>
          </w:rPr>
          <w:t>2017</w:t>
        </w:r>
      </w:hyperlink>
      <w:r>
        <w:t>).</w:t>
      </w:r>
    </w:p>
    <w:p w:rsidR="00B86358" w:rsidRDefault="009E2199" w:rsidP="0091258F">
      <w:pPr>
        <w:pStyle w:val="BodyText"/>
        <w:spacing w:line="480" w:lineRule="auto"/>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 </w:t>
      </w:r>
      <w:hyperlink r:id="rId15">
        <w:r>
          <w:rPr>
            <w:rStyle w:val="Hyperlink"/>
          </w:rPr>
          <w:t>EML</w:t>
        </w:r>
      </w:hyperlink>
      <w:r>
        <w:t xml:space="preserve">) and integration of data within federated data networks (e.g., </w:t>
      </w:r>
      <w:hyperlink r:id="rId16">
        <w:r>
          <w:rPr>
            <w:rStyle w:val="Hyperlink"/>
          </w:rPr>
          <w:t>DataONE</w:t>
        </w:r>
      </w:hyperlink>
      <w:r>
        <w:t xml:space="preserve">, </w:t>
      </w:r>
      <w:hyperlink r:id="rId17">
        <w:r>
          <w:rPr>
            <w:rStyle w:val="Hyperlink"/>
          </w:rPr>
          <w:t>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 (Grand et al. </w:t>
      </w:r>
      <w:hyperlink w:anchor="ref-Grand12">
        <w:r>
          <w:rPr>
            <w:rStyle w:val="Hyperlink"/>
          </w:rPr>
          <w:t>2012</w:t>
        </w:r>
      </w:hyperlink>
      <w:r>
        <w:t xml:space="preserve">). Similar concepts are used in “blockchain” technologies that allow public financial transactions in an open, distributed format, </w:t>
      </w:r>
      <w:r>
        <w:lastRenderedPageBreak/>
        <w:t xml:space="preserve">as for trading in cryptocurrencies (Pilkington </w:t>
      </w:r>
      <w:hyperlink w:anchor="ref-Pilkington16">
        <w:r>
          <w:rPr>
            <w:rStyle w:val="Hyperlink"/>
          </w:rPr>
          <w:t>2016</w:t>
        </w:r>
      </w:hyperlink>
      <w:r>
        <w:t>). Increased trust could facilitate eventual adoption of proposed rules or regulations that are based on research products created from open data.</w:t>
      </w:r>
    </w:p>
    <w:p w:rsidR="00B86358" w:rsidRDefault="009E2199" w:rsidP="0091258F">
      <w:pPr>
        <w:pStyle w:val="Heading1"/>
        <w:spacing w:line="480" w:lineRule="auto"/>
      </w:pPr>
      <w:bookmarkStart w:id="5" w:name="applying-open-science-principles-to-bioa"/>
      <w:r>
        <w:t>Applying open science principles to bioassessment</w:t>
      </w:r>
      <w:bookmarkEnd w:id="5"/>
    </w:p>
    <w:p w:rsidR="00B86358" w:rsidRDefault="009E2199" w:rsidP="0091258F">
      <w:pPr>
        <w:pStyle w:val="FirstParagraph"/>
        <w:spacing w:line="480" w:lineRule="auto"/>
      </w:pPr>
      <w:r>
        <w:t>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 “conventional” linear process (Figure 2a), which is then contrasted with a process that adopts open science tools to facilitate feedback between the management community and stakeholders (Figure 2b).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rsidR="00B86358" w:rsidRDefault="009E2199" w:rsidP="0091258F">
      <w:pPr>
        <w:pStyle w:val="BodyText"/>
        <w:spacing w:line="480" w:lineRule="auto"/>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w:t>
      </w:r>
      <w:r>
        <w:lastRenderedPageBreak/>
        <w:t xml:space="preserve">to refine methods for molecular applications (Baird and Hajibabaei </w:t>
      </w:r>
      <w:hyperlink w:anchor="ref-Baird12">
        <w:r>
          <w:rPr>
            <w:rStyle w:val="Hyperlink"/>
          </w:rPr>
          <w:t>2012</w:t>
        </w:r>
      </w:hyperlink>
      <w:r>
        <w:t>).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rsidR="00B86358" w:rsidRDefault="009E2199" w:rsidP="0091258F">
      <w:pPr>
        <w:pStyle w:val="BodyText"/>
        <w:spacing w:line="480" w:lineRule="auto"/>
      </w:pPr>
      <w:r>
        <w:t xml:space="preserve">The below examples require understanding the distinction between the general open science process in Figure 1,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 1. However, open science tools can also be used by individual researchers in an entirely closed workflow with no collaboration or discoverability by others. Similarly, open data can be created through an entirely closed process even though it may appear as an open science product. “Openness” 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w:t>
      </w:r>
      <w:r>
        <w:lastRenderedPageBreak/>
        <w:t>acceptance by the research team and collaborators of the concepts described in Table 1 is critical to achieving openness.</w:t>
      </w:r>
    </w:p>
    <w:p w:rsidR="00B86358" w:rsidRDefault="009E2199" w:rsidP="0091258F">
      <w:pPr>
        <w:pStyle w:val="BodyText"/>
        <w:spacing w:line="480" w:lineRule="auto"/>
      </w:pPr>
      <w:r>
        <w:t>Concepts of openness in 1 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 “black box” of the internal code. Finally, open processes can make data available both from an accessibility and “readability” perspective, as for both human- and machine-readable formats. Inaccessible data by contrast have none of these properties and may be proprietary or unreadable for analysis (e.g., an image of a data table in a PDF).</w:t>
      </w:r>
    </w:p>
    <w:p w:rsidR="00B86358" w:rsidRDefault="009E2199" w:rsidP="0091258F">
      <w:pPr>
        <w:pStyle w:val="Heading2"/>
        <w:spacing w:line="480" w:lineRule="auto"/>
      </w:pPr>
      <w:bookmarkStart w:id="6" w:name="conventional-bioassessment"/>
      <w:r>
        <w:t>Conventional bioassessment</w:t>
      </w:r>
      <w:bookmarkEnd w:id="6"/>
    </w:p>
    <w:p w:rsidR="00B86358" w:rsidRDefault="009E2199" w:rsidP="0091258F">
      <w:pPr>
        <w:pStyle w:val="FirstParagraph"/>
        <w:spacing w:line="480" w:lineRule="auto"/>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t>
      </w:r>
      <w:r>
        <w:lastRenderedPageBreak/>
        <w:t>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 2a).</w:t>
      </w:r>
    </w:p>
    <w:p w:rsidR="00B86358" w:rsidRDefault="009E2199" w:rsidP="0091258F">
      <w:pPr>
        <w:pStyle w:val="BodyText"/>
        <w:spacing w:line="480" w:lineRule="auto"/>
      </w:pPr>
      <w:r>
        <w:t>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rsidR="00B86358" w:rsidRDefault="009E2199" w:rsidP="0091258F">
      <w:pPr>
        <w:pStyle w:val="BodyText"/>
        <w:spacing w:line="480" w:lineRule="auto"/>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w:t>
      </w:r>
      <w:r>
        <w:lastRenderedPageBreak/>
        <w:t xml:space="preserve">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 “cradle to dashboard” to remediate these issues, where code development, data, and final products are intimately linked from conception to completion (e.g., for environmental flows, </w:t>
      </w:r>
      <w:hyperlink r:id="rId18">
        <w:r>
          <w:rPr>
            <w:rStyle w:val="Hyperlink"/>
          </w:rPr>
          <w:t>https://eflows.ucdavis.edu/</w:t>
        </w:r>
      </w:hyperlink>
      <w:r>
        <w:t>), but these approaches are still uncommon within the bioassessment community.</w:t>
      </w:r>
    </w:p>
    <w:p w:rsidR="00B86358" w:rsidRDefault="009E2199" w:rsidP="0091258F">
      <w:pPr>
        <w:pStyle w:val="Heading2"/>
        <w:spacing w:line="480" w:lineRule="auto"/>
      </w:pPr>
      <w:bookmarkStart w:id="7" w:name="using-open-science-tools-to-enhance-bioa"/>
      <w:r>
        <w:t>Using open science tools to enhance bioassessment</w:t>
      </w:r>
      <w:bookmarkEnd w:id="7"/>
    </w:p>
    <w:p w:rsidR="00B86358" w:rsidRDefault="009E2199" w:rsidP="0091258F">
      <w:pPr>
        <w:pStyle w:val="FirstParagraph"/>
        <w:spacing w:line="480" w:lineRule="auto"/>
      </w:pPr>
      <w:r>
        <w:t>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rsidR="00B86358" w:rsidRDefault="009E2199" w:rsidP="0091258F">
      <w:pPr>
        <w:pStyle w:val="BodyText"/>
        <w:spacing w:line="480" w:lineRule="auto"/>
      </w:pPr>
      <w:r>
        <w:lastRenderedPageBreak/>
        <w:t>The overall process is shown in Figure 2b as an expansion of general concepts in Figure 1,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rsidR="00B86358" w:rsidRDefault="009E2199" w:rsidP="0091258F">
      <w:pPr>
        <w:pStyle w:val="Heading3"/>
        <w:spacing w:line="480" w:lineRule="auto"/>
      </w:pPr>
      <w:bookmarkStart w:id="8" w:name="developing-bioassessment-goals"/>
      <w:r>
        <w:t>Developing bioassessment goals</w:t>
      </w:r>
      <w:bookmarkEnd w:id="8"/>
    </w:p>
    <w:p w:rsidR="00B86358" w:rsidRDefault="009E2199" w:rsidP="0091258F">
      <w:pPr>
        <w:pStyle w:val="FirstParagraph"/>
        <w:spacing w:line="480" w:lineRule="auto"/>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w:t>
      </w:r>
      <w:hyperlink r:id="rId19">
        <w:r>
          <w:rPr>
            <w:rStyle w:val="Hyperlink"/>
          </w:rPr>
          <w:t>Google documents</w:t>
        </w:r>
      </w:hyperlink>
      <w:r>
        <w:t xml:space="preserve">, </w:t>
      </w:r>
      <w:hyperlink r:id="rId20">
        <w:r>
          <w:rPr>
            <w:rStyle w:val="Hyperlink"/>
          </w:rPr>
          <w:t>Slack</w:t>
        </w:r>
      </w:hyperlink>
      <w:r>
        <w:t xml:space="preserve"> discussion channels, and open lab notebooks can be instrumental for collaboration. More informal approaches, such as blogging and sharing ideas on social media, can expose new concepts to the broader community for guidance (Woelfle, Olliaro, and Todd </w:t>
      </w:r>
      <w:hyperlink w:anchor="ref-Woelfle11">
        <w:r>
          <w:rPr>
            <w:rStyle w:val="Hyperlink"/>
          </w:rPr>
          <w:t>2011</w:t>
        </w:r>
      </w:hyperlink>
      <w:r>
        <w:t xml:space="preserve">; Darling et al. </w:t>
      </w:r>
      <w:hyperlink w:anchor="ref-Darling13">
        <w:r>
          <w:rPr>
            <w:rStyle w:val="Hyperlink"/>
          </w:rPr>
          <w:t>2013</w:t>
        </w:r>
      </w:hyperlink>
      <w:r>
        <w:t xml:space="preserve">). Overall, the research team should use these tools to identify stakeholder needs while also considering the balance between the research goals and limitations </w:t>
      </w:r>
      <w:r>
        <w:lastRenderedPageBreak/>
        <w:t>of the data to meet these goals. This will ensure that the needs of the management and stakeholder communities will be consistent with the services provided by the research product.</w:t>
      </w:r>
    </w:p>
    <w:p w:rsidR="00B86358" w:rsidRDefault="009E2199" w:rsidP="0091258F">
      <w:pPr>
        <w:pStyle w:val="Heading3"/>
        <w:spacing w:line="480" w:lineRule="auto"/>
      </w:pPr>
      <w:bookmarkStart w:id="9" w:name="curating-bioassessment-data"/>
      <w:r>
        <w:t>Curating bioassessment data</w:t>
      </w:r>
      <w:bookmarkEnd w:id="9"/>
    </w:p>
    <w:p w:rsidR="00B86358" w:rsidRDefault="009E2199" w:rsidP="0091258F">
      <w:pPr>
        <w:pStyle w:val="FirstParagraph"/>
        <w:spacing w:line="480" w:lineRule="auto"/>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 (e.g, using </w:t>
      </w:r>
      <w:r>
        <w:rPr>
          <w:rStyle w:val="VerbatimChar"/>
        </w:rPr>
        <w:t>knitr</w:t>
      </w:r>
      <w:r>
        <w:t xml:space="preserve">, Xie </w:t>
      </w:r>
      <w:hyperlink w:anchor="ref-Xie15">
        <w:r>
          <w:rPr>
            <w:rStyle w:val="Hyperlink"/>
          </w:rPr>
          <w:t>2015</w:t>
        </w:r>
      </w:hyperlink>
      <w:r>
        <w:t xml:space="preserve">; RMarkdown, Allaire et al. </w:t>
      </w:r>
      <w:hyperlink w:anchor="ref-Allaire18">
        <w:r>
          <w:rPr>
            <w:rStyle w:val="Hyperlink"/>
          </w:rPr>
          <w:t>2018</w:t>
        </w:r>
      </w:hyperlink>
      <w:r>
        <w:t xml:space="preserve">; Jupyter notebooks, Kluyver et al. </w:t>
      </w:r>
      <w:hyperlink w:anchor="ref-Kluyver16">
        <w:r>
          <w:rPr>
            <w:rStyle w:val="Hyperlink"/>
          </w:rPr>
          <w:t>2016</w:t>
        </w:r>
      </w:hyperlink>
      <w:r>
        <w:t>). The data product also becomes available on an open data repository that is discoverable by other researchers and can contribute to alternative scientific advances beyond the immediate goals (e.g., Hydroshare for the hydrologic sciences, Idaszak et al. (</w:t>
      </w:r>
      <w:hyperlink w:anchor="ref-Idaszak17">
        <w:r>
          <w:rPr>
            <w:rStyle w:val="Hyperlink"/>
          </w:rPr>
          <w:t>2017</w:t>
        </w:r>
      </w:hyperlink>
      <w:r>
        <w:t>)).</w:t>
      </w:r>
    </w:p>
    <w:p w:rsidR="00B86358" w:rsidRDefault="009E2199" w:rsidP="0091258F">
      <w:pPr>
        <w:pStyle w:val="BodyText"/>
        <w:spacing w:line="480" w:lineRule="auto"/>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w:t>
      </w:r>
      <w:r>
        <w:lastRenderedPageBreak/>
        <w:t xml:space="preserve">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 </w:t>
      </w:r>
      <w:hyperlink r:id="rId21">
        <w:r>
          <w:rPr>
            <w:rStyle w:val="Hyperlink"/>
          </w:rPr>
          <w:t>Zenodo</w:t>
        </w:r>
      </w:hyperlink>
      <w:r>
        <w:t>) that provides a permanent address and is also citable to allow researchers to track usage of a bioassessment data product.</w:t>
      </w:r>
    </w:p>
    <w:p w:rsidR="00B86358" w:rsidRDefault="009E2199" w:rsidP="0091258F">
      <w:pPr>
        <w:pStyle w:val="Heading3"/>
        <w:spacing w:line="480" w:lineRule="auto"/>
      </w:pPr>
      <w:bookmarkStart w:id="10" w:name="using-r-for-bioassessment-translation"/>
      <w:r>
        <w:t>Using R for bioassessment translation</w:t>
      </w:r>
      <w:bookmarkEnd w:id="10"/>
    </w:p>
    <w:p w:rsidR="00B86358" w:rsidRDefault="009E2199" w:rsidP="0091258F">
      <w:pPr>
        <w:pStyle w:val="FirstParagraph"/>
        <w:spacing w:line="480" w:lineRule="auto"/>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 (RDCT (R Development Core Team) </w:t>
      </w:r>
      <w:hyperlink w:anchor="ref-RDCT18">
        <w:r>
          <w:rPr>
            <w:rStyle w:val="Hyperlink"/>
          </w:rPr>
          <w:t>2018</w:t>
        </w:r>
      </w:hyperlink>
      <w:r>
        <w:t xml:space="preserve">) is one of the most commonly used analysis platforms in the environmental sciences for creating specific analysis workflows (Lai et al. </w:t>
      </w:r>
      <w:hyperlink w:anchor="ref-Lai19">
        <w:r>
          <w:rPr>
            <w:rStyle w:val="Hyperlink"/>
          </w:rPr>
          <w:t>2019</w:t>
        </w:r>
      </w:hyperlink>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w:t>
      </w:r>
      <w:r>
        <w:lastRenderedPageBreak/>
        <w:t>is critical for reaching management and stakeholders by providing a tool that redirects the focus on the output and not the technical details that are less important for decision-making.</w:t>
      </w:r>
    </w:p>
    <w:p w:rsidR="00B86358" w:rsidRDefault="009E2199" w:rsidP="0091258F">
      <w:pPr>
        <w:pStyle w:val="BodyText"/>
        <w:spacing w:line="480" w:lineRule="auto"/>
      </w:pPr>
      <w:r>
        <w:t xml:space="preserve">Many existing R packages have value for the bioassessment community (Table 2). For managing the day to day tasks of working with multiple datasets, the </w:t>
      </w:r>
      <w:r>
        <w:rPr>
          <w:rStyle w:val="VerbatimChar"/>
        </w:rPr>
        <w:t>tidyverse</w:t>
      </w:r>
      <w:r>
        <w:t xml:space="preserve"> suite of packages provides the necessary tools to import, wrangle, explore, and plot almost any data type (Wickham </w:t>
      </w:r>
      <w:hyperlink w:anchor="ref-Wickham17b">
        <w:r>
          <w:rPr>
            <w:rStyle w:val="Hyperlink"/>
          </w:rPr>
          <w:t>2017</w:t>
        </w:r>
      </w:hyperlink>
      <w:r>
        <w:t xml:space="preserve">). These packages are developed around the concept of “tidy” data that provide a common and natural framework for working with data (Wickham </w:t>
      </w:r>
      <w:hyperlink w:anchor="ref-Wickham14c">
        <w:r>
          <w:rPr>
            <w:rStyle w:val="Hyperlink"/>
          </w:rPr>
          <w:t>2014</w:t>
        </w:r>
      </w:hyperlink>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 </w:t>
      </w:r>
      <w:r>
        <w:rPr>
          <w:rStyle w:val="VerbatimChar"/>
        </w:rPr>
        <w:t>tidyverse</w:t>
      </w:r>
      <w:r>
        <w:t xml:space="preserve"> also includes the powerful </w:t>
      </w:r>
      <w:r>
        <w:rPr>
          <w:rStyle w:val="VerbatimChar"/>
        </w:rPr>
        <w:t>ggplot2</w:t>
      </w:r>
      <w:r>
        <w:t xml:space="preserve"> package that is based on a syntactical grammar of graphics for plotting (Wilkinson </w:t>
      </w:r>
      <w:hyperlink w:anchor="ref-Wilkinson05">
        <w:r>
          <w:rPr>
            <w:rStyle w:val="Hyperlink"/>
          </w:rPr>
          <w:t>2005</w:t>
        </w:r>
      </w:hyperlink>
      <w:r>
        <w:t xml:space="preserve">; Wickham </w:t>
      </w:r>
      <w:hyperlink w:anchor="ref-Wickham09">
        <w:r>
          <w:rPr>
            <w:rStyle w:val="Hyperlink"/>
          </w:rPr>
          <w:t>2009</w:t>
        </w:r>
      </w:hyperlink>
      <w:r>
        <w:t xml:space="preserve">). This package provides a set of independent plotting geometries and aesthetics that can be built piecewise and is a departure from other graphics packages that represent a collection of special cases that limit the freedom of the analyst. The structure of </w:t>
      </w:r>
      <w:r>
        <w:rPr>
          <w:rStyle w:val="VerbatimChar"/>
        </w:rPr>
        <w:t>ggplot2</w:t>
      </w:r>
      <w:r>
        <w:t xml:space="preserve"> makes data visualization an integral part of the analysis workflow, rather than only at the end of an analysis where final graphics are produced. In bioassessment, </w:t>
      </w:r>
      <w:r>
        <w:rPr>
          <w:rStyle w:val="VerbatimChar"/>
        </w:rPr>
        <w:t>ggplot2</w:t>
      </w:r>
      <w:r>
        <w:t xml:space="preserve"> 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rsidR="00B86358" w:rsidRDefault="009E2199" w:rsidP="0091258F">
      <w:pPr>
        <w:pStyle w:val="BodyText"/>
        <w:spacing w:line="480" w:lineRule="auto"/>
      </w:pPr>
      <w:r>
        <w:lastRenderedPageBreak/>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w:t>
      </w:r>
      <w:r>
        <w:rPr>
          <w:rStyle w:val="VerbatimChar"/>
        </w:rPr>
        <w:t>raster</w:t>
      </w:r>
      <w:r>
        <w:t xml:space="preserve"> package can used to read/write, manipulate, analyze, and model grid-based spatial data (Hijmans </w:t>
      </w:r>
      <w:hyperlink w:anchor="ref-Hijmans19">
        <w:r>
          <w:rPr>
            <w:rStyle w:val="Hyperlink"/>
          </w:rPr>
          <w:t>2019</w:t>
        </w:r>
      </w:hyperlink>
      <w:r>
        <w:t xml:space="preserve">), which are often common supporting layers for bioassessment (e.g., elevation or climate data). For vector data (i.e., points, lines, and polygons), the </w:t>
      </w:r>
      <w:r>
        <w:rPr>
          <w:rStyle w:val="VerbatimChar"/>
        </w:rPr>
        <w:t>sf</w:t>
      </w:r>
      <w:r>
        <w:t xml:space="preserve"> package (“simple features”, Pebesma (</w:t>
      </w:r>
      <w:hyperlink w:anchor="ref-Pebesma18">
        <w:r>
          <w:rPr>
            <w:rStyle w:val="Hyperlink"/>
          </w:rPr>
          <w:t>2018</w:t>
        </w:r>
      </w:hyperlink>
      <w:r>
        <w:t xml:space="preserve">)) was first released in 2016 and has quickly become the most highly-used approach for working with spatial information in R. The </w:t>
      </w:r>
      <w:r>
        <w:rPr>
          <w:rStyle w:val="VerbatimChar"/>
        </w:rPr>
        <w:t>sf</w:t>
      </w:r>
      <w:r>
        <w:t xml:space="preserve"> package uses principles of data storage that parallel those from the </w:t>
      </w:r>
      <w:r>
        <w:rPr>
          <w:rStyle w:val="VerbatimChar"/>
        </w:rPr>
        <w:t>tidyverse</w:t>
      </w:r>
      <w:r>
        <w:t xml:space="preserve"> by representing spatial objects in a tidy and tabular format. This facilitates analysis by presenting complex spatial structures in a readable format that can be integrated in workflows with existing packages, including other mapping packages (e.g., </w:t>
      </w:r>
      <w:r>
        <w:rPr>
          <w:rStyle w:val="VerbatimChar"/>
        </w:rPr>
        <w:t>leaflet</w:t>
      </w:r>
      <w:r>
        <w:t xml:space="preserve">, Cheng, Karambelkar, and Xie </w:t>
      </w:r>
      <w:hyperlink w:anchor="ref-Cheng18">
        <w:r>
          <w:rPr>
            <w:rStyle w:val="Hyperlink"/>
          </w:rPr>
          <w:t>2018</w:t>
        </w:r>
      </w:hyperlink>
      <w:r>
        <w:t xml:space="preserve">; or </w:t>
      </w:r>
      <w:r>
        <w:rPr>
          <w:rStyle w:val="VerbatimChar"/>
        </w:rPr>
        <w:t>mapview</w:t>
      </w:r>
      <w:r>
        <w:t xml:space="preserve">, Appelhans et al. </w:t>
      </w:r>
      <w:hyperlink w:anchor="ref-Appelhans18">
        <w:r>
          <w:rPr>
            <w:rStyle w:val="Hyperlink"/>
          </w:rPr>
          <w:t>2018</w:t>
        </w:r>
      </w:hyperlink>
      <w:r>
        <w:t>).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rsidR="00B86358" w:rsidRDefault="009E2199" w:rsidP="0091258F">
      <w:pPr>
        <w:pStyle w:val="BodyText"/>
        <w:spacing w:line="480" w:lineRule="auto"/>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w:t>
      </w:r>
      <w:r>
        <w:rPr>
          <w:rStyle w:val="VerbatimChar"/>
        </w:rPr>
        <w:t>randomForest</w:t>
      </w:r>
      <w:r>
        <w:t xml:space="preserve"> package (Liaw and Wiener </w:t>
      </w:r>
      <w:hyperlink w:anchor="ref-Liaw02">
        <w:r>
          <w:rPr>
            <w:rStyle w:val="Hyperlink"/>
          </w:rPr>
          <w:t>2002</w:t>
        </w:r>
      </w:hyperlink>
      <w:r>
        <w:t xml:space="preserve">) uses an ensemble learning approach that is robust to complex, non-linear relationships and interactions between variables. These models are particularly useful with large, regional datasets that describe natural and </w:t>
      </w:r>
      <w:r>
        <w:lastRenderedPageBreak/>
        <w:t xml:space="preserve">anthropogenic gradients in condition (Laan and Hawkins </w:t>
      </w:r>
      <w:hyperlink w:anchor="ref-VanderLaan14">
        <w:r>
          <w:rPr>
            <w:rStyle w:val="Hyperlink"/>
          </w:rPr>
          <w:t>2014</w:t>
        </w:r>
      </w:hyperlink>
      <w:r>
        <w:t xml:space="preserve">; Mazor et al. </w:t>
      </w:r>
      <w:hyperlink w:anchor="ref-Mazor16">
        <w:r>
          <w:rPr>
            <w:rStyle w:val="Hyperlink"/>
          </w:rPr>
          <w:t>2016</w:t>
        </w:r>
      </w:hyperlink>
      <w:r>
        <w:t xml:space="preserve">). Many other modelling packages are available in R that can support index development, such as exploratory analyses to evaluate biological response or identifying significant associations of organisms with stressor gradients. The </w:t>
      </w:r>
      <w:r>
        <w:rPr>
          <w:rStyle w:val="VerbatimChar"/>
        </w:rPr>
        <w:t>nlme</w:t>
      </w:r>
      <w:r>
        <w:t xml:space="preserve"> package can be used to create non-linear mixed effect models that are more flexible than standard regression approaches (Pinheiro et al. </w:t>
      </w:r>
      <w:hyperlink w:anchor="ref-Pinheiro18">
        <w:r>
          <w:rPr>
            <w:rStyle w:val="Hyperlink"/>
          </w:rPr>
          <w:t>2018</w:t>
        </w:r>
      </w:hyperlink>
      <w:r>
        <w:t xml:space="preserve">). The </w:t>
      </w:r>
      <w:r>
        <w:rPr>
          <w:rStyle w:val="VerbatimChar"/>
        </w:rPr>
        <w:t>nlme</w:t>
      </w:r>
      <w:r>
        <w:t xml:space="preserve"> package can develop models for nested sampling designs, such as repeat visits to sample sites or otherwise confounding variables that contribute information but are not unique observations (Mazor et al. </w:t>
      </w:r>
      <w:hyperlink w:anchor="ref-Mazor14">
        <w:r>
          <w:rPr>
            <w:rStyle w:val="Hyperlink"/>
          </w:rPr>
          <w:t>2014</w:t>
        </w:r>
      </w:hyperlink>
      <w:r>
        <w:t xml:space="preserve">). The </w:t>
      </w:r>
      <w:r>
        <w:rPr>
          <w:rStyle w:val="VerbatimChar"/>
        </w:rPr>
        <w:t>mgcv</w:t>
      </w:r>
      <w:r>
        <w:t xml:space="preserve"> package provides similar functionality as </w:t>
      </w:r>
      <w:r>
        <w:rPr>
          <w:rStyle w:val="VerbatimChar"/>
        </w:rPr>
        <w:t>nlme</w:t>
      </w:r>
      <w:r>
        <w:t xml:space="preserve">, but uses an additive modelling approach where individual effects can be evaluated as the sum of smoothed terms (Wood </w:t>
      </w:r>
      <w:hyperlink w:anchor="ref-Wood17">
        <w:r>
          <w:rPr>
            <w:rStyle w:val="Hyperlink"/>
          </w:rPr>
          <w:t>2017</w:t>
        </w:r>
      </w:hyperlink>
      <w:r>
        <w:t xml:space="preserve">). The </w:t>
      </w:r>
      <w:r>
        <w:rPr>
          <w:rStyle w:val="VerbatimChar"/>
        </w:rPr>
        <w:t>mgcv</w:t>
      </w:r>
      <w:r>
        <w:t xml:space="preserve"> package is often applied to model biological response to stressor gradients (Yuan </w:t>
      </w:r>
      <w:hyperlink w:anchor="ref-Yuan04">
        <w:r>
          <w:rPr>
            <w:rStyle w:val="Hyperlink"/>
          </w:rPr>
          <w:t>2004</w:t>
        </w:r>
      </w:hyperlink>
      <w:r>
        <w:t xml:space="preserve">; Taylor et al. </w:t>
      </w:r>
      <w:hyperlink w:anchor="ref-Taylor14">
        <w:r>
          <w:rPr>
            <w:rStyle w:val="Hyperlink"/>
          </w:rPr>
          <w:t>2014</w:t>
        </w:r>
      </w:hyperlink>
      <w:r>
        <w:t>)</w:t>
      </w:r>
    </w:p>
    <w:p w:rsidR="00B86358" w:rsidRDefault="009E2199" w:rsidP="0091258F">
      <w:pPr>
        <w:pStyle w:val="BodyText"/>
        <w:spacing w:line="480" w:lineRule="auto"/>
      </w:pPr>
      <w:r>
        <w:t xml:space="preserve">Other R packages have been developed specifically for bioassessment. For example, the </w:t>
      </w:r>
      <w:r>
        <w:rPr>
          <w:rStyle w:val="VerbatimChar"/>
        </w:rPr>
        <w:t>TITAN2</w:t>
      </w:r>
      <w:r>
        <w:t xml:space="preserve"> package can be used to develop quantitative evidence of taxon-specific changes in abundance and occurrence across environmental gradients (Baker, King, and Kahle </w:t>
      </w:r>
      <w:hyperlink w:anchor="ref-Baker15">
        <w:r>
          <w:rPr>
            <w:rStyle w:val="Hyperlink"/>
          </w:rPr>
          <w:t>2015</w:t>
        </w:r>
      </w:hyperlink>
      <w:r>
        <w:t xml:space="preserve">). Results from this package can support exploratory analysis for developing bioassessment products, such as identifying indicator species or establishing numeric criteria (Taylor et al. </w:t>
      </w:r>
      <w:hyperlink w:anchor="ref-Taylor18">
        <w:r>
          <w:rPr>
            <w:rStyle w:val="Hyperlink"/>
          </w:rPr>
          <w:t>2018</w:t>
        </w:r>
      </w:hyperlink>
      <w:r>
        <w:t xml:space="preserve">). The results can be also be used post hoc to evaluate potential response of a biological index with changing environmental conditions, such as proposed management actions for rehabilitation (King et al. </w:t>
      </w:r>
      <w:hyperlink w:anchor="ref-King11">
        <w:r>
          <w:rPr>
            <w:rStyle w:val="Hyperlink"/>
          </w:rPr>
          <w:t>2011</w:t>
        </w:r>
      </w:hyperlink>
      <w:r>
        <w:t xml:space="preserve">). Alternatively, the </w:t>
      </w:r>
      <w:r>
        <w:rPr>
          <w:rStyle w:val="VerbatimChar"/>
        </w:rPr>
        <w:t>indicspecies</w:t>
      </w:r>
      <w:r>
        <w:t xml:space="preserve"> package provides similar functionality but is based only on species occurrence or abundance matrices across sites (De Caceres and Legendre </w:t>
      </w:r>
      <w:hyperlink w:anchor="ref-DeCaceres09">
        <w:r>
          <w:rPr>
            <w:rStyle w:val="Hyperlink"/>
          </w:rPr>
          <w:t>2009</w:t>
        </w:r>
      </w:hyperlink>
      <w:r>
        <w:t xml:space="preserve">). This package can be used to identify species that occur at particular sites if continuous environmental data are unavailable, such as those that are representative of reference conditions (Bried et al. </w:t>
      </w:r>
      <w:hyperlink w:anchor="ref-Bried14">
        <w:r>
          <w:rPr>
            <w:rStyle w:val="Hyperlink"/>
          </w:rPr>
          <w:t>2014</w:t>
        </w:r>
      </w:hyperlink>
      <w:r>
        <w:t xml:space="preserve">). Finally, the </w:t>
      </w:r>
      <w:r>
        <w:rPr>
          <w:rStyle w:val="VerbatimChar"/>
        </w:rPr>
        <w:t>vegan</w:t>
      </w:r>
      <w:r>
        <w:t xml:space="preserve"> package has been a staple among community ecologists for </w:t>
      </w:r>
      <w:r>
        <w:lastRenderedPageBreak/>
        <w:t xml:space="preserve">multivariate analyses in R, such as clustering and ordination (Oksanen et al. </w:t>
      </w:r>
      <w:hyperlink w:anchor="ref-Oksanen18">
        <w:r>
          <w:rPr>
            <w:rStyle w:val="Hyperlink"/>
          </w:rPr>
          <w:t>2018</w:t>
        </w:r>
      </w:hyperlink>
      <w:r>
        <w:t xml:space="preserve">). This package has value for bioassessment as an exploratory tool with a variety of applications, such as analyses that identify comparable assessment sites that minimize natural variation (Beck, Vondracek, and Hatch </w:t>
      </w:r>
      <w:hyperlink w:anchor="ref-Beck13">
        <w:r>
          <w:rPr>
            <w:rStyle w:val="Hyperlink"/>
          </w:rPr>
          <w:t>2013</w:t>
        </w:r>
      </w:hyperlink>
      <w:r>
        <w:t>).</w:t>
      </w:r>
    </w:p>
    <w:p w:rsidR="00B86358" w:rsidRDefault="009E2199" w:rsidP="0091258F">
      <w:pPr>
        <w:pStyle w:val="BodyText"/>
        <w:spacing w:line="480" w:lineRule="auto"/>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 </w:t>
      </w:r>
      <w:hyperlink r:id="rId22">
        <w:r>
          <w:rPr>
            <w:rStyle w:val="Hyperlink"/>
          </w:rPr>
          <w:t>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 (Wickham </w:t>
      </w:r>
      <w:hyperlink w:anchor="ref-Wickham15">
        <w:r>
          <w:rPr>
            <w:rStyle w:val="Hyperlink"/>
          </w:rPr>
          <w:t>2015</w:t>
        </w:r>
      </w:hyperlink>
      <w:r>
        <w:t xml:space="preserve">; Wickham, Hester, and Chang </w:t>
      </w:r>
      <w:hyperlink w:anchor="ref-Wickham18">
        <w:r>
          <w:rPr>
            <w:rStyle w:val="Hyperlink"/>
          </w:rPr>
          <w:t>2018</w:t>
        </w:r>
      </w:hyperlink>
      <w:r>
        <w:t>). The increasing popularity in the environmental sciences of online repositories for hosting code and software, such as GitHub, also provides a venue for sharing and directly installing these packages.</w:t>
      </w:r>
    </w:p>
    <w:p w:rsidR="00B86358" w:rsidRDefault="009E2199" w:rsidP="0091258F">
      <w:pPr>
        <w:pStyle w:val="BodyText"/>
        <w:spacing w:line="480" w:lineRule="auto"/>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w:t>
      </w:r>
      <w:r>
        <w:lastRenderedPageBreak/>
        <w:t>for different package functions. Detailed vignettes can be included in plain language to describe how to use the package.</w:t>
      </w:r>
    </w:p>
    <w:p w:rsidR="00B86358" w:rsidRDefault="009E2199" w:rsidP="0091258F">
      <w:pPr>
        <w:pStyle w:val="BodyText"/>
        <w:spacing w:line="480" w:lineRule="auto"/>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 (Borregaard and Hart </w:t>
      </w:r>
      <w:hyperlink w:anchor="ref-Borregaard16">
        <w:r>
          <w:rPr>
            <w:rStyle w:val="Hyperlink"/>
          </w:rPr>
          <w:t>2016</w:t>
        </w:r>
      </w:hyperlink>
      <w:r>
        <w:t>).</w:t>
      </w:r>
    </w:p>
    <w:p w:rsidR="00B86358" w:rsidRDefault="009E2199" w:rsidP="0091258F">
      <w:pPr>
        <w:pStyle w:val="BodyText"/>
        <w:spacing w:line="480" w:lineRule="auto"/>
      </w:pPr>
      <w:r>
        <w:t xml:space="preserve">Finally, R can be used to create interactive applications that deliver bioassessment products to stakeholders and managers in entirely novel contexts. In particular, the </w:t>
      </w:r>
      <w:r>
        <w:rPr>
          <w:rStyle w:val="VerbatimChar"/>
        </w:rPr>
        <w:t>shiny</w:t>
      </w:r>
      <w:r>
        <w:t xml:space="preserve"> package was first released for R in 2012 and provides programming tools built around concepts of reactivity, where data inputs and outputs can be modified in real time (Chang et al. </w:t>
      </w:r>
      <w:hyperlink w:anchor="ref-Chang18">
        <w:r>
          <w:rPr>
            <w:rStyle w:val="Hyperlink"/>
          </w:rPr>
          <w:t>2018</w:t>
        </w:r>
      </w:hyperlink>
      <w:r>
        <w:t xml:space="preserve">). A </w:t>
      </w:r>
      <w:r>
        <w:rPr>
          <w:rStyle w:val="VerbatimChar"/>
        </w:rPr>
        <w:t>shiny</w:t>
      </w:r>
      <w:r>
        <w:t xml:space="preserve">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 </w:t>
      </w:r>
      <w:r>
        <w:rPr>
          <w:rStyle w:val="VerbatimChar"/>
        </w:rPr>
        <w:t>shiny</w:t>
      </w:r>
      <w:r>
        <w:t xml:space="preserve"> can also be easily linked to other R packages. For example, a </w:t>
      </w:r>
      <w:r>
        <w:rPr>
          <w:rStyle w:val="VerbatimChar"/>
        </w:rPr>
        <w:t>shiny</w:t>
      </w:r>
      <w:r>
        <w:t xml:space="preserve"> website could be created to allow users to upload raw data and estimate and report bioassessment scores using an R package developed externally. This can extend the accessibility of a bioassessment product </w:t>
      </w:r>
      <w:r>
        <w:lastRenderedPageBreak/>
        <w:t xml:space="preserve">while maintaining the technical integrity of the original tool. Moreover, </w:t>
      </w:r>
      <w:r>
        <w:rPr>
          <w:rStyle w:val="VerbatimChar"/>
        </w:rPr>
        <w:t>shiny</w:t>
      </w:r>
      <w:r>
        <w:t xml:space="preserve"> applications are completely customizable and can be tailored by the developer to the specific needs of any user. This distinction separates </w:t>
      </w:r>
      <w:r>
        <w:rPr>
          <w:rStyle w:val="VerbatimChar"/>
        </w:rPr>
        <w:t>shiny</w:t>
      </w:r>
      <w:r>
        <w:t xml:space="preserve"> from other web-based analysis platforms.</w:t>
      </w:r>
    </w:p>
    <w:p w:rsidR="00B86358" w:rsidRDefault="009E2199" w:rsidP="0091258F">
      <w:pPr>
        <w:pStyle w:val="Heading1"/>
        <w:spacing w:line="480" w:lineRule="auto"/>
      </w:pPr>
      <w:bookmarkStart w:id="11" w:name="open-science-in-practice"/>
      <w:r>
        <w:t>Open science in practice</w:t>
      </w:r>
      <w:bookmarkEnd w:id="11"/>
    </w:p>
    <w:p w:rsidR="00B86358" w:rsidRDefault="009E2199" w:rsidP="0091258F">
      <w:pPr>
        <w:pStyle w:val="FirstParagraph"/>
        <w:spacing w:line="480" w:lineRule="auto"/>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 (Fetscher et al. </w:t>
      </w:r>
      <w:hyperlink w:anchor="ref-Fetscher13">
        <w:r>
          <w:rPr>
            <w:rStyle w:val="Hyperlink"/>
          </w:rPr>
          <w:t>2013</w:t>
        </w:r>
      </w:hyperlink>
      <w:r>
        <w:t xml:space="preserve">; Ode et al. </w:t>
      </w:r>
      <w:hyperlink w:anchor="ref-Ode16">
        <w:r>
          <w:rPr>
            <w:rStyle w:val="Hyperlink"/>
          </w:rPr>
          <w:t>2016</w:t>
        </w:r>
      </w:hyperlink>
      <w:r>
        <w:t xml:space="preserve">; Mazor et al. </w:t>
      </w:r>
      <w:hyperlink w:anchor="ref-Mazor16">
        <w:r>
          <w:rPr>
            <w:rStyle w:val="Hyperlink"/>
          </w:rPr>
          <w:t>2016</w:t>
        </w:r>
      </w:hyperlink>
      <w:r>
        <w:t xml:space="preserve">). A physical habitat index has also been developed that provides complementary information supporting bioassessment data (Rehn, Mazor, and Ode </w:t>
      </w:r>
      <w:hyperlink w:anchor="ref-Rehn18">
        <w:r>
          <w:rPr>
            <w:rStyle w:val="Hyperlink"/>
          </w:rPr>
          <w:t>2018</w:t>
        </w:r>
      </w:hyperlink>
      <w:r>
        <w:t>).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rsidR="00B86358" w:rsidRDefault="009E2199" w:rsidP="0091258F">
      <w:pPr>
        <w:pStyle w:val="BodyText"/>
        <w:spacing w:line="480" w:lineRule="auto"/>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t>
      </w:r>
      <w:r>
        <w:lastRenderedPageBreak/>
        <w:t>water quality institutions to “create, operate, and maintain a statewide integrated water data platform that, among other things, would integrate existing water and ecological data information from multiple databases and provide data on completed water transfers and exchanges” (</w:t>
      </w:r>
      <w:hyperlink r:id="rId23">
        <w:r>
          <w:rPr>
            <w:rStyle w:val="Hyperlink"/>
          </w:rPr>
          <w:t>AB 1755, Dodd, 2015-2016</w:t>
        </w:r>
      </w:hyperlink>
      <w:r>
        <w:t xml:space="preserve">). This legislation also calls for state agencies to “develop protocols for data sharing, documentation, quality control, public access, and promotion of open-source platforms and decision support tools related to water data”. These aspirations were further supported by a </w:t>
      </w:r>
      <w:hyperlink r:id="rId24">
        <w:r>
          <w:rPr>
            <w:rStyle w:val="Hyperlink"/>
          </w:rPr>
          <w:t>resolution</w:t>
        </w:r>
      </w:hyperlink>
      <w:r>
        <w:t xml:space="preserve"> on July 10, 2018 that formally committed the State Water Resources Control Board to “provide broader access to data used to make local, regional, and statewide water management and regulatory decisions in California”. These recent initiatives in California have similarly been observed at the national level. For example, the </w:t>
      </w:r>
      <w:hyperlink r:id="rId25">
        <w:r>
          <w:rPr>
            <w:rStyle w:val="Hyperlink"/>
          </w:rPr>
          <w:t>Data Coalition</w:t>
        </w:r>
      </w:hyperlink>
      <w:r>
        <w:t xml:space="preserve"> is an advocacy group that operates on behalf of the private and public sector for the publication of government data in a standardized and open format. The </w:t>
      </w:r>
      <w:hyperlink r:id="rId26">
        <w:r>
          <w:rPr>
            <w:rStyle w:val="Hyperlink"/>
          </w:rPr>
          <w:t>Internet of Water</w:t>
        </w:r>
      </w:hyperlink>
      <w:r>
        <w:t xml:space="preserve"> also operates at the national-level by focusing on strengthening connections between data producers and users through centralized data hubs and data standards.</w:t>
      </w:r>
    </w:p>
    <w:p w:rsidR="00B86358" w:rsidRDefault="009E2199" w:rsidP="0091258F">
      <w:pPr>
        <w:pStyle w:val="BodyText"/>
        <w:spacing w:line="480" w:lineRule="auto"/>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(Paul et al. </w:t>
      </w:r>
      <w:hyperlink w:anchor="ref-Paul08">
        <w:r>
          <w:rPr>
            <w:rStyle w:val="Hyperlink"/>
          </w:rPr>
          <w:t>2008</w:t>
        </w:r>
      </w:hyperlink>
      <w:r>
        <w:t xml:space="preserve">; Kenney et al. </w:t>
      </w:r>
      <w:hyperlink w:anchor="ref-Kenney12">
        <w:r>
          <w:rPr>
            <w:rStyle w:val="Hyperlink"/>
          </w:rPr>
          <w:t>2012</w:t>
        </w:r>
      </w:hyperlink>
      <w:r>
        <w:t xml:space="preserve">; Shoredits and Clayton </w:t>
      </w:r>
      <w:hyperlink w:anchor="ref-Shoredits13">
        <w:r>
          <w:rPr>
            <w:rStyle w:val="Hyperlink"/>
          </w:rPr>
          <w:t>2013</w:t>
        </w:r>
      </w:hyperlink>
      <w:r>
        <w:t>). These constraints represent significant challenges in setting statewide thresholds for bioassessment indices where goals may be easily met in some areas of the state (e.g., open areas) but not others (e.g., urban areas).</w:t>
      </w:r>
    </w:p>
    <w:p w:rsidR="00B86358" w:rsidRDefault="009E2199" w:rsidP="0091258F">
      <w:pPr>
        <w:pStyle w:val="BodyText"/>
        <w:spacing w:line="480" w:lineRule="auto"/>
      </w:pPr>
      <w:r>
        <w:t xml:space="preserve">A fundamental concern of regulated parties with the potential adoption of statewide numeric criteria is the likelihood of achieving a one-size-fits-all requirement across the variety of landscapes and channel types in the state (Lane et al. </w:t>
      </w:r>
      <w:hyperlink w:anchor="ref-Lane18">
        <w:r>
          <w:rPr>
            <w:rStyle w:val="Hyperlink"/>
          </w:rPr>
          <w:t>2018</w:t>
        </w:r>
      </w:hyperlink>
      <w:r>
        <w:t>).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rsidR="00B86358" w:rsidRDefault="009E2199" w:rsidP="0091258F">
      <w:pPr>
        <w:pStyle w:val="BodyText"/>
        <w:spacing w:line="480" w:lineRule="auto"/>
      </w:pPr>
      <w:r>
        <w:t xml:space="preserve">Open science methods have recently been used in California to address bioassessment implementation challenges in developed landscapes. The Stream Classification and Priority Explorer or SCAPE (Beck </w:t>
      </w:r>
      <w:hyperlink w:anchor="ref-Beck18c">
        <w:r>
          <w:rPr>
            <w:rStyle w:val="Hyperlink"/>
          </w:rPr>
          <w:t>2018</w:t>
        </w:r>
      </w:hyperlink>
      <w:hyperlink w:anchor="ref-Beck18c">
        <w:r>
          <w:rPr>
            <w:rStyle w:val="Hyperlink"/>
          </w:rPr>
          <w:t>b</w:t>
        </w:r>
      </w:hyperlink>
      <w:r>
        <w:t xml:space="preserve">; Beck et al., </w:t>
      </w:r>
      <w:hyperlink w:anchor="ref-Beckir">
        <w:r>
          <w:rPr>
            <w:rStyle w:val="Hyperlink"/>
          </w:rPr>
          <w:t>n.d.</w:t>
        </w:r>
      </w:hyperlink>
      <w:r>
        <w:t xml:space="preserve">) was developed using an open science framework to help identify reasonable management goals for wadeable streams using existing bioassessment and watershed data. The SCAPE tool represents both a modelling approach to </w:t>
      </w:r>
      <w:r>
        <w:lastRenderedPageBreak/>
        <w:t xml:space="preserve">identify appropriate management goals and a set of open science products for science translation to environmental managers. First, a statewide landscape model was developed that predicts a range of likely biological condition scores using the California Stream Condition Index (CSCI, Mazor et al. </w:t>
      </w:r>
      <w:hyperlink w:anchor="ref-Mazor16">
        <w:r>
          <w:rPr>
            <w:rStyle w:val="Hyperlink"/>
          </w:rPr>
          <w:t>2016</w:t>
        </w:r>
      </w:hyperlink>
      <w:r>
        <w:t>) 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 “constrained” or “unconstrained” 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rsidR="00B86358" w:rsidRDefault="009E2199" w:rsidP="0091258F">
      <w:pPr>
        <w:pStyle w:val="BodyText"/>
        <w:spacing w:line="480" w:lineRule="auto"/>
      </w:pPr>
      <w:r>
        <w:t xml:space="preserve">An example of how the SCAPE tool can link bioassessment information to managers is demonstrated in Figure 3.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t>
      </w:r>
      <w:r>
        <w:lastRenderedPageBreak/>
        <w:t>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rsidR="00B86358" w:rsidRDefault="009E2199" w:rsidP="0091258F">
      <w:pPr>
        <w:pStyle w:val="BodyText"/>
        <w:spacing w:line="480" w:lineRule="auto"/>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 4). Local stakeholder engagement to identify research goals guided the technical development process of SCAPE (Figure 4, box 1). Continued involvement of this group throughout the project ensured the final product addressed all research goals and management needs. All analyses, including model development and validation, were conducted using the R statistical programming language (RDCT (R Development Core Team) </w:t>
      </w:r>
      <w:hyperlink w:anchor="ref-RDCT18">
        <w:r>
          <w:rPr>
            <w:rStyle w:val="Hyperlink"/>
          </w:rPr>
          <w:t>2018</w:t>
        </w:r>
      </w:hyperlink>
      <w:r>
        <w:t xml:space="preserve">). Additional R packages that greatly facilitated the process included the </w:t>
      </w:r>
      <w:r>
        <w:rPr>
          <w:rStyle w:val="VerbatimChar"/>
        </w:rPr>
        <w:t>tidyverse</w:t>
      </w:r>
      <w:r>
        <w:t xml:space="preserve"> suite of packages for data import, wrangling and plotting (Wickham </w:t>
      </w:r>
      <w:hyperlink w:anchor="ref-Wickham17b">
        <w:r>
          <w:rPr>
            <w:rStyle w:val="Hyperlink"/>
          </w:rPr>
          <w:t>2017</w:t>
        </w:r>
      </w:hyperlink>
      <w:r>
        <w:t xml:space="preserve">), the </w:t>
      </w:r>
      <w:r>
        <w:rPr>
          <w:rStyle w:val="VerbatimChar"/>
        </w:rPr>
        <w:t>sf</w:t>
      </w:r>
      <w:r>
        <w:t xml:space="preserve"> package for spatial analysis (Pebesma </w:t>
      </w:r>
      <w:hyperlink w:anchor="ref-Pebesma18">
        <w:r>
          <w:rPr>
            <w:rStyle w:val="Hyperlink"/>
          </w:rPr>
          <w:t>2018</w:t>
        </w:r>
      </w:hyperlink>
      <w:r>
        <w:t xml:space="preserve">), and </w:t>
      </w:r>
      <w:r>
        <w:rPr>
          <w:rStyle w:val="VerbatimChar"/>
        </w:rPr>
        <w:t>randomForest</w:t>
      </w:r>
      <w:r>
        <w:t xml:space="preserve"> for modelling (Liaw and Wiener </w:t>
      </w:r>
      <w:hyperlink w:anchor="ref-Liaw02">
        <w:r>
          <w:rPr>
            <w:rStyle w:val="Hyperlink"/>
          </w:rPr>
          <w:t>2002</w:t>
        </w:r>
      </w:hyperlink>
      <w:r>
        <w:t>) (Figure 4, box 2). A version control system (Git) and online hosting (GitHub) also allowed full transparency of decisions that were made to create the tool. A permanent DOI was assigned through Zenodo to track downloads and portability of source code (Figure 4, box 3).</w:t>
      </w:r>
    </w:p>
    <w:p w:rsidR="00B86358" w:rsidRDefault="009E2199" w:rsidP="0091258F">
      <w:pPr>
        <w:pStyle w:val="BodyText"/>
        <w:spacing w:line="480" w:lineRule="auto"/>
      </w:pPr>
      <w:r>
        <w:lastRenderedPageBreak/>
        <w:t>A critical component of the SCAPE tool was the use of an online, interactive web page (</w:t>
      </w:r>
      <w:hyperlink r:id="rId27">
        <w:r>
          <w:rPr>
            <w:rStyle w:val="Hyperlink"/>
          </w:rPr>
          <w:t>https://sccwrp.shinyapps.io/SCAPE</w:t>
        </w:r>
      </w:hyperlink>
      <w:r>
        <w:t xml:space="preserve">) that was developed entirely using open-source software (i.e., R, RDCT (R Development Core Team) </w:t>
      </w:r>
      <w:hyperlink w:anchor="ref-RDCT18">
        <w:r>
          <w:rPr>
            <w:rStyle w:val="Hyperlink"/>
          </w:rPr>
          <w:t>2018</w:t>
        </w:r>
      </w:hyperlink>
      <w:r>
        <w:t xml:space="preserve">; </w:t>
      </w:r>
      <w:r>
        <w:rPr>
          <w:rStyle w:val="VerbatimChar"/>
        </w:rPr>
        <w:t>shiny</w:t>
      </w:r>
      <w:r>
        <w:t xml:space="preserve">, Chang et al. </w:t>
      </w:r>
      <w:hyperlink w:anchor="ref-Chang18">
        <w:r>
          <w:rPr>
            <w:rStyle w:val="Hyperlink"/>
          </w:rPr>
          <w:t>2018</w:t>
        </w:r>
      </w:hyperlink>
      <w:r>
        <w:t>, Figure 4, box 4)).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rsidR="00B86358" w:rsidRDefault="009E2199" w:rsidP="0091258F">
      <w:pPr>
        <w:pStyle w:val="BodyText"/>
        <w:spacing w:line="480" w:lineRule="auto"/>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w:t>
      </w:r>
      <w:r>
        <w:rPr>
          <w:rStyle w:val="VerbatimChar"/>
        </w:rPr>
        <w:t>knitr</w:t>
      </w:r>
      <w:r>
        <w:t xml:space="preserve"> and </w:t>
      </w:r>
      <w:r>
        <w:rPr>
          <w:rStyle w:val="VerbatimChar"/>
        </w:rPr>
        <w:t>RMarkdown</w:t>
      </w:r>
      <w:r>
        <w:t xml:space="preserve"> (Xie </w:t>
      </w:r>
      <w:hyperlink w:anchor="ref-Xie15">
        <w:r>
          <w:rPr>
            <w:rStyle w:val="Hyperlink"/>
          </w:rPr>
          <w:t>2015</w:t>
        </w:r>
      </w:hyperlink>
      <w:r>
        <w:t xml:space="preserve">; Allaire et al. </w:t>
      </w:r>
      <w:hyperlink w:anchor="ref-Allaire18">
        <w:r>
          <w:rPr>
            <w:rStyle w:val="Hyperlink"/>
          </w:rPr>
          <w:t>2018</w:t>
        </w:r>
      </w:hyperlink>
      <w:r>
        <w:t xml:space="preserve">). This increased efficiency of the writing process and also minimized the potential of introducing errors into tables or figures by eliminating the need to copy results between different platforms. The </w:t>
      </w:r>
      <w:r>
        <w:lastRenderedPageBreak/>
        <w:t xml:space="preserve">manuscript was also under full version control through GitHub for streamlined collaboration and tracking of revisions (Figure 4, box 5). A geospatial data file from the model was also made public on a federated data repository, which included metadata and plain language documentation to track provenance of the original information (Beck </w:t>
      </w:r>
      <w:hyperlink w:anchor="ref-Beck18d">
        <w:r>
          <w:rPr>
            <w:rStyle w:val="Hyperlink"/>
          </w:rPr>
          <w:t>2018</w:t>
        </w:r>
      </w:hyperlink>
      <w:hyperlink w:anchor="ref-Beck18d">
        <w:r>
          <w:rPr>
            <w:rStyle w:val="Hyperlink"/>
          </w:rPr>
          <w:t>a</w:t>
        </w:r>
      </w:hyperlink>
      <w:r>
        <w:t>) (Figure 4, box 6). This ensured that the final data could be discovered by others through keyword searches and also provided a platform to track broader interest in the data products through download statistics.</w:t>
      </w:r>
    </w:p>
    <w:p w:rsidR="00B86358" w:rsidRDefault="009E2199" w:rsidP="0091258F">
      <w:pPr>
        <w:pStyle w:val="BodyText"/>
        <w:spacing w:line="480" w:lineRule="auto"/>
      </w:pPr>
      <w:r>
        <w:t>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rsidR="00B86358" w:rsidRDefault="009E2199" w:rsidP="0091258F">
      <w:pPr>
        <w:pStyle w:val="Heading1"/>
        <w:spacing w:line="480" w:lineRule="auto"/>
      </w:pPr>
      <w:bookmarkStart w:id="12" w:name="limitations-and-opportunities"/>
      <w:r>
        <w:t>Limitations and opportunities</w:t>
      </w:r>
      <w:bookmarkEnd w:id="12"/>
    </w:p>
    <w:p w:rsidR="00B86358" w:rsidRDefault="009E2199" w:rsidP="0091258F">
      <w:pPr>
        <w:pStyle w:val="FirstParagraph"/>
        <w:spacing w:line="480" w:lineRule="auto"/>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 (e.g., Idaszak et </w:t>
      </w:r>
      <w:r>
        <w:lastRenderedPageBreak/>
        <w:t xml:space="preserve">al. </w:t>
      </w:r>
      <w:hyperlink w:anchor="ref-Idaszak17">
        <w:r>
          <w:rPr>
            <w:rStyle w:val="Hyperlink"/>
          </w:rPr>
          <w:t>2017</w:t>
        </w:r>
      </w:hyperlink>
      <w:r>
        <w:t>).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rsidR="00B86358" w:rsidRDefault="009E2199" w:rsidP="0091258F">
      <w:pPr>
        <w:pStyle w:val="BodyText"/>
        <w:spacing w:line="480" w:lineRule="auto"/>
      </w:pPr>
      <w:r>
        <w:t xml:space="preserve">Advocates for open science are well aware of the technical challenges faced by individuals that have never been exposed to the core concepts. Most importantly, education and training (e.g., through </w:t>
      </w:r>
      <w:hyperlink r:id="rId28">
        <w:r>
          <w:rPr>
            <w:rStyle w:val="Hyperlink"/>
          </w:rPr>
          <w:t>The Carpentries</w:t>
        </w:r>
      </w:hyperlink>
      <w:r>
        <w:t xml:space="preserve">, </w:t>
      </w:r>
      <w:hyperlink r:id="rId29">
        <w:r>
          <w:rPr>
            <w:rStyle w:val="Hyperlink"/>
          </w:rPr>
          <w:t>DataCamp</w:t>
        </w:r>
      </w:hyperlink>
      <w:r>
        <w:t xml:space="preserve">) remain key components for developing skillsets among researchers where the focus is both on learning new skills for transferability and realizing their value for improving science as a whole (Hampton et al. </w:t>
      </w:r>
      <w:hyperlink w:anchor="ref-Hampton17">
        <w:r>
          <w:rPr>
            <w:rStyle w:val="Hyperlink"/>
          </w:rPr>
          <w:t>2017</w:t>
        </w:r>
      </w:hyperlink>
      <w:r>
        <w:t>).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rsidR="00B86358" w:rsidRDefault="009E2199" w:rsidP="0091258F">
      <w:pPr>
        <w:pStyle w:val="BodyText"/>
        <w:spacing w:line="480" w:lineRule="auto"/>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w:t>
      </w:r>
      <w:r>
        <w:lastRenderedPageBreak/>
        <w:t xml:space="preserve">latter synthesizing and analyzing their data in potentially suboptimal ways (Touchon and McCoy </w:t>
      </w:r>
      <w:hyperlink w:anchor="ref-Touchon16">
        <w:r>
          <w:rPr>
            <w:rStyle w:val="Hyperlink"/>
          </w:rPr>
          <w:t>2016</w:t>
        </w:r>
      </w:hyperlink>
      <w:r>
        <w:t xml:space="preserve">). These “champions” can be a voice of encouragement for others by demonstrating how new tools can be introduced and learned over time through shared experiences (Lowndes et al. </w:t>
      </w:r>
      <w:hyperlink w:anchor="ref-Lowndes17">
        <w:r>
          <w:rPr>
            <w:rStyle w:val="Hyperlink"/>
          </w:rPr>
          <w:t>2017</w:t>
        </w:r>
      </w:hyperlink>
      <w:r>
        <w:t>). This also encourages the development of a community of practice that shares and learns together to navigate the collection of existing and developing open science tools.</w:t>
      </w:r>
    </w:p>
    <w:p w:rsidR="00B86358" w:rsidRDefault="009E2199" w:rsidP="0091258F">
      <w:pPr>
        <w:pStyle w:val="BodyText"/>
        <w:spacing w:line="480" w:lineRule="auto"/>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 (Lewandowsky and Bishop </w:t>
      </w:r>
      <w:hyperlink w:anchor="ref-Lewandowsky16">
        <w:r>
          <w:rPr>
            <w:rStyle w:val="Hyperlink"/>
          </w:rPr>
          <w:t>2016</w:t>
        </w:r>
      </w:hyperlink>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w:t>
      </w:r>
      <w:r>
        <w:lastRenderedPageBreak/>
        <w:t>improve the environment as a public resource. The ideals promoted by an open science process directly align with these goals.</w:t>
      </w:r>
    </w:p>
    <w:p w:rsidR="00B86358" w:rsidRDefault="009E2199" w:rsidP="0091258F">
      <w:pPr>
        <w:pStyle w:val="BodyText"/>
        <w:spacing w:line="480" w:lineRule="auto"/>
      </w:pPr>
      <w:r>
        <w:t>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rsidR="00B86358" w:rsidRDefault="009E2199" w:rsidP="0091258F">
      <w:pPr>
        <w:pStyle w:val="Heading1"/>
        <w:spacing w:line="480" w:lineRule="auto"/>
      </w:pPr>
      <w:bookmarkStart w:id="13" w:name="conclusions"/>
      <w:r>
        <w:t>Conclusions</w:t>
      </w:r>
      <w:bookmarkEnd w:id="13"/>
    </w:p>
    <w:p w:rsidR="00B86358" w:rsidRDefault="009E2199" w:rsidP="0091258F">
      <w:pPr>
        <w:pStyle w:val="FirstParagraph"/>
        <w:spacing w:line="480" w:lineRule="auto"/>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w:t>
      </w:r>
      <w:r>
        <w:lastRenderedPageBreak/>
        <w:t>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rsidR="0091258F" w:rsidRDefault="0091258F">
      <w:pPr>
        <w:pStyle w:val="Heading1"/>
      </w:pPr>
      <w:bookmarkStart w:id="14" w:name="figures"/>
    </w:p>
    <w:p w:rsidR="0091258F" w:rsidRDefault="0091258F" w:rsidP="0091258F">
      <w:pPr>
        <w:pStyle w:val="BodyText"/>
        <w:rPr>
          <w:rFonts w:eastAsiaTheme="majorEastAsia" w:cstheme="majorBidi"/>
          <w:color w:val="000000" w:themeColor="text1"/>
          <w:sz w:val="32"/>
          <w:szCs w:val="32"/>
        </w:rPr>
      </w:pPr>
      <w:r>
        <w:br w:type="page"/>
      </w:r>
    </w:p>
    <w:p w:rsidR="00B86358" w:rsidRDefault="009E2199">
      <w:pPr>
        <w:pStyle w:val="Heading1"/>
      </w:pPr>
      <w:r>
        <w:lastRenderedPageBreak/>
        <w:t>Figures</w:t>
      </w:r>
      <w:bookmarkEnd w:id="14"/>
    </w:p>
    <w:p w:rsidR="0091258F" w:rsidRPr="0091258F" w:rsidRDefault="0091258F" w:rsidP="0091258F">
      <w:pPr>
        <w:pStyle w:val="BodyText"/>
      </w:pPr>
    </w:p>
    <w:p w:rsidR="00B86358" w:rsidRDefault="009E2199">
      <w:r>
        <w:rPr>
          <w:noProof/>
        </w:rPr>
        <w:drawing>
          <wp:inline distT="0" distB="0" distL="0" distR="0">
            <wp:extent cx="4498848" cy="2514600"/>
            <wp:effectExtent l="0" t="0" r="0" b="0"/>
            <wp:docPr id="1" name="Picture"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basicflow.png"/>
                    <pic:cNvPicPr>
                      <a:picLocks noChangeAspect="1" noChangeArrowheads="1"/>
                    </pic:cNvPicPr>
                  </pic:nvPicPr>
                  <pic:blipFill>
                    <a:blip r:embed="rId30"/>
                    <a:stretch>
                      <a:fillRect/>
                    </a:stretch>
                  </pic:blipFill>
                  <pic:spPr bwMode="auto">
                    <a:xfrm>
                      <a:off x="0" y="0"/>
                      <a:ext cx="4498848" cy="2514600"/>
                    </a:xfrm>
                    <a:prstGeom prst="rect">
                      <a:avLst/>
                    </a:prstGeom>
                    <a:noFill/>
                    <a:ln w="9525">
                      <a:noFill/>
                      <a:headEnd/>
                      <a:tailEnd/>
                    </a:ln>
                  </pic:spPr>
                </pic:pic>
              </a:graphicData>
            </a:graphic>
          </wp:inline>
        </w:drawing>
      </w:r>
    </w:p>
    <w:p w:rsidR="00B86358" w:rsidRDefault="009E2199">
      <w:pPr>
        <w:pStyle w:val="ImageCaption"/>
      </w:pPr>
      <w:r>
        <w:t>Figure 1 A simplified workflow of the open science paradigm (adapted from Hampton et al. (</w:t>
      </w:r>
      <w:hyperlink w:anchor="ref-Hampton15">
        <w:r>
          <w:rPr>
            <w:rStyle w:val="Hyperlink"/>
          </w:rPr>
          <w:t>2015</w:t>
        </w:r>
      </w:hyperlink>
      <w:r>
        <w:t>)).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rsidR="00B86358" w:rsidRDefault="009E2199">
      <w:r>
        <w:rPr>
          <w:noProof/>
        </w:rPr>
        <w:lastRenderedPageBreak/>
        <w:drawing>
          <wp:inline distT="0" distB="0" distL="0" distR="0">
            <wp:extent cx="4608576" cy="6437376"/>
            <wp:effectExtent l="0" t="0" r="0" b="0"/>
            <wp:docPr id="2" name="Picture"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closedopen.png"/>
                    <pic:cNvPicPr>
                      <a:picLocks noChangeAspect="1" noChangeArrowheads="1"/>
                    </pic:cNvPicPr>
                  </pic:nvPicPr>
                  <pic:blipFill>
                    <a:blip r:embed="rId31"/>
                    <a:stretch>
                      <a:fillRect/>
                    </a:stretch>
                  </pic:blipFill>
                  <pic:spPr bwMode="auto">
                    <a:xfrm>
                      <a:off x="0" y="0"/>
                      <a:ext cx="4608576" cy="6437376"/>
                    </a:xfrm>
                    <a:prstGeom prst="rect">
                      <a:avLst/>
                    </a:prstGeom>
                    <a:noFill/>
                    <a:ln w="9525">
                      <a:noFill/>
                      <a:headEnd/>
                      <a:tailEnd/>
                    </a:ln>
                  </pic:spPr>
                </pic:pic>
              </a:graphicData>
            </a:graphic>
          </wp:inline>
        </w:drawing>
      </w:r>
    </w:p>
    <w:p w:rsidR="00B86358" w:rsidRDefault="009E2199">
      <w:pPr>
        <w:pStyle w:val="ImageCaption"/>
      </w:pPr>
      <w:r>
        <w:t>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w:t>
      </w:r>
      <w:hyperlink w:anchor="ref-Hampton15">
        <w:r>
          <w:rPr>
            <w:rStyle w:val="Hyperlink"/>
          </w:rPr>
          <w:t>2015</w:t>
        </w:r>
      </w:hyperlink>
      <w:r>
        <w:t>). NGO: non-government organization, RMP: regional monitoring program.</w:t>
      </w:r>
    </w:p>
    <w:p w:rsidR="00B86358" w:rsidRDefault="009E2199">
      <w:r>
        <w:rPr>
          <w:noProof/>
        </w:rPr>
        <w:lastRenderedPageBreak/>
        <w:drawing>
          <wp:inline distT="0" distB="0" distL="0" distR="0">
            <wp:extent cx="5943600" cy="5619403"/>
            <wp:effectExtent l="0" t="0" r="0" b="0"/>
            <wp:docPr id="3" name="Picture"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wp:cNvGraphicFramePr/>
            <a:graphic xmlns:a="http://schemas.openxmlformats.org/drawingml/2006/main">
              <a:graphicData uri="http://schemas.openxmlformats.org/drawingml/2006/picture">
                <pic:pic xmlns:pic="http://schemas.openxmlformats.org/drawingml/2006/picture">
                  <pic:nvPicPr>
                    <pic:cNvPr id="0" name="Picture" descr="figs/scapex.png"/>
                    <pic:cNvPicPr>
                      <a:picLocks noChangeAspect="1" noChangeArrowheads="1"/>
                    </pic:cNvPicPr>
                  </pic:nvPicPr>
                  <pic:blipFill>
                    <a:blip r:embed="rId32"/>
                    <a:stretch>
                      <a:fillRect/>
                    </a:stretch>
                  </pic:blipFill>
                  <pic:spPr bwMode="auto">
                    <a:xfrm>
                      <a:off x="0" y="0"/>
                      <a:ext cx="5943600" cy="5619403"/>
                    </a:xfrm>
                    <a:prstGeom prst="rect">
                      <a:avLst/>
                    </a:prstGeom>
                    <a:noFill/>
                    <a:ln w="9525">
                      <a:noFill/>
                      <a:headEnd/>
                      <a:tailEnd/>
                    </a:ln>
                  </pic:spPr>
                </pic:pic>
              </a:graphicData>
            </a:graphic>
          </wp:inline>
        </w:drawing>
      </w:r>
    </w:p>
    <w:p w:rsidR="00B86358" w:rsidRDefault="009E2199">
      <w:pPr>
        <w:pStyle w:val="ImageCaption"/>
      </w:pPr>
      <w:r>
        <w:t>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rsidR="00B86358" w:rsidRDefault="009E2199">
      <w:r>
        <w:rPr>
          <w:noProof/>
        </w:rPr>
        <w:lastRenderedPageBreak/>
        <w:drawing>
          <wp:inline distT="0" distB="0" distL="0" distR="0">
            <wp:extent cx="5943600" cy="5387302"/>
            <wp:effectExtent l="0" t="0" r="0" b="0"/>
            <wp:docPr id="4" name="Picture"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wp:cNvGraphicFramePr/>
            <a:graphic xmlns:a="http://schemas.openxmlformats.org/drawingml/2006/main">
              <a:graphicData uri="http://schemas.openxmlformats.org/drawingml/2006/picture">
                <pic:pic xmlns:pic="http://schemas.openxmlformats.org/drawingml/2006/picture">
                  <pic:nvPicPr>
                    <pic:cNvPr id="0" name="Picture" descr="figs/scapeopensci.png"/>
                    <pic:cNvPicPr>
                      <a:picLocks noChangeAspect="1" noChangeArrowheads="1"/>
                    </pic:cNvPicPr>
                  </pic:nvPicPr>
                  <pic:blipFill>
                    <a:blip r:embed="rId33"/>
                    <a:stretch>
                      <a:fillRect/>
                    </a:stretch>
                  </pic:blipFill>
                  <pic:spPr bwMode="auto">
                    <a:xfrm>
                      <a:off x="0" y="0"/>
                      <a:ext cx="5943600" cy="5387302"/>
                    </a:xfrm>
                    <a:prstGeom prst="rect">
                      <a:avLst/>
                    </a:prstGeom>
                    <a:noFill/>
                    <a:ln w="9525">
                      <a:noFill/>
                      <a:headEnd/>
                      <a:tailEnd/>
                    </a:ln>
                  </pic:spPr>
                </pic:pic>
              </a:graphicData>
            </a:graphic>
          </wp:inline>
        </w:drawing>
      </w:r>
    </w:p>
    <w:p w:rsidR="00B86358" w:rsidRDefault="009E2199">
      <w:pPr>
        <w:pStyle w:val="ImageCaption"/>
      </w:pPr>
      <w:r>
        <w:t>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rsidR="0091258F" w:rsidRDefault="0091258F">
      <w:pPr>
        <w:pStyle w:val="Heading1"/>
      </w:pPr>
      <w:bookmarkStart w:id="15" w:name="tables"/>
    </w:p>
    <w:p w:rsidR="0091258F" w:rsidRDefault="0091258F" w:rsidP="0091258F">
      <w:pPr>
        <w:pStyle w:val="BodyText"/>
        <w:rPr>
          <w:rFonts w:eastAsiaTheme="majorEastAsia" w:cstheme="majorBidi"/>
          <w:color w:val="000000" w:themeColor="text1"/>
          <w:sz w:val="32"/>
          <w:szCs w:val="32"/>
        </w:rPr>
      </w:pPr>
      <w:r>
        <w:br w:type="page"/>
      </w:r>
    </w:p>
    <w:p w:rsidR="00A235D8" w:rsidRPr="00A235D8" w:rsidRDefault="009E2199" w:rsidP="00A235D8">
      <w:pPr>
        <w:pStyle w:val="Heading1"/>
        <w:spacing w:after="240"/>
      </w:pPr>
      <w:r>
        <w:lastRenderedPageBreak/>
        <w:t>Tables</w:t>
      </w:r>
      <w:bookmarkEnd w:id="15"/>
    </w:p>
    <w:p w:rsidR="00B86358" w:rsidRDefault="009E2199">
      <w:pPr>
        <w:pStyle w:val="TableCaption"/>
      </w:pPr>
      <w:r>
        <w:t xml:space="preserve">Table 1 Core definitions and principles of open science, from Open Knowledge International, </w:t>
      </w:r>
      <w:hyperlink r:id="rId34">
        <w:r>
          <w:rPr>
            <w:rStyle w:val="Hyperlink"/>
          </w:rPr>
          <w:t>http://opendefinition.org/</w:t>
        </w:r>
      </w:hyperlink>
      <w:r>
        <w:t xml:space="preserve">, Creative Commons, </w:t>
      </w:r>
      <w:hyperlink r:id="rId35">
        <w:r>
          <w:rPr>
            <w:rStyle w:val="Hyperlink"/>
          </w:rPr>
          <w:t>https://creativecommons.org/about/program-areas/open-science/</w:t>
        </w:r>
      </w:hyperlink>
      <w:r>
        <w:t xml:space="preserve">, and J. Gezelter, </w:t>
      </w:r>
      <w:hyperlink r:id="rId36">
        <w:r>
          <w:rPr>
            <w:rStyle w:val="Hyperlink"/>
          </w:rPr>
          <w:t>https://www.openscience.org</w:t>
        </w:r>
      </w:hyperlink>
    </w:p>
    <w:tbl>
      <w:tblPr>
        <w:tblW w:w="5395" w:type="pct"/>
        <w:tblLook w:val="07E0" w:firstRow="1" w:lastRow="1" w:firstColumn="1" w:lastColumn="1" w:noHBand="1" w:noVBand="1"/>
      </w:tblPr>
      <w:tblGrid>
        <w:gridCol w:w="2267"/>
        <w:gridCol w:w="8066"/>
      </w:tblGrid>
      <w:tr w:rsidR="00B86358" w:rsidTr="0091258F">
        <w:tc>
          <w:tcPr>
            <w:tcW w:w="1097" w:type="pct"/>
            <w:tcBorders>
              <w:bottom w:val="single" w:sz="0" w:space="0" w:color="auto"/>
            </w:tcBorders>
            <w:vAlign w:val="bottom"/>
          </w:tcPr>
          <w:p w:rsidR="00B86358" w:rsidRDefault="009E2199">
            <w:pPr>
              <w:pStyle w:val="Compact"/>
            </w:pPr>
            <w:r>
              <w:t>Concepts</w:t>
            </w:r>
            <w:r w:rsidR="0091258F">
              <w:t xml:space="preserve"> </w:t>
            </w:r>
            <w:r>
              <w:t>and</w:t>
            </w:r>
            <w:r w:rsidR="0091258F">
              <w:t xml:space="preserve"> </w:t>
            </w:r>
            <w:r>
              <w:t>principles</w:t>
            </w:r>
          </w:p>
        </w:tc>
        <w:tc>
          <w:tcPr>
            <w:tcW w:w="0" w:type="auto"/>
            <w:tcBorders>
              <w:bottom w:val="single" w:sz="0" w:space="0" w:color="auto"/>
            </w:tcBorders>
            <w:vAlign w:val="bottom"/>
          </w:tcPr>
          <w:p w:rsidR="00B86358" w:rsidRDefault="009E2199">
            <w:pPr>
              <w:pStyle w:val="Compact"/>
            </w:pPr>
            <w:r>
              <w:t>Description</w:t>
            </w:r>
          </w:p>
        </w:tc>
      </w:tr>
      <w:tr w:rsidR="00B86358" w:rsidTr="0091258F">
        <w:tc>
          <w:tcPr>
            <w:tcW w:w="1097" w:type="pct"/>
          </w:tcPr>
          <w:p w:rsidR="00B86358" w:rsidRDefault="009E2199">
            <w:pPr>
              <w:pStyle w:val="Compact"/>
            </w:pPr>
            <w:r>
              <w:t>Open</w:t>
            </w:r>
          </w:p>
        </w:tc>
        <w:tc>
          <w:tcPr>
            <w:tcW w:w="0" w:type="auto"/>
          </w:tcPr>
          <w:p w:rsidR="00B86358" w:rsidRDefault="009E2199">
            <w:pPr>
              <w:pStyle w:val="Compact"/>
            </w:pPr>
            <w:r>
              <w:t>Anyone can freely access, use, modify, and share for any purpose</w:t>
            </w:r>
          </w:p>
        </w:tc>
      </w:tr>
      <w:tr w:rsidR="00B86358" w:rsidTr="0091258F">
        <w:tc>
          <w:tcPr>
            <w:tcW w:w="1097" w:type="pct"/>
          </w:tcPr>
          <w:p w:rsidR="00B86358" w:rsidRDefault="009E2199">
            <w:pPr>
              <w:pStyle w:val="Compact"/>
            </w:pPr>
            <w:r>
              <w:t>Open Science</w:t>
            </w:r>
          </w:p>
        </w:tc>
        <w:tc>
          <w:tcPr>
            <w:tcW w:w="0" w:type="auto"/>
          </w:tcPr>
          <w:p w:rsidR="00B86358" w:rsidRDefault="009E2199">
            <w:pPr>
              <w:pStyle w:val="Compact"/>
            </w:pPr>
            <w:r>
              <w:t>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rsidR="00B86358" w:rsidTr="0091258F">
        <w:tc>
          <w:tcPr>
            <w:tcW w:w="1097" w:type="pct"/>
          </w:tcPr>
          <w:p w:rsidR="00B86358" w:rsidRDefault="009E2199">
            <w:pPr>
              <w:pStyle w:val="Compact"/>
            </w:pPr>
            <w:r>
              <w:t>Principle 1</w:t>
            </w:r>
          </w:p>
        </w:tc>
        <w:tc>
          <w:tcPr>
            <w:tcW w:w="0" w:type="auto"/>
          </w:tcPr>
          <w:p w:rsidR="00B86358" w:rsidRDefault="009E2199">
            <w:pPr>
              <w:pStyle w:val="Compact"/>
            </w:pPr>
            <w:r>
              <w:t>Transparency in experimental methodology, observation, and collection of data</w:t>
            </w:r>
          </w:p>
        </w:tc>
      </w:tr>
      <w:tr w:rsidR="00B86358" w:rsidTr="0091258F">
        <w:tc>
          <w:tcPr>
            <w:tcW w:w="1097" w:type="pct"/>
          </w:tcPr>
          <w:p w:rsidR="00B86358" w:rsidRDefault="009E2199">
            <w:pPr>
              <w:pStyle w:val="Compact"/>
            </w:pPr>
            <w:r>
              <w:t>Principle 2</w:t>
            </w:r>
          </w:p>
        </w:tc>
        <w:tc>
          <w:tcPr>
            <w:tcW w:w="0" w:type="auto"/>
          </w:tcPr>
          <w:p w:rsidR="00B86358" w:rsidRDefault="009E2199">
            <w:pPr>
              <w:pStyle w:val="Compact"/>
            </w:pPr>
            <w:r>
              <w:t>Public availability and reusability of scientific data</w:t>
            </w:r>
          </w:p>
        </w:tc>
      </w:tr>
      <w:tr w:rsidR="00B86358" w:rsidTr="0091258F">
        <w:tc>
          <w:tcPr>
            <w:tcW w:w="1097" w:type="pct"/>
          </w:tcPr>
          <w:p w:rsidR="00B86358" w:rsidRDefault="009E2199">
            <w:pPr>
              <w:pStyle w:val="Compact"/>
            </w:pPr>
            <w:r>
              <w:t>Principle 3</w:t>
            </w:r>
          </w:p>
        </w:tc>
        <w:tc>
          <w:tcPr>
            <w:tcW w:w="0" w:type="auto"/>
          </w:tcPr>
          <w:p w:rsidR="00B86358" w:rsidRDefault="009E2199">
            <w:pPr>
              <w:pStyle w:val="Compact"/>
            </w:pPr>
            <w:r>
              <w:t>Public accessibility and transparency of scientific communication</w:t>
            </w:r>
          </w:p>
        </w:tc>
      </w:tr>
      <w:tr w:rsidR="00B86358" w:rsidTr="0091258F">
        <w:tc>
          <w:tcPr>
            <w:tcW w:w="1097" w:type="pct"/>
          </w:tcPr>
          <w:p w:rsidR="00B86358" w:rsidRDefault="009E2199">
            <w:pPr>
              <w:pStyle w:val="Compact"/>
            </w:pPr>
            <w:r>
              <w:t>Principle 4</w:t>
            </w:r>
          </w:p>
        </w:tc>
        <w:tc>
          <w:tcPr>
            <w:tcW w:w="0" w:type="auto"/>
          </w:tcPr>
          <w:p w:rsidR="00B86358" w:rsidRDefault="009E2199">
            <w:pPr>
              <w:pStyle w:val="Compact"/>
            </w:pPr>
            <w:r>
              <w:t>Using web-based tools to facilitate scientific collaboration and reproducibility</w:t>
            </w:r>
          </w:p>
        </w:tc>
      </w:tr>
    </w:tbl>
    <w:p w:rsidR="0091258F" w:rsidRDefault="0091258F">
      <w:pPr>
        <w:pStyle w:val="TableCaption"/>
      </w:pPr>
    </w:p>
    <w:p w:rsidR="0091258F" w:rsidRDefault="0091258F" w:rsidP="0091258F">
      <w:pPr>
        <w:pStyle w:val="BodyText"/>
      </w:pPr>
      <w:r>
        <w:br w:type="page"/>
      </w:r>
    </w:p>
    <w:p w:rsidR="00B86358" w:rsidRDefault="009E2199">
      <w:pPr>
        <w:pStyle w:val="TableCaption"/>
      </w:pPr>
      <w:r>
        <w:lastRenderedPageBreak/>
        <w:t>Table 2 R packages that can be used in the development, application, and translation of bioassessment products.</w:t>
      </w:r>
    </w:p>
    <w:tbl>
      <w:tblPr>
        <w:tblW w:w="0" w:type="pct"/>
        <w:tblLook w:val="07E0" w:firstRow="1" w:lastRow="1" w:firstColumn="1" w:lastColumn="1" w:noHBand="1" w:noVBand="1"/>
      </w:tblPr>
      <w:tblGrid>
        <w:gridCol w:w="1969"/>
        <w:gridCol w:w="2708"/>
        <w:gridCol w:w="4899"/>
      </w:tblGrid>
      <w:tr w:rsidR="00B86358">
        <w:tc>
          <w:tcPr>
            <w:tcW w:w="0" w:type="auto"/>
            <w:tcBorders>
              <w:bottom w:val="single" w:sz="0" w:space="0" w:color="auto"/>
            </w:tcBorders>
            <w:vAlign w:val="bottom"/>
          </w:tcPr>
          <w:p w:rsidR="00B86358" w:rsidRDefault="009E2199">
            <w:pPr>
              <w:pStyle w:val="Compact"/>
            </w:pPr>
            <w:r>
              <w:t>Task</w:t>
            </w:r>
          </w:p>
        </w:tc>
        <w:tc>
          <w:tcPr>
            <w:tcW w:w="0" w:type="auto"/>
            <w:tcBorders>
              <w:bottom w:val="single" w:sz="0" w:space="0" w:color="auto"/>
            </w:tcBorders>
            <w:vAlign w:val="bottom"/>
          </w:tcPr>
          <w:p w:rsidR="00B86358" w:rsidRDefault="009E2199">
            <w:pPr>
              <w:pStyle w:val="Compact"/>
            </w:pPr>
            <w:r>
              <w:t>Package</w:t>
            </w:r>
          </w:p>
        </w:tc>
        <w:tc>
          <w:tcPr>
            <w:tcW w:w="0" w:type="auto"/>
            <w:tcBorders>
              <w:bottom w:val="single" w:sz="0" w:space="0" w:color="auto"/>
            </w:tcBorders>
            <w:vAlign w:val="bottom"/>
          </w:tcPr>
          <w:p w:rsidR="00B86358" w:rsidRDefault="009E2199">
            <w:pPr>
              <w:pStyle w:val="Compact"/>
            </w:pPr>
            <w:r>
              <w:t>Description</w:t>
            </w:r>
          </w:p>
        </w:tc>
      </w:tr>
      <w:tr w:rsidR="00B86358">
        <w:tc>
          <w:tcPr>
            <w:tcW w:w="0" w:type="auto"/>
          </w:tcPr>
          <w:p w:rsidR="00B86358" w:rsidRDefault="009E2199">
            <w:pPr>
              <w:pStyle w:val="Compact"/>
            </w:pPr>
            <w:r>
              <w:t>General</w:t>
            </w:r>
          </w:p>
        </w:tc>
        <w:tc>
          <w:tcPr>
            <w:tcW w:w="0" w:type="auto"/>
          </w:tcPr>
          <w:p w:rsidR="00B86358" w:rsidRDefault="009E2199">
            <w:pPr>
              <w:pStyle w:val="Compact"/>
            </w:pPr>
            <w:r>
              <w:rPr>
                <w:rStyle w:val="VerbatimChar"/>
              </w:rPr>
              <w:t>tidyverse</w:t>
            </w:r>
            <w:r>
              <w:t xml:space="preserve"> (Wickham 2017)</w:t>
            </w:r>
          </w:p>
        </w:tc>
        <w:tc>
          <w:tcPr>
            <w:tcW w:w="0" w:type="auto"/>
          </w:tcPr>
          <w:p w:rsidR="00B86358" w:rsidRDefault="009E2199">
            <w:pPr>
              <w:pStyle w:val="Compact"/>
            </w:pPr>
            <w:r>
              <w:t xml:space="preserve">A suite of packages to import, wrangle, explore, and plot data. Includes the popular </w:t>
            </w:r>
            <w:r>
              <w:rPr>
                <w:rStyle w:val="VerbatimChar"/>
              </w:rPr>
              <w:t>ggplot2</w:t>
            </w:r>
            <w:r>
              <w:t xml:space="preserve"> and </w:t>
            </w:r>
            <w:r>
              <w:rPr>
                <w:rStyle w:val="VerbatimChar"/>
              </w:rPr>
              <w:t>dplyr</w:t>
            </w:r>
            <w:r>
              <w:t xml:space="preserve"> packages.</w:t>
            </w:r>
          </w:p>
        </w:tc>
      </w:tr>
      <w:tr w:rsidR="00B86358">
        <w:tc>
          <w:tcPr>
            <w:tcW w:w="0" w:type="auto"/>
          </w:tcPr>
          <w:p w:rsidR="00B86358" w:rsidRDefault="009E2199">
            <w:pPr>
              <w:pStyle w:val="Compact"/>
            </w:pPr>
            <w:r>
              <w:t>Mapping, geospatial</w:t>
            </w:r>
          </w:p>
        </w:tc>
        <w:tc>
          <w:tcPr>
            <w:tcW w:w="0" w:type="auto"/>
          </w:tcPr>
          <w:p w:rsidR="00B86358" w:rsidRDefault="009E2199">
            <w:pPr>
              <w:pStyle w:val="Compact"/>
            </w:pPr>
            <w:r>
              <w:rPr>
                <w:rStyle w:val="VerbatimChar"/>
              </w:rPr>
              <w:t>sf</w:t>
            </w:r>
            <w:r>
              <w:t xml:space="preserve"> (Pebesma 2018)</w:t>
            </w:r>
          </w:p>
        </w:tc>
        <w:tc>
          <w:tcPr>
            <w:tcW w:w="0" w:type="auto"/>
          </w:tcPr>
          <w:p w:rsidR="00B86358" w:rsidRDefault="009E2199">
            <w:pPr>
              <w:pStyle w:val="Compact"/>
            </w:pPr>
            <w:r>
              <w:t>A simple features architecture for working with vectorized spatial data, including common geospatial analysis functions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raster</w:t>
            </w:r>
            <w:r>
              <w:t xml:space="preserve"> (Hijmans 2019)</w:t>
            </w:r>
          </w:p>
        </w:tc>
        <w:tc>
          <w:tcPr>
            <w:tcW w:w="0" w:type="auto"/>
          </w:tcPr>
          <w:p w:rsidR="00B86358" w:rsidRDefault="009E2199">
            <w:pPr>
              <w:pStyle w:val="Compact"/>
            </w:pPr>
            <w:r>
              <w:t>Reading, writing, manipulating, analyzing, and modeling gridded spatial data</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leaflet</w:t>
            </w:r>
            <w:r>
              <w:t xml:space="preserve"> (Cheng et al. 2018)</w:t>
            </w:r>
          </w:p>
        </w:tc>
        <w:tc>
          <w:tcPr>
            <w:tcW w:w="0" w:type="auto"/>
          </w:tcPr>
          <w:p w:rsidR="00B86358" w:rsidRDefault="009E2199">
            <w:pPr>
              <w:pStyle w:val="Compact"/>
            </w:pPr>
            <w:r>
              <w:t xml:space="preserve">Integration of R with the popular JavaScript </w:t>
            </w:r>
            <w:r>
              <w:rPr>
                <w:rStyle w:val="VerbatimChar"/>
              </w:rPr>
              <w:t>leaflet</w:t>
            </w:r>
            <w:r>
              <w:t xml:space="preserve"> library for interactive maps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mapview</w:t>
            </w:r>
            <w:r>
              <w:t xml:space="preserve"> (Appelhans et al. 2018)</w:t>
            </w:r>
          </w:p>
        </w:tc>
        <w:tc>
          <w:tcPr>
            <w:tcW w:w="0" w:type="auto"/>
          </w:tcPr>
          <w:p w:rsidR="00B86358" w:rsidRDefault="009E2199">
            <w:pPr>
              <w:pStyle w:val="Compact"/>
            </w:pPr>
            <w:r>
              <w:t xml:space="preserve">Creates interactive maps to quickly examine and visually investigate spatial data, built off </w:t>
            </w:r>
            <w:r>
              <w:rPr>
                <w:rStyle w:val="VerbatimChar"/>
              </w:rPr>
              <w:t>leaflet</w:t>
            </w:r>
            <w:r>
              <w:t xml:space="preserve"> and integrated with </w:t>
            </w:r>
            <w:r>
              <w:rPr>
                <w:rStyle w:val="VerbatimChar"/>
              </w:rPr>
              <w:t>sf</w:t>
            </w:r>
          </w:p>
        </w:tc>
      </w:tr>
      <w:tr w:rsidR="00B86358">
        <w:tc>
          <w:tcPr>
            <w:tcW w:w="0" w:type="auto"/>
          </w:tcPr>
          <w:p w:rsidR="00B86358" w:rsidRDefault="009E2199">
            <w:pPr>
              <w:pStyle w:val="Compact"/>
            </w:pPr>
            <w:r>
              <w:t>Statistical modelling</w:t>
            </w:r>
          </w:p>
        </w:tc>
        <w:tc>
          <w:tcPr>
            <w:tcW w:w="0" w:type="auto"/>
          </w:tcPr>
          <w:p w:rsidR="00B86358" w:rsidRDefault="009E2199">
            <w:pPr>
              <w:pStyle w:val="Compact"/>
            </w:pPr>
            <w:r>
              <w:rPr>
                <w:rStyle w:val="VerbatimChar"/>
              </w:rPr>
              <w:t>randomForest</w:t>
            </w:r>
            <w:r>
              <w:t xml:space="preserve"> (Liaw and Wiener 2002)</w:t>
            </w:r>
          </w:p>
        </w:tc>
        <w:tc>
          <w:tcPr>
            <w:tcW w:w="0" w:type="auto"/>
          </w:tcPr>
          <w:p w:rsidR="00B86358" w:rsidRDefault="009E2199">
            <w:pPr>
              <w:pStyle w:val="Compact"/>
            </w:pPr>
            <w:r>
              <w:t>Create classification and regression trees for predictive modelling</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nlme</w:t>
            </w:r>
            <w:r>
              <w:t xml:space="preserve"> (Pinheiro et al. 2018)</w:t>
            </w:r>
          </w:p>
        </w:tc>
        <w:tc>
          <w:tcPr>
            <w:tcW w:w="0" w:type="auto"/>
          </w:tcPr>
          <w:p w:rsidR="00B86358" w:rsidRDefault="009E2199">
            <w:pPr>
              <w:pStyle w:val="Compact"/>
            </w:pPr>
            <w:r>
              <w:t>Non-linear, mixed effects modelling</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mgcv</w:t>
            </w:r>
            <w:r>
              <w:t xml:space="preserve"> (Wood 2017)</w:t>
            </w:r>
          </w:p>
        </w:tc>
        <w:tc>
          <w:tcPr>
            <w:tcW w:w="0" w:type="auto"/>
          </w:tcPr>
          <w:p w:rsidR="00B86358" w:rsidRDefault="009E2199">
            <w:pPr>
              <w:pStyle w:val="Compact"/>
            </w:pPr>
            <w:r>
              <w:t>Generalized additive modelling</w:t>
            </w:r>
          </w:p>
        </w:tc>
      </w:tr>
      <w:tr w:rsidR="00B86358">
        <w:tc>
          <w:tcPr>
            <w:tcW w:w="0" w:type="auto"/>
          </w:tcPr>
          <w:p w:rsidR="00B86358" w:rsidRDefault="009E2199">
            <w:pPr>
              <w:pStyle w:val="Compact"/>
            </w:pPr>
            <w:r>
              <w:t>Community analysis</w:t>
            </w:r>
          </w:p>
        </w:tc>
        <w:tc>
          <w:tcPr>
            <w:tcW w:w="0" w:type="auto"/>
          </w:tcPr>
          <w:p w:rsidR="00B86358" w:rsidRDefault="009E2199">
            <w:pPr>
              <w:pStyle w:val="Compact"/>
            </w:pPr>
            <w:r>
              <w:rPr>
                <w:rStyle w:val="VerbatimChar"/>
              </w:rPr>
              <w:t>TITAN2</w:t>
            </w:r>
            <w:r>
              <w:t xml:space="preserve"> (Baker et al. 2015)</w:t>
            </w:r>
          </w:p>
        </w:tc>
        <w:tc>
          <w:tcPr>
            <w:tcW w:w="0" w:type="auto"/>
          </w:tcPr>
          <w:p w:rsidR="00B86358" w:rsidRDefault="009E2199">
            <w:pPr>
              <w:pStyle w:val="Compact"/>
            </w:pPr>
            <w:r>
              <w:t>Ecological community threshold analysis using indicator species scores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indicspecies</w:t>
            </w:r>
            <w:r>
              <w:t xml:space="preserve"> (De Caceres and Legendre 2009)</w:t>
            </w:r>
          </w:p>
        </w:tc>
        <w:tc>
          <w:tcPr>
            <w:tcW w:w="0" w:type="auto"/>
          </w:tcPr>
          <w:p w:rsidR="00B86358" w:rsidRDefault="009E2199">
            <w:pPr>
              <w:pStyle w:val="Compact"/>
            </w:pPr>
            <w:r>
              <w:t>Indicator species analysis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vegan</w:t>
            </w:r>
            <w:r>
              <w:t xml:space="preserve"> (Oksanen et al. 2018)</w:t>
            </w:r>
          </w:p>
        </w:tc>
        <w:tc>
          <w:tcPr>
            <w:tcW w:w="0" w:type="auto"/>
          </w:tcPr>
          <w:p w:rsidR="00B86358" w:rsidRDefault="009E2199">
            <w:pPr>
              <w:pStyle w:val="Compact"/>
            </w:pPr>
            <w:r>
              <w:t>Multivariate analysis for community ecology</w:t>
            </w:r>
          </w:p>
        </w:tc>
      </w:tr>
      <w:tr w:rsidR="00B86358">
        <w:tc>
          <w:tcPr>
            <w:tcW w:w="0" w:type="auto"/>
          </w:tcPr>
          <w:p w:rsidR="00B86358" w:rsidRDefault="009E2199">
            <w:pPr>
              <w:pStyle w:val="Compact"/>
            </w:pPr>
            <w:r>
              <w:t>Science communication</w:t>
            </w:r>
          </w:p>
        </w:tc>
        <w:tc>
          <w:tcPr>
            <w:tcW w:w="0" w:type="auto"/>
          </w:tcPr>
          <w:p w:rsidR="00B86358" w:rsidRDefault="009E2199">
            <w:pPr>
              <w:pStyle w:val="Compact"/>
            </w:pPr>
            <w:r>
              <w:rPr>
                <w:rStyle w:val="VerbatimChar"/>
              </w:rPr>
              <w:t>shiny</w:t>
            </w:r>
            <w:r>
              <w:t xml:space="preserve"> (Chang et al. 2018)</w:t>
            </w:r>
          </w:p>
        </w:tc>
        <w:tc>
          <w:tcPr>
            <w:tcW w:w="0" w:type="auto"/>
          </w:tcPr>
          <w:p w:rsidR="00B86358" w:rsidRDefault="009E2199">
            <w:pPr>
              <w:pStyle w:val="Compact"/>
            </w:pPr>
            <w:r>
              <w:t>Reactive programming tools to create interactive and customizable web applications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rmarkdown</w:t>
            </w:r>
            <w:r>
              <w:t xml:space="preserve"> (Allaire et al. 2018)</w:t>
            </w:r>
          </w:p>
        </w:tc>
        <w:tc>
          <w:tcPr>
            <w:tcW w:w="0" w:type="auto"/>
          </w:tcPr>
          <w:p w:rsidR="00B86358" w:rsidRDefault="009E2199">
            <w:pPr>
              <w:pStyle w:val="Compact"/>
            </w:pPr>
            <w:r>
              <w:t>Tools for working with markdown markup languages in .Rmd files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knitr</w:t>
            </w:r>
            <w:r>
              <w:t xml:space="preserve"> (Xie 2015)</w:t>
            </w:r>
          </w:p>
        </w:tc>
        <w:tc>
          <w:tcPr>
            <w:tcW w:w="0" w:type="auto"/>
          </w:tcPr>
          <w:p w:rsidR="00B86358" w:rsidRDefault="009E2199">
            <w:pPr>
              <w:pStyle w:val="Compact"/>
            </w:pPr>
            <w:r>
              <w:t>Automated tools for markdown files that process integrated R code chunks</w:t>
            </w:r>
          </w:p>
        </w:tc>
      </w:tr>
    </w:tbl>
    <w:p w:rsidR="0091258F" w:rsidRDefault="0091258F">
      <w:pPr>
        <w:pStyle w:val="Heading1"/>
      </w:pPr>
      <w:bookmarkStart w:id="16" w:name="references"/>
    </w:p>
    <w:p w:rsidR="0091258F" w:rsidRDefault="0091258F" w:rsidP="0091258F">
      <w:pPr>
        <w:pStyle w:val="BodyText"/>
        <w:rPr>
          <w:rFonts w:eastAsiaTheme="majorEastAsia" w:cstheme="majorBidi"/>
          <w:color w:val="000000" w:themeColor="text1"/>
          <w:sz w:val="32"/>
          <w:szCs w:val="32"/>
        </w:rPr>
      </w:pPr>
      <w:r>
        <w:br w:type="page"/>
      </w:r>
    </w:p>
    <w:p w:rsidR="0091258F" w:rsidRDefault="009E2199" w:rsidP="00A235D8">
      <w:pPr>
        <w:pStyle w:val="Heading1"/>
        <w:spacing w:after="240"/>
      </w:pPr>
      <w:r>
        <w:lastRenderedPageBreak/>
        <w:t>References</w:t>
      </w:r>
      <w:bookmarkEnd w:id="16"/>
    </w:p>
    <w:p w:rsidR="00B86358" w:rsidRDefault="009E2199">
      <w:pPr>
        <w:pStyle w:val="Bibliography"/>
      </w:pPr>
      <w:bookmarkStart w:id="17" w:name="ref-Allaire18"/>
      <w:bookmarkStart w:id="18" w:name="refs"/>
      <w:r>
        <w:t xml:space="preserve">Allaire, JJ, </w:t>
      </w:r>
      <w:proofErr w:type="spellStart"/>
      <w:r>
        <w:t>Yihui</w:t>
      </w:r>
      <w:proofErr w:type="spellEnd"/>
      <w:r>
        <w:t xml:space="preserve"> </w:t>
      </w:r>
      <w:proofErr w:type="spellStart"/>
      <w:r>
        <w:t>Xie</w:t>
      </w:r>
      <w:proofErr w:type="spellEnd"/>
      <w:r>
        <w:t xml:space="preserve">, Jonathan McPherson, Javier Luraschi, Kevin Ushey, Aron Atkins, Hadley Wickham, Joe Cheng, and Winston Chang. 2018. </w:t>
      </w:r>
      <w:r>
        <w:rPr>
          <w:i/>
        </w:rPr>
        <w:t>Rmarkdown: Dynamic Documents for R</w:t>
      </w:r>
      <w:r>
        <w:t xml:space="preserve">. </w:t>
      </w:r>
      <w:hyperlink r:id="rId37">
        <w:r>
          <w:rPr>
            <w:rStyle w:val="Hyperlink"/>
          </w:rPr>
          <w:t>https://CRAN.R-project.org/package=rmarkdown</w:t>
        </w:r>
      </w:hyperlink>
      <w:r>
        <w:t>.</w:t>
      </w:r>
    </w:p>
    <w:p w:rsidR="00B86358" w:rsidRDefault="009E2199">
      <w:pPr>
        <w:pStyle w:val="Bibliography"/>
      </w:pPr>
      <w:bookmarkStart w:id="19" w:name="ref-Appelhans18"/>
      <w:bookmarkEnd w:id="17"/>
      <w:r>
        <w:t xml:space="preserve">Appelhans, Tim, Florian Detsch, Christoph Reudenbach, and Stefan Woellauer. 2018. </w:t>
      </w:r>
      <w:r>
        <w:rPr>
          <w:i/>
        </w:rPr>
        <w:t>Mapview: Interactive Viewing of Spatial Data in R</w:t>
      </w:r>
      <w:r>
        <w:t xml:space="preserve">. </w:t>
      </w:r>
      <w:hyperlink r:id="rId38">
        <w:r>
          <w:rPr>
            <w:rStyle w:val="Hyperlink"/>
          </w:rPr>
          <w:t>https://github.com/r-spatial/mapview</w:t>
        </w:r>
      </w:hyperlink>
      <w:r>
        <w:t>.</w:t>
      </w:r>
    </w:p>
    <w:p w:rsidR="00B86358" w:rsidRDefault="009E2199">
      <w:pPr>
        <w:pStyle w:val="Bibliography"/>
      </w:pPr>
      <w:bookmarkStart w:id="20" w:name="ref-Bain00"/>
      <w:bookmarkEnd w:id="19"/>
      <w:r>
        <w:t xml:space="preserve">Bain, M. B., A. L. Harig, D. P. Loucks, R. R. Goforth, and K. E. Mills. 2000. “Aquatic Ecosystem Protection and Restoration: Advances in Methods for Assessment and Evaluation.” </w:t>
      </w:r>
      <w:r>
        <w:rPr>
          <w:i/>
        </w:rPr>
        <w:t>Environmental Science and Policy</w:t>
      </w:r>
      <w:r>
        <w:t xml:space="preserve"> 3 (1):89–98.</w:t>
      </w:r>
    </w:p>
    <w:p w:rsidR="00B86358" w:rsidRDefault="009E2199">
      <w:pPr>
        <w:pStyle w:val="Bibliography"/>
      </w:pPr>
      <w:bookmarkStart w:id="21" w:name="ref-Baird12"/>
      <w:bookmarkEnd w:id="20"/>
      <w:r>
        <w:t xml:space="preserve">Baird, D. J., and M. Hajibabaei. 2012. “Biomonitoring 2.0: A New Paradigm in Ecosystem Assessment Made Possible by Next-Generation Dna Sequencing.” </w:t>
      </w:r>
      <w:r>
        <w:rPr>
          <w:i/>
        </w:rPr>
        <w:t>Molecular Ecology</w:t>
      </w:r>
      <w:r>
        <w:t xml:space="preserve"> 21 (8):2039–44. </w:t>
      </w:r>
      <w:hyperlink r:id="rId39">
        <w:r>
          <w:rPr>
            <w:rStyle w:val="Hyperlink"/>
          </w:rPr>
          <w:t>https://doi.org/10.1111/j.1365-294X.2012.05519.x</w:t>
        </w:r>
      </w:hyperlink>
      <w:r>
        <w:t>.</w:t>
      </w:r>
    </w:p>
    <w:p w:rsidR="00B86358" w:rsidRDefault="009E2199">
      <w:pPr>
        <w:pStyle w:val="Bibliography"/>
      </w:pPr>
      <w:bookmarkStart w:id="22" w:name="ref-Baker15"/>
      <w:bookmarkEnd w:id="21"/>
      <w:r>
        <w:t xml:space="preserve">Baker, Matthew E., Ryan S. King, and David Kahle. 2015. </w:t>
      </w:r>
      <w:r>
        <w:rPr>
          <w:i/>
        </w:rPr>
        <w:t>TITAN2: Threshold Indicator Taxa Analysis</w:t>
      </w:r>
      <w:r>
        <w:t xml:space="preserve">. </w:t>
      </w:r>
      <w:hyperlink r:id="rId40">
        <w:r>
          <w:rPr>
            <w:rStyle w:val="Hyperlink"/>
          </w:rPr>
          <w:t>https://CRAN.R-project.org/package=TITAN2</w:t>
        </w:r>
      </w:hyperlink>
      <w:r>
        <w:t>.</w:t>
      </w:r>
    </w:p>
    <w:p w:rsidR="00B86358" w:rsidRDefault="009E2199">
      <w:pPr>
        <w:pStyle w:val="Bibliography"/>
      </w:pPr>
      <w:bookmarkStart w:id="23" w:name="ref-Beck18d"/>
      <w:bookmarkEnd w:id="22"/>
      <w:r>
        <w:t>Beck, M. W. 2018a. “Constrained streams for biological integrity in California. Knowledge Network for Biocomplexity. urn:uuid:75411f50-32ed-42a5-bbfd-26833c7a441f.”</w:t>
      </w:r>
    </w:p>
    <w:p w:rsidR="00B86358" w:rsidRDefault="009E2199">
      <w:pPr>
        <w:pStyle w:val="Bibliography"/>
      </w:pPr>
      <w:bookmarkStart w:id="24" w:name="ref-Beck18c"/>
      <w:bookmarkEnd w:id="23"/>
      <w:r>
        <w:t xml:space="preserve">———. 2018b. “SCCWRP/SCAPE: v1.0 (Version 1.0). Zenodo, </w:t>
      </w:r>
      <w:hyperlink r:id="rId41">
        <w:r>
          <w:rPr>
            <w:rStyle w:val="Hyperlink"/>
          </w:rPr>
          <w:t>http://doi.org/10.5281/zenodo.1218121</w:t>
        </w:r>
      </w:hyperlink>
      <w:r>
        <w:t>.”</w:t>
      </w:r>
    </w:p>
    <w:p w:rsidR="00B86358" w:rsidRDefault="009E2199">
      <w:pPr>
        <w:pStyle w:val="Bibliography"/>
      </w:pPr>
      <w:bookmarkStart w:id="25" w:name="ref-Beck09"/>
      <w:bookmarkEnd w:id="24"/>
      <w:r>
        <w:t xml:space="preserve">Beck, M. W., and L. K. Hatch. 2009. “A Review of Research on the Development of Lake Indices of Biotic Integrity.” </w:t>
      </w:r>
      <w:r>
        <w:rPr>
          <w:i/>
        </w:rPr>
        <w:t>Environmental Reviews</w:t>
      </w:r>
      <w:r>
        <w:t xml:space="preserve"> 17:21–44. </w:t>
      </w:r>
      <w:hyperlink r:id="rId42">
        <w:r>
          <w:rPr>
            <w:rStyle w:val="Hyperlink"/>
          </w:rPr>
          <w:t>https://doi.org/10.1139/A09-001</w:t>
        </w:r>
      </w:hyperlink>
      <w:r>
        <w:t>.</w:t>
      </w:r>
    </w:p>
    <w:p w:rsidR="00B86358" w:rsidRDefault="009E2199">
      <w:pPr>
        <w:pStyle w:val="Bibliography"/>
      </w:pPr>
      <w:bookmarkStart w:id="26" w:name="ref-Beckir"/>
      <w:bookmarkEnd w:id="25"/>
      <w:r>
        <w:t xml:space="preserve">Beck, M. W., R. D. Mazor, S. Johnson, K. Wisenbaker, J. Westfall, P. R. Ode, R. Hill, C. Loflen, M. Sutula, and E. D. Stein. n.d. “Prioritizing Management Goals for Stream Biological Integrity Within the Developed Landscape Context.” </w:t>
      </w:r>
      <w:r>
        <w:rPr>
          <w:i/>
        </w:rPr>
        <w:t>Freshwater Science</w:t>
      </w:r>
      <w:r>
        <w:t>.</w:t>
      </w:r>
    </w:p>
    <w:p w:rsidR="00B86358" w:rsidRDefault="009E2199">
      <w:pPr>
        <w:pStyle w:val="Bibliography"/>
      </w:pPr>
      <w:bookmarkStart w:id="27" w:name="ref-Beck13"/>
      <w:bookmarkEnd w:id="26"/>
      <w:r>
        <w:t xml:space="preserve">Beck, M. W., B. Vondracek, and L. K. Hatch. 2013. “Environmental Clustering of Lakes to Evaluate Performance of a Macrophyte Index of Biotic Integrity.” </w:t>
      </w:r>
      <w:r>
        <w:rPr>
          <w:i/>
        </w:rPr>
        <w:t>Aquatic Botany</w:t>
      </w:r>
      <w:r>
        <w:t xml:space="preserve"> 108:16–25. </w:t>
      </w:r>
      <w:hyperlink r:id="rId43">
        <w:r>
          <w:rPr>
            <w:rStyle w:val="Hyperlink"/>
          </w:rPr>
          <w:t>https://doi.org/10.1016/j.aquabot.2013.02.003</w:t>
        </w:r>
      </w:hyperlink>
      <w:r>
        <w:t>.</w:t>
      </w:r>
    </w:p>
    <w:p w:rsidR="00B86358" w:rsidRDefault="009E2199">
      <w:pPr>
        <w:pStyle w:val="Bibliography"/>
      </w:pPr>
      <w:bookmarkStart w:id="28" w:name="ref-Birk12"/>
      <w:bookmarkEnd w:id="27"/>
      <w:r>
        <w:t xml:space="preserve">Birk, S., W. Bonne, A. Borja, S. Brucet, A. Courrat, S. Poikane, A. Solimini, W. van de Bund, N. Zampoukas, and D. Hering. 2012. “Three Hundred Ways to Assess Europe’s Surface Waters: An Almost Complete Overview of Biological Methods to Implement the Water Framework Directive.” </w:t>
      </w:r>
      <w:r>
        <w:rPr>
          <w:i/>
        </w:rPr>
        <w:t>Ecological Indicators</w:t>
      </w:r>
      <w:r>
        <w:t xml:space="preserve"> 18 (1):31–41. </w:t>
      </w:r>
      <w:hyperlink r:id="rId44">
        <w:r>
          <w:rPr>
            <w:rStyle w:val="Hyperlink"/>
          </w:rPr>
          <w:t>https://doi.org/10.1016/j.ecolind.2011.10.009</w:t>
        </w:r>
      </w:hyperlink>
      <w:r>
        <w:t>.</w:t>
      </w:r>
    </w:p>
    <w:p w:rsidR="00B86358" w:rsidRDefault="009E2199">
      <w:pPr>
        <w:pStyle w:val="Bibliography"/>
      </w:pPr>
      <w:bookmarkStart w:id="29" w:name="ref-BondLamberty16"/>
      <w:bookmarkEnd w:id="28"/>
      <w:r>
        <w:t xml:space="preserve">Bond-Lamberty, B., A. P. Smith, and V. Bailey. 2016. “Running an Open Experiment: Transparency and Reproducibility in Soil and Ecosystem Science.” </w:t>
      </w:r>
      <w:r>
        <w:rPr>
          <w:i/>
        </w:rPr>
        <w:t>Environmental Research Letters</w:t>
      </w:r>
      <w:r>
        <w:t xml:space="preserve"> 11 (8):1–7. </w:t>
      </w:r>
      <w:hyperlink r:id="rId45">
        <w:r>
          <w:rPr>
            <w:rStyle w:val="Hyperlink"/>
          </w:rPr>
          <w:t>https://doi.org/10.1088/1748-9326/11/8/084004</w:t>
        </w:r>
      </w:hyperlink>
      <w:r>
        <w:t>.</w:t>
      </w:r>
    </w:p>
    <w:p w:rsidR="00B86358" w:rsidRDefault="009E2199">
      <w:pPr>
        <w:pStyle w:val="Bibliography"/>
      </w:pPr>
      <w:bookmarkStart w:id="30" w:name="ref-Borja09"/>
      <w:bookmarkEnd w:id="29"/>
      <w:r>
        <w:t xml:space="preserve">Borja, A., A. Ranasinghe, and S. B. Weisberg. 2009. “Assessing Ecological Integrity in Marine Waters, Using Multiple Indices and Ecosystem Components: Challenges for the Future.” </w:t>
      </w:r>
      <w:r>
        <w:rPr>
          <w:i/>
        </w:rPr>
        <w:t>Marine Pollution Bulletin</w:t>
      </w:r>
      <w:r>
        <w:t xml:space="preserve"> 59 (1-3):1–4.</w:t>
      </w:r>
    </w:p>
    <w:p w:rsidR="00B86358" w:rsidRDefault="009E2199">
      <w:pPr>
        <w:pStyle w:val="Bibliography"/>
      </w:pPr>
      <w:bookmarkStart w:id="31" w:name="ref-Borregaard16"/>
      <w:bookmarkEnd w:id="30"/>
      <w:r>
        <w:lastRenderedPageBreak/>
        <w:t xml:space="preserve">Borregaard, M. K., and E. M. Hart. 2016. “Towards a More Reproducible Ecology.” </w:t>
      </w:r>
      <w:r>
        <w:rPr>
          <w:i/>
        </w:rPr>
        <w:t>Ecography</w:t>
      </w:r>
      <w:r>
        <w:t xml:space="preserve"> 39:349–53. </w:t>
      </w:r>
      <w:hyperlink r:id="rId46">
        <w:r>
          <w:rPr>
            <w:rStyle w:val="Hyperlink"/>
          </w:rPr>
          <w:t>https://doi.org/10.1111/ecog.02493</w:t>
        </w:r>
      </w:hyperlink>
      <w:r>
        <w:t>.</w:t>
      </w:r>
    </w:p>
    <w:p w:rsidR="00B86358" w:rsidRDefault="009E2199">
      <w:pPr>
        <w:pStyle w:val="Bibliography"/>
      </w:pPr>
      <w:bookmarkStart w:id="32" w:name="ref-Bried14"/>
      <w:bookmarkEnd w:id="31"/>
      <w:r>
        <w:t xml:space="preserve">Bried, J. T., S. K. Jog, A. R. Dzialowski, and C. A. Davis. 2014. “Potential Vegetation Criteria for Identifying Reference-Quality Wetlands in the South-Central United States.” </w:t>
      </w:r>
      <w:r>
        <w:rPr>
          <w:i/>
        </w:rPr>
        <w:t>Wetlands</w:t>
      </w:r>
      <w:r>
        <w:t xml:space="preserve"> 34 (6):1159–69. </w:t>
      </w:r>
      <w:hyperlink r:id="rId47">
        <w:r>
          <w:rPr>
            <w:rStyle w:val="Hyperlink"/>
          </w:rPr>
          <w:t>https://doi.org/10.1007/s13157-014-0575-5</w:t>
        </w:r>
      </w:hyperlink>
      <w:r>
        <w:t>.</w:t>
      </w:r>
    </w:p>
    <w:p w:rsidR="00B86358" w:rsidRDefault="009E2199">
      <w:pPr>
        <w:pStyle w:val="Bibliography"/>
      </w:pPr>
      <w:bookmarkStart w:id="33" w:name="ref-Cao11"/>
      <w:bookmarkEnd w:id="32"/>
      <w:r>
        <w:t xml:space="preserve">Cao, Y., and C. Hawkins. 2011. “The Comparability of Bioassessments: A Review of Conceptual and Methodological Issues.” </w:t>
      </w:r>
      <w:r>
        <w:rPr>
          <w:i/>
        </w:rPr>
        <w:t>Journal of the North American Benthological Society</w:t>
      </w:r>
      <w:r>
        <w:t xml:space="preserve"> 30 (3):680–701. </w:t>
      </w:r>
      <w:hyperlink r:id="rId48">
        <w:r>
          <w:rPr>
            <w:rStyle w:val="Hyperlink"/>
          </w:rPr>
          <w:t>https://doi.org/10.1899/10-067.1</w:t>
        </w:r>
      </w:hyperlink>
      <w:r>
        <w:t>.</w:t>
      </w:r>
    </w:p>
    <w:p w:rsidR="00B86358" w:rsidRDefault="009E2199">
      <w:pPr>
        <w:pStyle w:val="Bibliography"/>
      </w:pPr>
      <w:bookmarkStart w:id="34" w:name="ref-Chang18"/>
      <w:bookmarkEnd w:id="33"/>
      <w:r>
        <w:t xml:space="preserve">Chang, Winston, Joe Cheng, JJ Allaire, Yihui Xie, and Jonathan McPherson. 2018. </w:t>
      </w:r>
      <w:r>
        <w:rPr>
          <w:i/>
        </w:rPr>
        <w:t>Shiny: Web Application Framework for R</w:t>
      </w:r>
      <w:r>
        <w:t xml:space="preserve">. </w:t>
      </w:r>
      <w:hyperlink r:id="rId49">
        <w:r>
          <w:rPr>
            <w:rStyle w:val="Hyperlink"/>
          </w:rPr>
          <w:t>https://CRAN.R-project.org/package=shiny</w:t>
        </w:r>
      </w:hyperlink>
      <w:r>
        <w:t>.</w:t>
      </w:r>
    </w:p>
    <w:p w:rsidR="00B86358" w:rsidRDefault="009E2199">
      <w:pPr>
        <w:pStyle w:val="Bibliography"/>
      </w:pPr>
      <w:bookmarkStart w:id="35" w:name="ref-Cheng18"/>
      <w:bookmarkEnd w:id="34"/>
      <w:r>
        <w:t xml:space="preserve">Cheng, Joe, Bhaskar Karambelkar, and Yihui Xie. 2018. </w:t>
      </w:r>
      <w:r>
        <w:rPr>
          <w:i/>
        </w:rPr>
        <w:t>Leaflet: Create Interactive Web Maps with the Javascript ’Leaflet’ Library</w:t>
      </w:r>
      <w:r>
        <w:t xml:space="preserve">. </w:t>
      </w:r>
      <w:hyperlink r:id="rId50">
        <w:r>
          <w:rPr>
            <w:rStyle w:val="Hyperlink"/>
          </w:rPr>
          <w:t>https://CRAN.R-project.org/package=leaflet</w:t>
        </w:r>
      </w:hyperlink>
      <w:r>
        <w:t>.</w:t>
      </w:r>
    </w:p>
    <w:p w:rsidR="00B86358" w:rsidRDefault="009E2199">
      <w:pPr>
        <w:pStyle w:val="Bibliography"/>
      </w:pPr>
      <w:bookmarkStart w:id="36" w:name="ref-Collins16"/>
      <w:bookmarkEnd w:id="35"/>
      <w:r>
        <w:t xml:space="preserve">Collins, S. L. 2016. “Vegetation Science in the Age of Big Data.” </w:t>
      </w:r>
      <w:r>
        <w:rPr>
          <w:i/>
        </w:rPr>
        <w:t>Journal of Vegetation Science</w:t>
      </w:r>
      <w:r>
        <w:t xml:space="preserve"> 27 (5):865–67. </w:t>
      </w:r>
      <w:hyperlink r:id="rId51">
        <w:r>
          <w:rPr>
            <w:rStyle w:val="Hyperlink"/>
          </w:rPr>
          <w:t>https://doi.org/10.1111/jvs.12459</w:t>
        </w:r>
      </w:hyperlink>
      <w:r>
        <w:t>.</w:t>
      </w:r>
    </w:p>
    <w:p w:rsidR="00B86358" w:rsidRDefault="009E2199">
      <w:pPr>
        <w:pStyle w:val="Bibliography"/>
      </w:pPr>
      <w:bookmarkStart w:id="37" w:name="ref-Dale01"/>
      <w:bookmarkEnd w:id="36"/>
      <w:r>
        <w:t xml:space="preserve">Dale, V. H., and S. C. Beyeler. 2001. “Challenges in the Development and Use of Ecological Indicators.” </w:t>
      </w:r>
      <w:r>
        <w:rPr>
          <w:i/>
        </w:rPr>
        <w:t>Ecological Indicators</w:t>
      </w:r>
      <w:r>
        <w:t xml:space="preserve"> 1 (1):3–10. </w:t>
      </w:r>
      <w:hyperlink r:id="rId52">
        <w:r>
          <w:rPr>
            <w:rStyle w:val="Hyperlink"/>
          </w:rPr>
          <w:t>https://doi.org/10.1016/S1470-160X(01)00003-6</w:t>
        </w:r>
      </w:hyperlink>
      <w:r>
        <w:t>.</w:t>
      </w:r>
    </w:p>
    <w:p w:rsidR="00B86358" w:rsidRDefault="009E2199">
      <w:pPr>
        <w:pStyle w:val="Bibliography"/>
      </w:pPr>
      <w:bookmarkStart w:id="38" w:name="ref-Darling13"/>
      <w:bookmarkEnd w:id="37"/>
      <w:r>
        <w:t xml:space="preserve">Darling, E. S., D. Shiffman, I. M. Côte, and J. A. Drew. 2013. “The Role of Twiter in the Life Cycle of a Scientific Publication.” </w:t>
      </w:r>
      <w:r>
        <w:rPr>
          <w:i/>
        </w:rPr>
        <w:t>Ideas in Ecology and Evolution</w:t>
      </w:r>
      <w:r>
        <w:t xml:space="preserve"> 6:32–43. </w:t>
      </w:r>
      <w:hyperlink r:id="rId53">
        <w:r>
          <w:rPr>
            <w:rStyle w:val="Hyperlink"/>
          </w:rPr>
          <w:t>https://doi.org/10.4033/iee.2013.6.6.f</w:t>
        </w:r>
      </w:hyperlink>
      <w:r>
        <w:t>.</w:t>
      </w:r>
    </w:p>
    <w:p w:rsidR="00B86358" w:rsidRDefault="009E2199">
      <w:pPr>
        <w:pStyle w:val="Bibliography"/>
      </w:pPr>
      <w:bookmarkStart w:id="39" w:name="ref-DeCaceres09"/>
      <w:bookmarkEnd w:id="38"/>
      <w:r>
        <w:t xml:space="preserve">De Caceres, Miquel, and Pierre Legendre. 2009. </w:t>
      </w:r>
      <w:r>
        <w:rPr>
          <w:i/>
        </w:rPr>
        <w:t>Associations Between Species and Groups of Sites: Indices and Statistical Inference</w:t>
      </w:r>
      <w:r>
        <w:t xml:space="preserve">. </w:t>
      </w:r>
      <w:r>
        <w:rPr>
          <w:i/>
        </w:rPr>
        <w:t>Ecology</w:t>
      </w:r>
      <w:r>
        <w:t xml:space="preserve">. </w:t>
      </w:r>
      <w:hyperlink r:id="rId54">
        <w:r>
          <w:rPr>
            <w:rStyle w:val="Hyperlink"/>
          </w:rPr>
          <w:t>http://sites.google.com/site/miqueldecaceres/</w:t>
        </w:r>
      </w:hyperlink>
      <w:r>
        <w:t>.</w:t>
      </w:r>
    </w:p>
    <w:p w:rsidR="00B86358" w:rsidRDefault="009E2199">
      <w:pPr>
        <w:pStyle w:val="Bibliography"/>
      </w:pPr>
      <w:bookmarkStart w:id="40" w:name="ref-Fetscher13"/>
      <w:bookmarkEnd w:id="39"/>
      <w:r>
        <w:t xml:space="preserve">Fetscher, A. E., R. Stancheva, J. P. Kociolek, R. G. Sheath, E. D. Stein, R. D. Mazor, P. R. Ode, and L. B. Busse. 2013. “Development and Comparison of Stream Indices of Biotic Integrity Using Diatoms Vs. Non-Diatom Algae Vs. A Combination.” </w:t>
      </w:r>
      <w:r>
        <w:rPr>
          <w:i/>
        </w:rPr>
        <w:t>Journal of Applied Phycology</w:t>
      </w:r>
      <w:r>
        <w:t xml:space="preserve"> 26 (1):433–50. </w:t>
      </w:r>
      <w:hyperlink r:id="rId55">
        <w:r>
          <w:rPr>
            <w:rStyle w:val="Hyperlink"/>
          </w:rPr>
          <w:t>https://doi.org/10.1007/s10811-013-0088-2</w:t>
        </w:r>
      </w:hyperlink>
      <w:r>
        <w:t>.</w:t>
      </w:r>
    </w:p>
    <w:p w:rsidR="00B86358" w:rsidRDefault="009E2199">
      <w:pPr>
        <w:pStyle w:val="Bibliography"/>
      </w:pPr>
      <w:bookmarkStart w:id="41" w:name="ref-Fore02"/>
      <w:bookmarkEnd w:id="40"/>
      <w:r>
        <w:t xml:space="preserve">Fore, L. S., and C. Grafe. 2002. “Using Diatoms to Assess the Biological Condition of Large Rivers in Idaho (U.S.A.).” </w:t>
      </w:r>
      <w:r>
        <w:rPr>
          <w:i/>
        </w:rPr>
        <w:t>Freshwater Biology</w:t>
      </w:r>
      <w:r>
        <w:t xml:space="preserve"> 47 (10):2015–37. </w:t>
      </w:r>
      <w:hyperlink r:id="rId56">
        <w:r>
          <w:rPr>
            <w:rStyle w:val="Hyperlink"/>
          </w:rPr>
          <w:t>https://doi.org/10.1046/j.1365-2427.2002.00948.x</w:t>
        </w:r>
      </w:hyperlink>
      <w:r>
        <w:t>.</w:t>
      </w:r>
    </w:p>
    <w:p w:rsidR="00B86358" w:rsidRDefault="009E2199">
      <w:pPr>
        <w:pStyle w:val="Bibliography"/>
      </w:pPr>
      <w:bookmarkStart w:id="42" w:name="ref-Grand12"/>
      <w:bookmarkEnd w:id="41"/>
      <w:r>
        <w:t xml:space="preserve">Grand, A., C. Wilkinson, K. Bultitude, and A. F. T. Winfield. 2012. “Open Science: A New "Trust Technology"?” </w:t>
      </w:r>
      <w:r>
        <w:rPr>
          <w:i/>
        </w:rPr>
        <w:t>Science Communication</w:t>
      </w:r>
      <w:r>
        <w:t xml:space="preserve"> 34 (5):679–89. </w:t>
      </w:r>
      <w:hyperlink r:id="rId57">
        <w:r>
          <w:rPr>
            <w:rStyle w:val="Hyperlink"/>
          </w:rPr>
          <w:t>https://doi.org/10.1177%2F1075547012443021</w:t>
        </w:r>
      </w:hyperlink>
      <w:r>
        <w:t>.</w:t>
      </w:r>
    </w:p>
    <w:p w:rsidR="00B86358" w:rsidRDefault="009E2199">
      <w:pPr>
        <w:pStyle w:val="Bibliography"/>
      </w:pPr>
      <w:bookmarkStart w:id="43" w:name="ref-Hampton15"/>
      <w:bookmarkEnd w:id="42"/>
      <w:r>
        <w:t xml:space="preserve">Hampton, S. E., S. S. Anderson, S. C. Bagby, C. Gries, X. Han, E. M. Hart, M. B. Jones, et al. 2015. “The Tao of Open Science for Ecology.” </w:t>
      </w:r>
      <w:r>
        <w:rPr>
          <w:i/>
        </w:rPr>
        <w:t>Ecosphere</w:t>
      </w:r>
      <w:r>
        <w:t xml:space="preserve"> 6 (7):1–13. </w:t>
      </w:r>
      <w:hyperlink r:id="rId58">
        <w:r>
          <w:rPr>
            <w:rStyle w:val="Hyperlink"/>
          </w:rPr>
          <w:t>https://doi.org/10.1890/ES14-00402.1</w:t>
        </w:r>
      </w:hyperlink>
      <w:r>
        <w:t>.</w:t>
      </w:r>
    </w:p>
    <w:p w:rsidR="00B86358" w:rsidRDefault="009E2199">
      <w:pPr>
        <w:pStyle w:val="Bibliography"/>
      </w:pPr>
      <w:bookmarkStart w:id="44" w:name="ref-Hampton17"/>
      <w:bookmarkEnd w:id="43"/>
      <w:r>
        <w:t xml:space="preserve">Hampton, S. E., M. B. Jones, L. A. Wasser, M. P. Schildhauer, S. R. Supp, J. Brun, R. R. Hernandez, et al. 2017. “Skills and Knowledge for Data-Intensive Environmental Research.” </w:t>
      </w:r>
      <w:r>
        <w:rPr>
          <w:i/>
        </w:rPr>
        <w:t>Bioscience</w:t>
      </w:r>
      <w:r>
        <w:t xml:space="preserve"> 67 (6):546–57. </w:t>
      </w:r>
      <w:hyperlink r:id="rId59">
        <w:r>
          <w:rPr>
            <w:rStyle w:val="Hyperlink"/>
          </w:rPr>
          <w:t>https://doi.org/10.1093/biosci/bix025</w:t>
        </w:r>
      </w:hyperlink>
      <w:r>
        <w:t>.</w:t>
      </w:r>
    </w:p>
    <w:p w:rsidR="00B86358" w:rsidRDefault="009E2199">
      <w:pPr>
        <w:pStyle w:val="Bibliography"/>
      </w:pPr>
      <w:bookmarkStart w:id="45" w:name="ref-Hampton16"/>
      <w:bookmarkEnd w:id="44"/>
      <w:r>
        <w:lastRenderedPageBreak/>
        <w:t xml:space="preserve">Hampton, S. E., C. A. Strasser, J. J. Tewksbury, W. K. Gram, A. E. Budden, A. L. Batcheller, C. S. Duke, and J. H. Porter. 2016. “Big Data and the Future of Ecology.” </w:t>
      </w:r>
      <w:r>
        <w:rPr>
          <w:i/>
        </w:rPr>
        <w:t>Frontiers in Ecology and the Environment</w:t>
      </w:r>
      <w:r>
        <w:t xml:space="preserve"> 11 (3):156–62. </w:t>
      </w:r>
      <w:hyperlink r:id="rId60">
        <w:r>
          <w:rPr>
            <w:rStyle w:val="Hyperlink"/>
          </w:rPr>
          <w:t>https://doi.org/10.1890/120103</w:t>
        </w:r>
      </w:hyperlink>
      <w:r>
        <w:t>.</w:t>
      </w:r>
    </w:p>
    <w:p w:rsidR="00B86358" w:rsidRDefault="009E2199">
      <w:pPr>
        <w:pStyle w:val="Bibliography"/>
      </w:pPr>
      <w:bookmarkStart w:id="46" w:name="ref-Hering10"/>
      <w:bookmarkEnd w:id="45"/>
      <w:r>
        <w:t xml:space="preserve">Hering, D., A. Borja, J. Carstensen, L. Carvalho, M. Elliott, C. K. Field, A. S. Heiskanen, et al. 2010. “The European Water Framework Directive at the Age of 10: A Critical Review of the Achievements with Recommendations for the Future.” </w:t>
      </w:r>
      <w:r>
        <w:rPr>
          <w:i/>
        </w:rPr>
        <w:t>Science of the Total Environment</w:t>
      </w:r>
      <w:r>
        <w:t xml:space="preserve"> 408 (19):4007–19. </w:t>
      </w:r>
      <w:hyperlink r:id="rId61">
        <w:r>
          <w:rPr>
            <w:rStyle w:val="Hyperlink"/>
          </w:rPr>
          <w:t>https://doi.org/10.1016/j.scitotenv.2010.05.031</w:t>
        </w:r>
      </w:hyperlink>
      <w:r>
        <w:t>.</w:t>
      </w:r>
    </w:p>
    <w:p w:rsidR="00B86358" w:rsidRDefault="009E2199">
      <w:pPr>
        <w:pStyle w:val="Bibliography"/>
      </w:pPr>
      <w:bookmarkStart w:id="47" w:name="ref-Hijmans19"/>
      <w:bookmarkEnd w:id="46"/>
      <w:r>
        <w:t xml:space="preserve">Hijmans, Robert J. 2019. </w:t>
      </w:r>
      <w:r>
        <w:rPr>
          <w:i/>
        </w:rPr>
        <w:t>Raster: Geographic Data Analysis and Modeling</w:t>
      </w:r>
      <w:r>
        <w:t xml:space="preserve">. </w:t>
      </w:r>
      <w:hyperlink r:id="rId62">
        <w:r>
          <w:rPr>
            <w:rStyle w:val="Hyperlink"/>
          </w:rPr>
          <w:t>https://CRAN.R-project.org/package=raster</w:t>
        </w:r>
      </w:hyperlink>
      <w:r>
        <w:t>.</w:t>
      </w:r>
    </w:p>
    <w:p w:rsidR="00B86358" w:rsidRDefault="009E2199">
      <w:pPr>
        <w:pStyle w:val="Bibliography"/>
      </w:pPr>
      <w:bookmarkStart w:id="48" w:name="ref-Horsburgh16"/>
      <w:bookmarkEnd w:id="47"/>
      <w:r>
        <w:t xml:space="preserve">Horsburgh, J. S., M. M. Morsy, A. M. Castronova, J. L. Goodall, T. Gan, H. Yi, M. J. Stealey, and D. G. Tarboton. 2016. “Hydroshare: Sharing Diverse Environmental Data Types and Models as Social Objects with Application to the Hydrology Domain.” </w:t>
      </w:r>
      <w:r>
        <w:rPr>
          <w:i/>
        </w:rPr>
        <w:t>Journal of the American Water Resources Association</w:t>
      </w:r>
      <w:r>
        <w:t xml:space="preserve"> 52 (4):873–89. </w:t>
      </w:r>
      <w:hyperlink r:id="rId63">
        <w:r>
          <w:rPr>
            <w:rStyle w:val="Hyperlink"/>
          </w:rPr>
          <w:t>https://doi.org/10.1111/1752-1688.12363</w:t>
        </w:r>
      </w:hyperlink>
      <w:r>
        <w:t>.</w:t>
      </w:r>
    </w:p>
    <w:p w:rsidR="00B86358" w:rsidRDefault="009E2199">
      <w:pPr>
        <w:pStyle w:val="Bibliography"/>
      </w:pPr>
      <w:bookmarkStart w:id="49" w:name="ref-Howard18"/>
      <w:bookmarkEnd w:id="48"/>
      <w:r>
        <w:t xml:space="preserve">Howard, J. K., K. A. Fesenmyer, T. E Grantham, J. H. Viers, P. R. Ode, P. B. Moyle, S. J. Kupferburg, et al. 2018. “A Freshwater Conservation Blueprint for California: Prioritizing Watersheds for Freshwater Biodiversity.” </w:t>
      </w:r>
      <w:r>
        <w:rPr>
          <w:i/>
        </w:rPr>
        <w:t>Freshwater Science</w:t>
      </w:r>
      <w:r>
        <w:t xml:space="preserve"> 37 (2):417–31. </w:t>
      </w:r>
      <w:hyperlink r:id="rId64">
        <w:r>
          <w:rPr>
            <w:rStyle w:val="Hyperlink"/>
          </w:rPr>
          <w:t>https://doi.org/10.1086/697996</w:t>
        </w:r>
      </w:hyperlink>
      <w:r>
        <w:t>.</w:t>
      </w:r>
    </w:p>
    <w:p w:rsidR="00B86358" w:rsidRDefault="009E2199">
      <w:pPr>
        <w:pStyle w:val="Bibliography"/>
      </w:pPr>
      <w:bookmarkStart w:id="50" w:name="ref-Hsu17"/>
      <w:bookmarkEnd w:id="49"/>
      <w:r>
        <w:t xml:space="preserve">Hsu, L., E. Mayorga, J. S. Horsburgh, M. R. Carter, K. A. Lehnert, and s. L. Brantley. 2017. “Enhancing Interoperability and Capabilities of Earth Science Data Using the Observations Data Model 2 (ODM2).” </w:t>
      </w:r>
      <w:r>
        <w:rPr>
          <w:i/>
        </w:rPr>
        <w:t>Data Science Journal</w:t>
      </w:r>
      <w:r>
        <w:t xml:space="preserve"> 16 (4):1–16. </w:t>
      </w:r>
      <w:hyperlink r:id="rId65">
        <w:r>
          <w:rPr>
            <w:rStyle w:val="Hyperlink"/>
          </w:rPr>
          <w:t>https://doi.org/10.5334/dsj-2017-004</w:t>
        </w:r>
      </w:hyperlink>
      <w:r>
        <w:t>.</w:t>
      </w:r>
    </w:p>
    <w:p w:rsidR="00B86358" w:rsidRDefault="009E2199">
      <w:pPr>
        <w:pStyle w:val="Bibliography"/>
      </w:pPr>
      <w:bookmarkStart w:id="51" w:name="ref-Idaszak17"/>
      <w:bookmarkEnd w:id="50"/>
      <w:r>
        <w:t xml:space="preserve">Idaszak, R., D. G. Tarboton, H. Yi, L. Chistopherson, M. J. Stealey, B. Miles, P. Dash, et al. 2017. “HydroShare - a Case Study of the Application of Modern Software Engineering to a Large Distributed Federally-Funded Scientific Software Development Project.” In </w:t>
      </w:r>
      <w:r>
        <w:rPr>
          <w:i/>
        </w:rPr>
        <w:t>Chapter 10 in Software Engineering for Science</w:t>
      </w:r>
      <w:r>
        <w:t>, edited by J. Carver, N. P. C. Hong, and G. K. Thiruvathukal, 217–33. Boca Raton, Florida, USA: Taylor &amp; Francis CRC Press.</w:t>
      </w:r>
    </w:p>
    <w:p w:rsidR="00B86358" w:rsidRDefault="009E2199">
      <w:pPr>
        <w:pStyle w:val="Bibliography"/>
      </w:pPr>
      <w:bookmarkStart w:id="52" w:name="ref-Ihle17"/>
      <w:bookmarkEnd w:id="51"/>
      <w:r>
        <w:t xml:space="preserve">Ihle, M., I. S. Winney, A. Krystalli, and M. Croucher. 2017. “Striving for Transparent and Credible Research: Practical Guidelines for Behavioral Ecologists.” </w:t>
      </w:r>
      <w:r>
        <w:rPr>
          <w:i/>
        </w:rPr>
        <w:t>Behavioral Ecology</w:t>
      </w:r>
      <w:r>
        <w:t xml:space="preserve"> 28 (2):348–54. </w:t>
      </w:r>
      <w:hyperlink r:id="rId66">
        <w:r>
          <w:rPr>
            <w:rStyle w:val="Hyperlink"/>
          </w:rPr>
          <w:t>https://doi.org/10.1093/beheco/arx003</w:t>
        </w:r>
      </w:hyperlink>
      <w:r>
        <w:t>.</w:t>
      </w:r>
    </w:p>
    <w:p w:rsidR="00B86358" w:rsidRDefault="009E2199">
      <w:pPr>
        <w:pStyle w:val="Bibliography"/>
      </w:pPr>
      <w:bookmarkStart w:id="53" w:name="ref-Jackson94"/>
      <w:bookmarkEnd w:id="52"/>
      <w:r>
        <w:t xml:space="preserve">Jackson, S., and W. Davis. 1994. “Meeting the Goal of Biological Integrity in Water-Resource Programs in the US Environmental Protection Agency.” </w:t>
      </w:r>
      <w:r>
        <w:rPr>
          <w:i/>
        </w:rPr>
        <w:t>Journal of the North American Benthological Society</w:t>
      </w:r>
      <w:r>
        <w:t xml:space="preserve"> 13 (4):592–97. </w:t>
      </w:r>
      <w:hyperlink r:id="rId67">
        <w:r>
          <w:rPr>
            <w:rStyle w:val="Hyperlink"/>
          </w:rPr>
          <w:t>https://doi.org/10.2307/1467854</w:t>
        </w:r>
      </w:hyperlink>
      <w:r>
        <w:t>.</w:t>
      </w:r>
    </w:p>
    <w:p w:rsidR="00B86358" w:rsidRDefault="009E2199">
      <w:pPr>
        <w:pStyle w:val="Bibliography"/>
      </w:pPr>
      <w:bookmarkStart w:id="54" w:name="ref-Karr86"/>
      <w:bookmarkEnd w:id="53"/>
      <w:r>
        <w:t>Karr, J. R., K. D. Fausch, P. L. Angermeier, P. R. Yant, and I. J. Schlosser. 1986. “Assessing Biological Integrity in Running Waters: A Method and Its Rationale.” Special Publication 5. Champaign, Illinois: Illinois Natural History Survey.</w:t>
      </w:r>
    </w:p>
    <w:p w:rsidR="00B86358" w:rsidRDefault="009E2199">
      <w:pPr>
        <w:pStyle w:val="Bibliography"/>
      </w:pPr>
      <w:bookmarkStart w:id="55" w:name="ref-Kelly16"/>
      <w:bookmarkEnd w:id="54"/>
      <w:r>
        <w:t xml:space="preserve">Kelly, M. G., S. Birk, N. J. Willby, L. Denys, S.Drakare, M. Kahlert, S. M. Karjalainen, et al. 2016. “Redundancy in the Ecological Assessment of Lakes: Are Phytoplankton, Macrophytes and Phytobenthos All Necessary?” </w:t>
      </w:r>
      <w:r>
        <w:rPr>
          <w:i/>
        </w:rPr>
        <w:t>Science of the Total Environment</w:t>
      </w:r>
      <w:r>
        <w:t xml:space="preserve"> 15 (568):594–602. </w:t>
      </w:r>
      <w:hyperlink r:id="rId68">
        <w:r>
          <w:rPr>
            <w:rStyle w:val="Hyperlink"/>
          </w:rPr>
          <w:t>https://doi.org/10.1016/j.scitotenv.2016.02.024</w:t>
        </w:r>
      </w:hyperlink>
      <w:r>
        <w:t>.</w:t>
      </w:r>
    </w:p>
    <w:p w:rsidR="00B86358" w:rsidRDefault="009E2199">
      <w:pPr>
        <w:pStyle w:val="Bibliography"/>
      </w:pPr>
      <w:bookmarkStart w:id="56" w:name="ref-Kenney12"/>
      <w:bookmarkEnd w:id="55"/>
      <w:r>
        <w:lastRenderedPageBreak/>
        <w:t xml:space="preserve">Kenney, M. A., P. R. Wilcock, B. F. Hobbs, N. E. Flores, and D. C. Martínez. 2012. “Is Urban Stream Restoration Worth It?” </w:t>
      </w:r>
      <w:r>
        <w:rPr>
          <w:i/>
        </w:rPr>
        <w:t>Journal of the American Water Resources Association</w:t>
      </w:r>
      <w:r>
        <w:t xml:space="preserve"> 48 (3):603–15. </w:t>
      </w:r>
      <w:hyperlink r:id="rId69">
        <w:r>
          <w:rPr>
            <w:rStyle w:val="Hyperlink"/>
          </w:rPr>
          <w:t>https://doi.org/10.1111/j.1752-1688.2011.00635.x</w:t>
        </w:r>
      </w:hyperlink>
      <w:r>
        <w:t>.</w:t>
      </w:r>
    </w:p>
    <w:p w:rsidR="00B86358" w:rsidRDefault="009E2199">
      <w:pPr>
        <w:pStyle w:val="Bibliography"/>
      </w:pPr>
      <w:bookmarkStart w:id="57" w:name="ref-Kerans94"/>
      <w:bookmarkEnd w:id="56"/>
      <w:r>
        <w:t xml:space="preserve">Kerans, B. L., and J. R. Karr. 1994. “A Benthic Index of Biotic Integrity (B-IBI) for Rivers of the Tennessee Valley.” </w:t>
      </w:r>
      <w:r>
        <w:rPr>
          <w:i/>
        </w:rPr>
        <w:t>Ecological Applications</w:t>
      </w:r>
      <w:r>
        <w:t xml:space="preserve"> 4 (4):768–85. </w:t>
      </w:r>
      <w:hyperlink r:id="rId70">
        <w:r>
          <w:rPr>
            <w:rStyle w:val="Hyperlink"/>
          </w:rPr>
          <w:t>https://doi.org/10.2307/1942007</w:t>
        </w:r>
      </w:hyperlink>
      <w:r>
        <w:t>.</w:t>
      </w:r>
    </w:p>
    <w:p w:rsidR="00B86358" w:rsidRDefault="009E2199">
      <w:pPr>
        <w:pStyle w:val="Bibliography"/>
      </w:pPr>
      <w:bookmarkStart w:id="58" w:name="ref-King11"/>
      <w:bookmarkEnd w:id="57"/>
      <w:r>
        <w:t xml:space="preserve">King, R. S., M. E. Baker, P. F. Kazyak, and D. E. Weller. 2011. “How Novel Is Too Novel? Stream Community Thresholds at Exceptionally Low Levels of Catchment Urbanization.” </w:t>
      </w:r>
      <w:r>
        <w:rPr>
          <w:i/>
        </w:rPr>
        <w:t>Ecological Applications</w:t>
      </w:r>
      <w:r>
        <w:t xml:space="preserve"> 21 (5):1659–78. </w:t>
      </w:r>
      <w:hyperlink r:id="rId71">
        <w:r>
          <w:rPr>
            <w:rStyle w:val="Hyperlink"/>
          </w:rPr>
          <w:t>https://doi.org/10.1890/10-1357.1</w:t>
        </w:r>
      </w:hyperlink>
      <w:r>
        <w:t>.</w:t>
      </w:r>
    </w:p>
    <w:p w:rsidR="00B86358" w:rsidRDefault="009E2199">
      <w:pPr>
        <w:pStyle w:val="Bibliography"/>
      </w:pPr>
      <w:bookmarkStart w:id="59" w:name="ref-Kluyver16"/>
      <w:bookmarkEnd w:id="58"/>
      <w:r>
        <w:t>Kluyver, T., B. Ragan-Kelley, F. Pérez, B. Granger, M. Bussonnier, J. Frederic, K. Kelley, et al. 2016. “Jupyter Notebooks – a Publishing Format for Reproducible Computational Workflows.” Edited by F. Loizides and B. Schmidt. IOS Press.</w:t>
      </w:r>
    </w:p>
    <w:p w:rsidR="00B86358" w:rsidRDefault="009E2199">
      <w:pPr>
        <w:pStyle w:val="Bibliography"/>
      </w:pPr>
      <w:bookmarkStart w:id="60" w:name="ref-Kuehne17"/>
      <w:bookmarkEnd w:id="59"/>
      <w:r>
        <w:t xml:space="preserve">Kuehne, L. M., J. D. Olden, A. L. Strecker, J. J. Lawler, and D. M. Theobald. 2017. “Past, Present, and Future of Ecological Integrity Assessment for Fresh Waters.” </w:t>
      </w:r>
      <w:r>
        <w:rPr>
          <w:i/>
        </w:rPr>
        <w:t>Frontiers in Ecology and the Environment</w:t>
      </w:r>
      <w:r>
        <w:t xml:space="preserve"> 15 (4):197–205. </w:t>
      </w:r>
      <w:hyperlink r:id="rId72">
        <w:r>
          <w:rPr>
            <w:rStyle w:val="Hyperlink"/>
          </w:rPr>
          <w:t>https://doi.org/10.1002/fee.1483</w:t>
        </w:r>
      </w:hyperlink>
      <w:r>
        <w:t>.</w:t>
      </w:r>
    </w:p>
    <w:p w:rsidR="00B86358" w:rsidRDefault="009E2199">
      <w:pPr>
        <w:pStyle w:val="Bibliography"/>
      </w:pPr>
      <w:bookmarkStart w:id="61" w:name="ref-VanderLaan14"/>
      <w:bookmarkEnd w:id="60"/>
      <w:r>
        <w:t xml:space="preserve">Laan, J. J. Vander, and C. P. Hawkins. 2014. “Enhancing the Performance and Interpretation of Freshwater Biological Indices: An Application in Arid Zone Streams.” </w:t>
      </w:r>
      <w:r>
        <w:rPr>
          <w:i/>
        </w:rPr>
        <w:t>Ecological Indicators</w:t>
      </w:r>
      <w:r>
        <w:t xml:space="preserve"> 36:470–82. </w:t>
      </w:r>
      <w:hyperlink r:id="rId73">
        <w:r>
          <w:rPr>
            <w:rStyle w:val="Hyperlink"/>
          </w:rPr>
          <w:t>https://doi.org/10.1016/j.ecolind.2013.09.006</w:t>
        </w:r>
      </w:hyperlink>
      <w:r>
        <w:t>.</w:t>
      </w:r>
    </w:p>
    <w:p w:rsidR="00B86358" w:rsidRDefault="009E2199">
      <w:pPr>
        <w:pStyle w:val="Bibliography"/>
      </w:pPr>
      <w:bookmarkStart w:id="62" w:name="ref-Lai19"/>
      <w:bookmarkEnd w:id="61"/>
      <w:r>
        <w:t xml:space="preserve">Lai, J., C. J. Lortie, R. A. Muenchen, J. Yang, and K. Ma. 2019. “Evaluating the Popularity of R in Ecology.” </w:t>
      </w:r>
      <w:r>
        <w:rPr>
          <w:i/>
        </w:rPr>
        <w:t>Ecosphere</w:t>
      </w:r>
      <w:r>
        <w:t xml:space="preserve"> 10 (1):e02567. </w:t>
      </w:r>
      <w:hyperlink r:id="rId74">
        <w:r>
          <w:rPr>
            <w:rStyle w:val="Hyperlink"/>
          </w:rPr>
          <w:t>https://doi.org/10.1002/ecs2.2567</w:t>
        </w:r>
      </w:hyperlink>
      <w:r>
        <w:t>.</w:t>
      </w:r>
    </w:p>
    <w:p w:rsidR="00B86358" w:rsidRDefault="009E2199">
      <w:pPr>
        <w:pStyle w:val="Bibliography"/>
      </w:pPr>
      <w:bookmarkStart w:id="63" w:name="ref-Lane18"/>
      <w:bookmarkEnd w:id="62"/>
      <w:r>
        <w:t xml:space="preserve">Lane, B. A., S. Sandoval-Solis, E. D. Stein, S. M. Yarnell, G. B. Pasternack, and H. E. Dahlke. 2018. “Beyond Metrics? The Role of Hydrologic Baseline Archetypes in Environmental Water Management.” </w:t>
      </w:r>
      <w:r>
        <w:rPr>
          <w:i/>
        </w:rPr>
        <w:t>Enviromental Management</w:t>
      </w:r>
      <w:r>
        <w:t xml:space="preserve"> 62 (4):678–93. </w:t>
      </w:r>
      <w:hyperlink r:id="rId75">
        <w:r>
          <w:rPr>
            <w:rStyle w:val="Hyperlink"/>
          </w:rPr>
          <w:t>https://doi.org/10.1007/s00267-018-1077-7</w:t>
        </w:r>
      </w:hyperlink>
      <w:r>
        <w:t>.</w:t>
      </w:r>
    </w:p>
    <w:p w:rsidR="00B86358" w:rsidRDefault="009E2199">
      <w:pPr>
        <w:pStyle w:val="Bibliography"/>
      </w:pPr>
      <w:bookmarkStart w:id="64" w:name="ref-Lewandowsky16"/>
      <w:bookmarkEnd w:id="63"/>
      <w:r>
        <w:t xml:space="preserve">Lewandowsky, S., and D. Bishop. 2016. “Research Integrity: Don’t Let Transparency Damage Science.” </w:t>
      </w:r>
      <w:r>
        <w:rPr>
          <w:i/>
        </w:rPr>
        <w:t>Nature</w:t>
      </w:r>
      <w:r>
        <w:t xml:space="preserve"> 529 (7587):459–61. </w:t>
      </w:r>
      <w:hyperlink r:id="rId76">
        <w:r>
          <w:rPr>
            <w:rStyle w:val="Hyperlink"/>
          </w:rPr>
          <w:t>https://doi.org/10.1038/529459a</w:t>
        </w:r>
      </w:hyperlink>
      <w:r>
        <w:t>.</w:t>
      </w:r>
    </w:p>
    <w:p w:rsidR="00B86358" w:rsidRDefault="009E2199">
      <w:pPr>
        <w:pStyle w:val="Bibliography"/>
      </w:pPr>
      <w:bookmarkStart w:id="65" w:name="ref-Liaw02"/>
      <w:bookmarkEnd w:id="64"/>
      <w:r>
        <w:t xml:space="preserve">Liaw, Andy, and Matthew Wiener. 2002. “Classification and Regression by randomForest.” </w:t>
      </w:r>
      <w:r>
        <w:rPr>
          <w:i/>
        </w:rPr>
        <w:t>R News</w:t>
      </w:r>
      <w:r>
        <w:t xml:space="preserve"> 2 (3):18–22. </w:t>
      </w:r>
      <w:hyperlink r:id="rId77">
        <w:r>
          <w:rPr>
            <w:rStyle w:val="Hyperlink"/>
          </w:rPr>
          <w:t>http://CRAN.R-project.org/doc/Rnews/</w:t>
        </w:r>
      </w:hyperlink>
      <w:r>
        <w:t>.</w:t>
      </w:r>
    </w:p>
    <w:p w:rsidR="00B86358" w:rsidRDefault="009E2199">
      <w:pPr>
        <w:pStyle w:val="Bibliography"/>
      </w:pPr>
      <w:bookmarkStart w:id="66" w:name="ref-Linke11"/>
      <w:bookmarkEnd w:id="65"/>
      <w:r>
        <w:t xml:space="preserve">Linke, S., E. Turak, and J. Nel. 2011. “Freshwater Conservation Planning: The Case for Systematic Approaches.” </w:t>
      </w:r>
      <w:r>
        <w:rPr>
          <w:i/>
        </w:rPr>
        <w:t>Freshwater Biology</w:t>
      </w:r>
      <w:r>
        <w:t xml:space="preserve"> 56 (1):6–20. </w:t>
      </w:r>
      <w:hyperlink r:id="rId78">
        <w:r>
          <w:rPr>
            <w:rStyle w:val="Hyperlink"/>
          </w:rPr>
          <w:t>https://doi.org/10.1111/j.1365-2427.2010.02456.x</w:t>
        </w:r>
      </w:hyperlink>
      <w:r>
        <w:t>.</w:t>
      </w:r>
    </w:p>
    <w:p w:rsidR="00B86358" w:rsidRDefault="009E2199">
      <w:pPr>
        <w:pStyle w:val="Bibliography"/>
      </w:pPr>
      <w:bookmarkStart w:id="67" w:name="ref-Liu08"/>
      <w:bookmarkEnd w:id="66"/>
      <w:r>
        <w:t xml:space="preserve">Liu, Y., H. Gupta, E. Springer, and T. Wagener. 2008. “Linking Science with Environmental Decision Making: Experiences from an Integrated Modeling Approach to Supporting Sustainable Water Resources Management.” </w:t>
      </w:r>
      <w:r>
        <w:rPr>
          <w:i/>
        </w:rPr>
        <w:t>Environmental Modelling &amp; Software</w:t>
      </w:r>
      <w:r>
        <w:t xml:space="preserve"> 23 (7):846–58. </w:t>
      </w:r>
      <w:hyperlink r:id="rId79">
        <w:r>
          <w:rPr>
            <w:rStyle w:val="Hyperlink"/>
          </w:rPr>
          <w:t>https://doi.org/10.1016/j.envsoft.2007.10.007</w:t>
        </w:r>
      </w:hyperlink>
      <w:r>
        <w:t>.</w:t>
      </w:r>
    </w:p>
    <w:p w:rsidR="00B86358" w:rsidRDefault="009E2199">
      <w:pPr>
        <w:pStyle w:val="Bibliography"/>
      </w:pPr>
      <w:bookmarkStart w:id="68" w:name="ref-Lortie14"/>
      <w:bookmarkEnd w:id="67"/>
      <w:r>
        <w:t xml:space="preserve">Lortie, C. J. 2014. “Formalized Synthesis Opportunities for Ecology: Systematic Reviews and Meta-Analyses.” </w:t>
      </w:r>
      <w:r>
        <w:rPr>
          <w:i/>
        </w:rPr>
        <w:t>OIKOS</w:t>
      </w:r>
      <w:r>
        <w:t xml:space="preserve"> 123 (8):897–902. </w:t>
      </w:r>
      <w:hyperlink r:id="rId80">
        <w:r>
          <w:rPr>
            <w:rStyle w:val="Hyperlink"/>
          </w:rPr>
          <w:t>https://doi.org/10.1111/j.1600-0706.2013.00970.x</w:t>
        </w:r>
      </w:hyperlink>
      <w:r>
        <w:t>.</w:t>
      </w:r>
    </w:p>
    <w:p w:rsidR="00B86358" w:rsidRDefault="009E2199">
      <w:pPr>
        <w:pStyle w:val="Bibliography"/>
      </w:pPr>
      <w:bookmarkStart w:id="69" w:name="ref-Lowndes17"/>
      <w:bookmarkEnd w:id="68"/>
      <w:r>
        <w:lastRenderedPageBreak/>
        <w:t xml:space="preserve">Lowndes, J. S. S., B. D. Best, C. Scarborough, J. C. Afflerbach, M. R. Frazier, C. C. O’Hara, N. Jiang, and B. S. Halpern. 2017. “Our Path to Better Science in Less Time Using Open Data Science Tools.” </w:t>
      </w:r>
      <w:r>
        <w:rPr>
          <w:i/>
        </w:rPr>
        <w:t>Nature Ecology &amp; Evolution</w:t>
      </w:r>
      <w:r>
        <w:t xml:space="preserve"> 1 (0160):1–7. </w:t>
      </w:r>
      <w:hyperlink r:id="rId81">
        <w:r>
          <w:rPr>
            <w:rStyle w:val="Hyperlink"/>
          </w:rPr>
          <w:t>https://doi.org/10.1038/s41559-017-0160</w:t>
        </w:r>
      </w:hyperlink>
      <w:r>
        <w:t>.</w:t>
      </w:r>
    </w:p>
    <w:p w:rsidR="00B86358" w:rsidRDefault="009E2199">
      <w:pPr>
        <w:pStyle w:val="Bibliography"/>
      </w:pPr>
      <w:bookmarkStart w:id="70" w:name="ref-Marwick16"/>
      <w:bookmarkEnd w:id="69"/>
      <w:r>
        <w:t xml:space="preserve">Marwick, Ben, Jade d’Alpoim Guedes, C. Michael Barton, Lynsey A. Bates, Michael Baxter, Andrew Bevan, Elizabeth A. Bollwerk, et al. 2016. “Open Science in Archaeology.” </w:t>
      </w:r>
      <w:r>
        <w:rPr>
          <w:i/>
        </w:rPr>
        <w:t>SAA Archaeological Record</w:t>
      </w:r>
      <w:r>
        <w:t xml:space="preserve"> 17 (4):8–14. </w:t>
      </w:r>
      <w:hyperlink r:id="rId82">
        <w:r>
          <w:rPr>
            <w:rStyle w:val="Hyperlink"/>
          </w:rPr>
          <w:t>https://doi.org/10.17605/OSF.IO/3D6XX</w:t>
        </w:r>
      </w:hyperlink>
      <w:r>
        <w:t>.</w:t>
      </w:r>
    </w:p>
    <w:p w:rsidR="00B86358" w:rsidRDefault="009E2199">
      <w:pPr>
        <w:pStyle w:val="Bibliography"/>
      </w:pPr>
      <w:bookmarkStart w:id="71" w:name="ref-Mazor16"/>
      <w:bookmarkEnd w:id="70"/>
      <w:r>
        <w:t xml:space="preserve">Mazor, R. D., A. C. Rehn, P. R. Ode, M. Engeln, K. C. Schiff, E. D. Stein, D. J. Gillett, D. B. Herbst, and C. P. Hawkins. 2016. “Bioassessment in Complex Environments: Designing an Index for Consistent Meaning in Different Settings.” </w:t>
      </w:r>
      <w:r>
        <w:rPr>
          <w:i/>
        </w:rPr>
        <w:t>Freshwater Science</w:t>
      </w:r>
      <w:r>
        <w:t xml:space="preserve"> 35 (1):249–71.</w:t>
      </w:r>
    </w:p>
    <w:p w:rsidR="00B86358" w:rsidRDefault="009E2199">
      <w:pPr>
        <w:pStyle w:val="Bibliography"/>
      </w:pPr>
      <w:bookmarkStart w:id="72" w:name="ref-Mazor14"/>
      <w:bookmarkEnd w:id="71"/>
      <w:r>
        <w:t xml:space="preserve">Mazor, R. D., E. D. Stein, P. R. Ode, and K. Schiff. 2014. “Integrating Intermittent Streams into Watershed Assessments: Applicability of an Index of Biotic Integrity.” </w:t>
      </w:r>
      <w:r>
        <w:rPr>
          <w:i/>
        </w:rPr>
        <w:t>Freshwater Science</w:t>
      </w:r>
      <w:r>
        <w:t xml:space="preserve"> 35 (2):459–74. </w:t>
      </w:r>
      <w:hyperlink r:id="rId83">
        <w:r>
          <w:rPr>
            <w:rStyle w:val="Hyperlink"/>
          </w:rPr>
          <w:t>https://doi.org/10.1086/675683</w:t>
        </w:r>
      </w:hyperlink>
      <w:r>
        <w:t>.</w:t>
      </w:r>
    </w:p>
    <w:p w:rsidR="00B86358" w:rsidRDefault="009E2199">
      <w:pPr>
        <w:pStyle w:val="Bibliography"/>
      </w:pPr>
      <w:bookmarkStart w:id="73" w:name="ref-McDonald04"/>
      <w:bookmarkEnd w:id="72"/>
      <w:r>
        <w:t xml:space="preserve">McDonald, M., R. L. Blair, D. Bolgrien, B. S. Brown, J. J. Dlugosz, S. S. Hale, S. F. Hedtke, et al. 2004. “The US Environmental Protection Agency’s Environmental Monitoring and Assessment Program.” In </w:t>
      </w:r>
      <w:r>
        <w:rPr>
          <w:i/>
        </w:rPr>
        <w:t>Environmental Monitoring</w:t>
      </w:r>
      <w:r>
        <w:t>, edited by G. B. Wiersma, 649–68. Boca Raton, Florida, USA: CRC Press.</w:t>
      </w:r>
    </w:p>
    <w:p w:rsidR="00B86358" w:rsidRDefault="009E2199">
      <w:pPr>
        <w:pStyle w:val="Bibliography"/>
      </w:pPr>
      <w:bookmarkStart w:id="74" w:name="ref-Michener97"/>
      <w:bookmarkEnd w:id="73"/>
      <w:r>
        <w:t xml:space="preserve">Michener, W. K., J. W. Brunt, J. J. Helly, T. B. Kirchner, and S. G. Stafford. 1997. “Nongeospatial Metadata for the Ecological Sciences.” </w:t>
      </w:r>
      <w:r>
        <w:rPr>
          <w:i/>
        </w:rPr>
        <w:t>Ecological Applications</w:t>
      </w:r>
      <w:r>
        <w:t xml:space="preserve"> 7 (1):330–42.</w:t>
      </w:r>
    </w:p>
    <w:p w:rsidR="00B86358" w:rsidRDefault="009E2199">
      <w:pPr>
        <w:pStyle w:val="Bibliography"/>
      </w:pPr>
      <w:bookmarkStart w:id="75" w:name="ref-Mitchell05"/>
      <w:bookmarkEnd w:id="74"/>
      <w:r>
        <w:t xml:space="preserve">Mitchell, B. 2005. “Integrated Water Resource Management, Institutional Arrangements, and Land Use Planning.” </w:t>
      </w:r>
      <w:r>
        <w:rPr>
          <w:i/>
        </w:rPr>
        <w:t>Environmental Planning A: Economy and Space</w:t>
      </w:r>
      <w:r>
        <w:t xml:space="preserve"> 37:1335–52. </w:t>
      </w:r>
      <w:hyperlink r:id="rId84">
        <w:r>
          <w:rPr>
            <w:rStyle w:val="Hyperlink"/>
          </w:rPr>
          <w:t>https://doi.org/10.1068/a37224</w:t>
        </w:r>
      </w:hyperlink>
      <w:r>
        <w:t>.</w:t>
      </w:r>
    </w:p>
    <w:p w:rsidR="00B86358" w:rsidRDefault="009E2199">
      <w:pPr>
        <w:pStyle w:val="Bibliography"/>
      </w:pPr>
      <w:bookmarkStart w:id="76" w:name="ref-Nichols16"/>
      <w:bookmarkEnd w:id="75"/>
      <w:r>
        <w:t xml:space="preserve">Nichols, S. J., L. A. Barmuta, B. C. Chessman, P. E. Davies, F. J. Dyer, E. T. Harrison, C. P. Hawkins, et al. 2016. “The Imperative Need for Nationally Coordinated Bioassessment of Rivers and Streams.” </w:t>
      </w:r>
      <w:r>
        <w:rPr>
          <w:i/>
        </w:rPr>
        <w:t>Marine and Freshwater Research</w:t>
      </w:r>
      <w:r>
        <w:t xml:space="preserve"> 68 (4):599–613. </w:t>
      </w:r>
      <w:hyperlink r:id="rId85">
        <w:r>
          <w:rPr>
            <w:rStyle w:val="Hyperlink"/>
          </w:rPr>
          <w:t>https://doi.org/10.1071/MF15329</w:t>
        </w:r>
      </w:hyperlink>
      <w:r>
        <w:t>.</w:t>
      </w:r>
    </w:p>
    <w:p w:rsidR="00B86358" w:rsidRDefault="009E2199">
      <w:pPr>
        <w:pStyle w:val="Bibliography"/>
      </w:pPr>
      <w:bookmarkStart w:id="77" w:name="ref-Nielsen11"/>
      <w:bookmarkEnd w:id="76"/>
      <w:r>
        <w:t xml:space="preserve">Nielsen, M. 2011. </w:t>
      </w:r>
      <w:r>
        <w:rPr>
          <w:i/>
        </w:rPr>
        <w:t>Reinventing Discovery: The New Era of Networked Science</w:t>
      </w:r>
      <w:r>
        <w:t>. Reprint. Princeton, New Jersey, USA: Princeton University Press.</w:t>
      </w:r>
    </w:p>
    <w:p w:rsidR="00B86358" w:rsidRDefault="009E2199">
      <w:pPr>
        <w:pStyle w:val="Bibliography"/>
      </w:pPr>
      <w:bookmarkStart w:id="78" w:name="ref-Niemi04"/>
      <w:bookmarkEnd w:id="77"/>
      <w:r>
        <w:t xml:space="preserve">Niemi, G. J., and M. E. McDonald. 2004. “Application of Ecological Indicators.” </w:t>
      </w:r>
      <w:r>
        <w:rPr>
          <w:i/>
        </w:rPr>
        <w:t>Annual Review of Ecology, Evolution, and Systematics</w:t>
      </w:r>
      <w:r>
        <w:t xml:space="preserve"> 35:89–111.</w:t>
      </w:r>
    </w:p>
    <w:p w:rsidR="00B86358" w:rsidRDefault="009E2199">
      <w:pPr>
        <w:pStyle w:val="Bibliography"/>
      </w:pPr>
      <w:bookmarkStart w:id="79" w:name="ref-Ode16"/>
      <w:bookmarkEnd w:id="78"/>
      <w:r>
        <w:t xml:space="preserve">Ode, P. R., A. C. Rehn, R. D. Mazor, K. C. Schiff, E. D. Stein, J. T. May, L. R. Brown, et al. 2016. “Evaluating the Adequacy of a Reference-Site Pool for Ecological Assessments in Environmentally Complex Regions.” </w:t>
      </w:r>
      <w:r>
        <w:rPr>
          <w:i/>
        </w:rPr>
        <w:t>Freshwater Science</w:t>
      </w:r>
      <w:r>
        <w:t xml:space="preserve"> 35 (1):237–48.</w:t>
      </w:r>
    </w:p>
    <w:p w:rsidR="00B86358" w:rsidRDefault="009E2199">
      <w:pPr>
        <w:pStyle w:val="Bibliography"/>
      </w:pPr>
      <w:bookmarkStart w:id="80" w:name="ref-Oksanen18"/>
      <w:bookmarkEnd w:id="79"/>
      <w:r>
        <w:t xml:space="preserve">Oksanen, Jari, F. Guillaume Blanchet, Michael Friendly, Roeland Kindt, Pierre Legendre, Dan McGlinn, Peter R. Minchin, et al. 2018. </w:t>
      </w:r>
      <w:r>
        <w:rPr>
          <w:i/>
        </w:rPr>
        <w:t>Vegan: Community Ecology Package</w:t>
      </w:r>
      <w:r>
        <w:t xml:space="preserve">. </w:t>
      </w:r>
      <w:hyperlink r:id="rId86">
        <w:r>
          <w:rPr>
            <w:rStyle w:val="Hyperlink"/>
          </w:rPr>
          <w:t>https://CRAN.R-project.org/package=vegan</w:t>
        </w:r>
      </w:hyperlink>
      <w:r>
        <w:t>.</w:t>
      </w:r>
    </w:p>
    <w:p w:rsidR="00B86358" w:rsidRDefault="009E2199">
      <w:pPr>
        <w:pStyle w:val="Bibliography"/>
      </w:pPr>
      <w:bookmarkStart w:id="81" w:name="ref-Paul08"/>
      <w:bookmarkEnd w:id="80"/>
      <w:r>
        <w:t xml:space="preserve">Paul, M. J., D. W. Bressler, A. H. Purcell, M. T. Barbour, E. T. Rankin, and V. H. Resh. 2008. “Assessment Tools for Urban Catchments: Defining Observable Biological Potential.” </w:t>
      </w:r>
      <w:r>
        <w:rPr>
          <w:i/>
        </w:rPr>
        <w:t xml:space="preserve">Journal </w:t>
      </w:r>
      <w:r>
        <w:rPr>
          <w:i/>
        </w:rPr>
        <w:lastRenderedPageBreak/>
        <w:t>of the American Water Resources Association</w:t>
      </w:r>
      <w:r>
        <w:t xml:space="preserve"> 45 (2):320–30. </w:t>
      </w:r>
      <w:hyperlink r:id="rId87">
        <w:r>
          <w:rPr>
            <w:rStyle w:val="Hyperlink"/>
          </w:rPr>
          <w:t>https://doi.org/10.1111/j.1752-1688.2008.00280.x</w:t>
        </w:r>
      </w:hyperlink>
      <w:r>
        <w:t>.</w:t>
      </w:r>
    </w:p>
    <w:p w:rsidR="00B86358" w:rsidRDefault="009E2199">
      <w:pPr>
        <w:pStyle w:val="Bibliography"/>
      </w:pPr>
      <w:bookmarkStart w:id="82" w:name="ref-Pebesma18"/>
      <w:bookmarkEnd w:id="81"/>
      <w:r>
        <w:t xml:space="preserve">Pebesma, Edzer. 2018. </w:t>
      </w:r>
      <w:r>
        <w:rPr>
          <w:i/>
        </w:rPr>
        <w:t>Sf: Simple Features for R</w:t>
      </w:r>
      <w:r>
        <w:t xml:space="preserve">. </w:t>
      </w:r>
      <w:hyperlink r:id="rId88">
        <w:r>
          <w:rPr>
            <w:rStyle w:val="Hyperlink"/>
          </w:rPr>
          <w:t>https://CRAN.R-project.org/package=sf</w:t>
        </w:r>
      </w:hyperlink>
      <w:r>
        <w:t>.</w:t>
      </w:r>
    </w:p>
    <w:p w:rsidR="00B86358" w:rsidRDefault="009E2199">
      <w:pPr>
        <w:pStyle w:val="Bibliography"/>
      </w:pPr>
      <w:bookmarkStart w:id="83" w:name="ref-Pilkington16"/>
      <w:bookmarkEnd w:id="82"/>
      <w:r>
        <w:t xml:space="preserve">Pilkington, M. 2016. “Blockchain Technology: Principles and Applications.” In </w:t>
      </w:r>
      <w:r>
        <w:rPr>
          <w:i/>
        </w:rPr>
        <w:t>Research Handbook on Digital Transformations</w:t>
      </w:r>
      <w:r>
        <w:t>, edited by F. X. Olleros and M. Zhegu, 225–53. Cheltenham, United Kingdom: Edward Elgar Publishing.</w:t>
      </w:r>
    </w:p>
    <w:p w:rsidR="00B86358" w:rsidRDefault="009E2199">
      <w:pPr>
        <w:pStyle w:val="Bibliography"/>
      </w:pPr>
      <w:bookmarkStart w:id="84" w:name="ref-Pinheiro18"/>
      <w:bookmarkEnd w:id="83"/>
      <w:r>
        <w:t xml:space="preserve">Pinheiro, Jose, Douglas Bates, Saikat DebRoy, Deepayan Sarkar, and R Core Team. 2018. </w:t>
      </w:r>
      <w:r>
        <w:rPr>
          <w:i/>
        </w:rPr>
        <w:t>nlme: Linear and Nonlinear Mixed Effects Models</w:t>
      </w:r>
      <w:r>
        <w:t xml:space="preserve">. </w:t>
      </w:r>
      <w:hyperlink r:id="rId89">
        <w:r>
          <w:rPr>
            <w:rStyle w:val="Hyperlink"/>
          </w:rPr>
          <w:t>https://CRAN.R-project.org/package=nlme</w:t>
        </w:r>
      </w:hyperlink>
      <w:r>
        <w:t>.</w:t>
      </w:r>
    </w:p>
    <w:p w:rsidR="00B86358" w:rsidRDefault="009E2199">
      <w:pPr>
        <w:pStyle w:val="Bibliography"/>
      </w:pPr>
      <w:bookmarkStart w:id="85" w:name="ref-Poikane14"/>
      <w:bookmarkEnd w:id="84"/>
      <w:r>
        <w:t xml:space="preserve">Poikane, S., N. Zampoukas, A. Borja, S. P. Davies, W. van de Bund, and S. Birk. 2014. “Intercalibration of Aquatic Ecological Assessment Methods in the European Union.” </w:t>
      </w:r>
      <w:r>
        <w:rPr>
          <w:i/>
        </w:rPr>
        <w:t>Environmental Science &amp; Policy</w:t>
      </w:r>
      <w:r>
        <w:t xml:space="preserve"> 44:237–46. </w:t>
      </w:r>
      <w:hyperlink r:id="rId90">
        <w:r>
          <w:rPr>
            <w:rStyle w:val="Hyperlink"/>
          </w:rPr>
          <w:t>https://doi.org/10.1016/j.envsci.2014.08.006</w:t>
        </w:r>
      </w:hyperlink>
      <w:r>
        <w:t>.</w:t>
      </w:r>
    </w:p>
    <w:p w:rsidR="00B86358" w:rsidRDefault="009E2199">
      <w:pPr>
        <w:pStyle w:val="Bibliography"/>
      </w:pPr>
      <w:bookmarkStart w:id="86" w:name="ref-RDCT18"/>
      <w:bookmarkEnd w:id="85"/>
      <w:r>
        <w:t>RDCT (R Development Core Team). 2018. “R: A language and environment for statistical computing, v3.5.1. R Foundation for Statistical Computing, Vienna, Austria.”</w:t>
      </w:r>
    </w:p>
    <w:p w:rsidR="00B86358" w:rsidRDefault="009E2199">
      <w:pPr>
        <w:pStyle w:val="Bibliography"/>
      </w:pPr>
      <w:bookmarkStart w:id="87" w:name="ref-Rehn18"/>
      <w:bookmarkEnd w:id="86"/>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 </w:t>
      </w:r>
      <w:hyperlink r:id="rId91">
        <w:r>
          <w:rPr>
            <w:rStyle w:val="Hyperlink"/>
          </w:rPr>
          <w:t>https://www.waterboards.ca.gov/water_issues/programs/swamp/bioassessment/docs/physical_habitat_index_technical_memo.pdf</w:t>
        </w:r>
      </w:hyperlink>
      <w:r>
        <w:t>.</w:t>
      </w:r>
    </w:p>
    <w:p w:rsidR="00B86358" w:rsidRDefault="009E2199">
      <w:pPr>
        <w:pStyle w:val="Bibliography"/>
      </w:pPr>
      <w:bookmarkStart w:id="88" w:name="ref-Shoredits13"/>
      <w:bookmarkEnd w:id="87"/>
      <w:r>
        <w:t xml:space="preserve">Shoredits, A. S., and J. A. Clayton. 2013. “Assessing the Practice and Challenges of Stream Restoration in Urbanized Environments of the USA.” </w:t>
      </w:r>
      <w:r>
        <w:rPr>
          <w:i/>
        </w:rPr>
        <w:t>Geography Compass</w:t>
      </w:r>
      <w:r>
        <w:t xml:space="preserve"> 7 (5):358–72. </w:t>
      </w:r>
      <w:hyperlink r:id="rId92">
        <w:r>
          <w:rPr>
            <w:rStyle w:val="Hyperlink"/>
          </w:rPr>
          <w:t>https://doi.org/10.1111/gec3.12039</w:t>
        </w:r>
      </w:hyperlink>
      <w:r>
        <w:t>.</w:t>
      </w:r>
    </w:p>
    <w:p w:rsidR="00B86358" w:rsidRDefault="009E2199">
      <w:pPr>
        <w:pStyle w:val="Bibliography"/>
      </w:pPr>
      <w:bookmarkStart w:id="89" w:name="ref-Stein09"/>
      <w:bookmarkEnd w:id="88"/>
      <w:r>
        <w:t xml:space="preserve">Stein, E. D., M. Brinson, M. C. Rains, W. Kleindl, and F. R. Hauer. 2009. “Wetland Assessment Alphabet Soup: How to Choose (or Not Choose) the Right Assessment Method.” </w:t>
      </w:r>
      <w:r>
        <w:rPr>
          <w:i/>
        </w:rPr>
        <w:t>Society of Wetland Scientists Bulletin</w:t>
      </w:r>
      <w:r>
        <w:t xml:space="preserve"> 26:20–24.</w:t>
      </w:r>
    </w:p>
    <w:p w:rsidR="00B86358" w:rsidRDefault="009E2199">
      <w:pPr>
        <w:pStyle w:val="Bibliography"/>
      </w:pPr>
      <w:bookmarkStart w:id="90" w:name="ref-Stoddard08"/>
      <w:bookmarkEnd w:id="89"/>
      <w:r>
        <w:t xml:space="preserve">Stoddard, J. L., A. T. Herlihy, D. V. Peck, R. M. Hughes, T. R. Whittier, and E. Tarquinio. 2008. “A Process for Creating Multimetric Indices for Large-Scale Aquatic Surveys.” </w:t>
      </w:r>
      <w:r>
        <w:rPr>
          <w:i/>
        </w:rPr>
        <w:t>Journal of the North American Benthological Society</w:t>
      </w:r>
      <w:r>
        <w:t xml:space="preserve"> 27 (4):878–91. </w:t>
      </w:r>
      <w:hyperlink r:id="rId93">
        <w:r>
          <w:rPr>
            <w:rStyle w:val="Hyperlink"/>
          </w:rPr>
          <w:t>https://doi.org/10.1899/08-053.1</w:t>
        </w:r>
      </w:hyperlink>
      <w:r>
        <w:t>.</w:t>
      </w:r>
    </w:p>
    <w:p w:rsidR="00B86358" w:rsidRDefault="009E2199">
      <w:pPr>
        <w:pStyle w:val="Bibliography"/>
      </w:pPr>
      <w:bookmarkStart w:id="91" w:name="ref-Taylor18"/>
      <w:bookmarkEnd w:id="90"/>
      <w:r>
        <w:t xml:space="preserve">Taylor, J. M., J. A. Back, B. W. Brooks, and R. S. King. 2018. “Spatial, Temporal and Experimental: Three Study Design Cornerstones for Establishing Defensible Numeric Criteria in Freshwater Ecosystems.” </w:t>
      </w:r>
      <w:r>
        <w:rPr>
          <w:i/>
        </w:rPr>
        <w:t>Journal of Applied Ecology</w:t>
      </w:r>
      <w:r>
        <w:t xml:space="preserve"> 55 (5):2114–23. </w:t>
      </w:r>
      <w:hyperlink r:id="rId94">
        <w:r>
          <w:rPr>
            <w:rStyle w:val="Hyperlink"/>
          </w:rPr>
          <w:t>https://doi.org/10.1111/1365-2664.13150</w:t>
        </w:r>
      </w:hyperlink>
      <w:r>
        <w:t>.</w:t>
      </w:r>
    </w:p>
    <w:p w:rsidR="00B86358" w:rsidRDefault="009E2199">
      <w:pPr>
        <w:pStyle w:val="Bibliography"/>
      </w:pPr>
      <w:bookmarkStart w:id="92" w:name="ref-Taylor14"/>
      <w:bookmarkEnd w:id="91"/>
      <w:r>
        <w:t xml:space="preserve">Taylor, J. M., R. S. King, A. A. Pease, and K. O. Winemiller. 2014. “Nonlinear Response of Stream Ecosystem Structure to Low-Level Phosphorus Enrichment.” </w:t>
      </w:r>
      <w:r>
        <w:rPr>
          <w:i/>
        </w:rPr>
        <w:t>Freshwater Biology</w:t>
      </w:r>
      <w:r>
        <w:t xml:space="preserve"> 59:969–84. </w:t>
      </w:r>
      <w:hyperlink r:id="rId95">
        <w:r>
          <w:rPr>
            <w:rStyle w:val="Hyperlink"/>
          </w:rPr>
          <w:t>https://doi.org/10.1111/fwb.12320</w:t>
        </w:r>
      </w:hyperlink>
      <w:r>
        <w:t>.</w:t>
      </w:r>
    </w:p>
    <w:p w:rsidR="00B86358" w:rsidRDefault="009E2199">
      <w:pPr>
        <w:pStyle w:val="Bibliography"/>
      </w:pPr>
      <w:bookmarkStart w:id="93" w:name="ref-Touchon16"/>
      <w:bookmarkEnd w:id="92"/>
      <w:r>
        <w:t xml:space="preserve">Touchon, J. C., and M. W. McCoy. 2016. “The Mismatch Between Current Statistical Practice and Doctoral Training in Ecology.” </w:t>
      </w:r>
      <w:r>
        <w:rPr>
          <w:i/>
        </w:rPr>
        <w:t>Ecosphere</w:t>
      </w:r>
      <w:r>
        <w:t xml:space="preserve"> 7 (8):e01394. </w:t>
      </w:r>
      <w:hyperlink r:id="rId96">
        <w:r>
          <w:rPr>
            <w:rStyle w:val="Hyperlink"/>
          </w:rPr>
          <w:t>https://doi.org/10.1002/ecs2.1394</w:t>
        </w:r>
      </w:hyperlink>
      <w:r>
        <w:t>.</w:t>
      </w:r>
    </w:p>
    <w:p w:rsidR="00B86358" w:rsidRDefault="009E2199">
      <w:pPr>
        <w:pStyle w:val="Bibliography"/>
      </w:pPr>
      <w:bookmarkStart w:id="94" w:name="ref-Wickham14c"/>
      <w:bookmarkEnd w:id="93"/>
      <w:r>
        <w:lastRenderedPageBreak/>
        <w:t xml:space="preserve">Wickham, H. 2014. “Tidy Data.” </w:t>
      </w:r>
      <w:r>
        <w:rPr>
          <w:i/>
        </w:rPr>
        <w:t>Journal of Statistical Software</w:t>
      </w:r>
      <w:r>
        <w:t xml:space="preserve"> 59 (10):1–23. </w:t>
      </w:r>
      <w:hyperlink r:id="rId97">
        <w:r>
          <w:rPr>
            <w:rStyle w:val="Hyperlink"/>
          </w:rPr>
          <w:t>https://doi.org/10.18637/jss.v059.i10</w:t>
        </w:r>
      </w:hyperlink>
      <w:r>
        <w:t>.</w:t>
      </w:r>
    </w:p>
    <w:p w:rsidR="00B86358" w:rsidRDefault="009E2199">
      <w:pPr>
        <w:pStyle w:val="Bibliography"/>
      </w:pPr>
      <w:bookmarkStart w:id="95" w:name="ref-Wickham15"/>
      <w:bookmarkEnd w:id="94"/>
      <w:r>
        <w:t xml:space="preserve">———. 2015. </w:t>
      </w:r>
      <w:r>
        <w:rPr>
          <w:i/>
        </w:rPr>
        <w:t>R Packages</w:t>
      </w:r>
      <w:r>
        <w:t>. Sebastopol, California: O’Reilly.</w:t>
      </w:r>
    </w:p>
    <w:p w:rsidR="00B86358" w:rsidRDefault="009E2199">
      <w:pPr>
        <w:pStyle w:val="Bibliography"/>
      </w:pPr>
      <w:bookmarkStart w:id="96" w:name="ref-Wickham09"/>
      <w:bookmarkEnd w:id="95"/>
      <w:r>
        <w:t xml:space="preserve">Wickham, Hadley. 2009. </w:t>
      </w:r>
      <w:r>
        <w:rPr>
          <w:i/>
        </w:rPr>
        <w:t>Ggplot2: Elegant Graphics for Data Analysis</w:t>
      </w:r>
      <w:r>
        <w:t xml:space="preserve">. Springer-Verlag. New York. </w:t>
      </w:r>
      <w:hyperlink r:id="rId98">
        <w:r>
          <w:rPr>
            <w:rStyle w:val="Hyperlink"/>
          </w:rPr>
          <w:t>http://had.co.nz/ggplot2/book</w:t>
        </w:r>
      </w:hyperlink>
      <w:r>
        <w:t>.</w:t>
      </w:r>
    </w:p>
    <w:p w:rsidR="00B86358" w:rsidRDefault="009E2199">
      <w:pPr>
        <w:pStyle w:val="Bibliography"/>
      </w:pPr>
      <w:bookmarkStart w:id="97" w:name="ref-Wickham17b"/>
      <w:bookmarkEnd w:id="96"/>
      <w:r>
        <w:t xml:space="preserve">———. 2017. </w:t>
      </w:r>
      <w:r>
        <w:rPr>
          <w:i/>
        </w:rPr>
        <w:t>Tidyverse: Easily Install and Load the ’Tidyverse’</w:t>
      </w:r>
      <w:r>
        <w:t xml:space="preserve">. </w:t>
      </w:r>
      <w:hyperlink r:id="rId99">
        <w:r>
          <w:rPr>
            <w:rStyle w:val="Hyperlink"/>
          </w:rPr>
          <w:t>https://CRAN.R-project.org/package=tidyverse</w:t>
        </w:r>
      </w:hyperlink>
      <w:r>
        <w:t>.</w:t>
      </w:r>
    </w:p>
    <w:p w:rsidR="00B86358" w:rsidRDefault="009E2199">
      <w:pPr>
        <w:pStyle w:val="Bibliography"/>
      </w:pPr>
      <w:bookmarkStart w:id="98" w:name="ref-Wickham18"/>
      <w:bookmarkEnd w:id="97"/>
      <w:r>
        <w:t xml:space="preserve">Wickham, Hadley, Jim Hester, and Winston Chang. 2018. </w:t>
      </w:r>
      <w:r>
        <w:rPr>
          <w:i/>
        </w:rPr>
        <w:t>Devtools: Tools to Make Developing R Packages Easier</w:t>
      </w:r>
      <w:r>
        <w:t xml:space="preserve">. </w:t>
      </w:r>
      <w:hyperlink r:id="rId100">
        <w:r>
          <w:rPr>
            <w:rStyle w:val="Hyperlink"/>
          </w:rPr>
          <w:t>https://CRAN.R-project.org/package=devtools</w:t>
        </w:r>
      </w:hyperlink>
      <w:r>
        <w:t>.</w:t>
      </w:r>
    </w:p>
    <w:p w:rsidR="00B86358" w:rsidRDefault="009E2199">
      <w:pPr>
        <w:pStyle w:val="Bibliography"/>
      </w:pPr>
      <w:bookmarkStart w:id="99" w:name="ref-Wilkinson05"/>
      <w:bookmarkEnd w:id="98"/>
      <w:r>
        <w:t xml:space="preserve">Wilkinson, L. 2005. </w:t>
      </w:r>
      <w:r>
        <w:rPr>
          <w:i/>
        </w:rPr>
        <w:t>The Grammar of Graphics</w:t>
      </w:r>
      <w:r>
        <w:t>. Second. New York: Statistics; Computing, Springer.</w:t>
      </w:r>
    </w:p>
    <w:p w:rsidR="00B86358" w:rsidRDefault="009E2199">
      <w:pPr>
        <w:pStyle w:val="Bibliography"/>
      </w:pPr>
      <w:bookmarkStart w:id="100" w:name="ref-Woelfle11"/>
      <w:bookmarkEnd w:id="99"/>
      <w:r>
        <w:t xml:space="preserve">Woelfle, M., P. Olliaro, and M. H. Todd. 2011. “Open Science Is a Research Accelerator.” </w:t>
      </w:r>
      <w:r>
        <w:rPr>
          <w:i/>
        </w:rPr>
        <w:t>Nature Chemistry</w:t>
      </w:r>
      <w:r>
        <w:t xml:space="preserve"> 3 (10):745–48. </w:t>
      </w:r>
      <w:hyperlink r:id="rId101">
        <w:r>
          <w:rPr>
            <w:rStyle w:val="Hyperlink"/>
          </w:rPr>
          <w:t>https://doi.org/10.1038/nchem.1149</w:t>
        </w:r>
      </w:hyperlink>
      <w:r>
        <w:t>.</w:t>
      </w:r>
    </w:p>
    <w:p w:rsidR="00B86358" w:rsidRDefault="009E2199">
      <w:pPr>
        <w:pStyle w:val="Bibliography"/>
      </w:pPr>
      <w:bookmarkStart w:id="101" w:name="ref-Wood17"/>
      <w:bookmarkEnd w:id="100"/>
      <w:r>
        <w:t xml:space="preserve">Wood, S. N. 2017. </w:t>
      </w:r>
      <w:r>
        <w:rPr>
          <w:i/>
        </w:rPr>
        <w:t>Generalized Additive Models: An Introduction with R</w:t>
      </w:r>
      <w:r>
        <w:t>. 2nd ed. London, United Kingdom: Chapman; Hall, CRC Press.</w:t>
      </w:r>
    </w:p>
    <w:p w:rsidR="00B86358" w:rsidRDefault="009E2199">
      <w:pPr>
        <w:pStyle w:val="Bibliography"/>
      </w:pPr>
      <w:bookmarkStart w:id="102" w:name="ref-Xie15"/>
      <w:bookmarkEnd w:id="101"/>
      <w:r>
        <w:t xml:space="preserve">Xie, Yihui. 2015. </w:t>
      </w:r>
      <w:r>
        <w:rPr>
          <w:i/>
        </w:rPr>
        <w:t>Dynamic Documents with R and Knitr</w:t>
      </w:r>
      <w:r>
        <w:t xml:space="preserve">. 2nd ed. Boca Raton, Florida: Chapman; Hall/CRC. </w:t>
      </w:r>
      <w:hyperlink r:id="rId102">
        <w:r>
          <w:rPr>
            <w:rStyle w:val="Hyperlink"/>
          </w:rPr>
          <w:t>https://yihui.name/knitr/</w:t>
        </w:r>
      </w:hyperlink>
      <w:r>
        <w:t>.</w:t>
      </w:r>
    </w:p>
    <w:p w:rsidR="00B86358" w:rsidRDefault="009E2199">
      <w:pPr>
        <w:pStyle w:val="Bibliography"/>
      </w:pPr>
      <w:bookmarkStart w:id="103" w:name="ref-Yuan04"/>
      <w:bookmarkEnd w:id="102"/>
      <w:r>
        <w:t xml:space="preserve">Yuan, L. L. 2004. “Assigning Macroinvertebrate Tolerance Classifications Using Generalised Additive Models.” </w:t>
      </w:r>
      <w:r>
        <w:rPr>
          <w:i/>
        </w:rPr>
        <w:t>Freshwater Biology</w:t>
      </w:r>
      <w:r>
        <w:t xml:space="preserve"> 49 (5):662–77. </w:t>
      </w:r>
      <w:hyperlink r:id="rId103">
        <w:r>
          <w:rPr>
            <w:rStyle w:val="Hyperlink"/>
          </w:rPr>
          <w:t>https://doi.org/10.1111/j.1365-2427.2004.01206.x</w:t>
        </w:r>
      </w:hyperlink>
      <w:r>
        <w:t>.</w:t>
      </w:r>
      <w:bookmarkEnd w:id="18"/>
      <w:bookmarkEnd w:id="103"/>
    </w:p>
    <w:sectPr w:rsidR="00B86358" w:rsidSect="009E2199">
      <w:footerReference w:type="default" r:id="rId10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B14" w:rsidRDefault="00B30B14">
      <w:pPr>
        <w:spacing w:after="0"/>
      </w:pPr>
      <w:r>
        <w:separator/>
      </w:r>
    </w:p>
  </w:endnote>
  <w:endnote w:type="continuationSeparator" w:id="0">
    <w:p w:rsidR="00B30B14" w:rsidRDefault="00B30B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rsidR="009E2199" w:rsidRDefault="009E21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E2199" w:rsidRDefault="009E2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B14" w:rsidRDefault="00B30B14">
      <w:r>
        <w:separator/>
      </w:r>
    </w:p>
  </w:footnote>
  <w:footnote w:type="continuationSeparator" w:id="0">
    <w:p w:rsidR="00B30B14" w:rsidRDefault="00B30B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603A25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EEA"/>
    <w:rsid w:val="00011C8B"/>
    <w:rsid w:val="004E29B3"/>
    <w:rsid w:val="00590D07"/>
    <w:rsid w:val="00784D58"/>
    <w:rsid w:val="008D6863"/>
    <w:rsid w:val="0091258F"/>
    <w:rsid w:val="009E2199"/>
    <w:rsid w:val="00A235D8"/>
    <w:rsid w:val="00A95EDE"/>
    <w:rsid w:val="00B30B14"/>
    <w:rsid w:val="00B8635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401A6"/>
  <w15:docId w15:val="{B5865F31-8987-4596-9EC3-888360BAD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character" w:styleId="UnresolvedMention">
    <w:name w:val="Unresolved Mention"/>
    <w:basedOn w:val="DefaultParagraphFont"/>
    <w:uiPriority w:val="99"/>
    <w:semiHidden/>
    <w:unhideWhenUsed/>
    <w:rsid w:val="009E21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ternetofwater.org/" TargetMode="External"/><Relationship Id="rId21" Type="http://schemas.openxmlformats.org/officeDocument/2006/relationships/hyperlink" Target="https://zenodo.org/" TargetMode="External"/><Relationship Id="rId42" Type="http://schemas.openxmlformats.org/officeDocument/2006/relationships/hyperlink" Target="https://doi.org/10.1139/A09-001" TargetMode="External"/><Relationship Id="rId47" Type="http://schemas.openxmlformats.org/officeDocument/2006/relationships/hyperlink" Target="https://doi.org/10.1007/s13157-014-0575-5" TargetMode="External"/><Relationship Id="rId63" Type="http://schemas.openxmlformats.org/officeDocument/2006/relationships/hyperlink" Target="https://doi.org/10.1111/1752-1688.12363" TargetMode="External"/><Relationship Id="rId68" Type="http://schemas.openxmlformats.org/officeDocument/2006/relationships/hyperlink" Target="https://doi.org/10.1016/j.scitotenv.2016.02.024" TargetMode="External"/><Relationship Id="rId84" Type="http://schemas.openxmlformats.org/officeDocument/2006/relationships/hyperlink" Target="https://doi.org/10.1068/a37224" TargetMode="External"/><Relationship Id="rId89" Type="http://schemas.openxmlformats.org/officeDocument/2006/relationships/hyperlink" Target="https://CRAN.R-project.org/package=nlme" TargetMode="External"/><Relationship Id="rId7" Type="http://schemas.openxmlformats.org/officeDocument/2006/relationships/hyperlink" Target="mailto:marcusb@sccwrp.org" TargetMode="External"/><Relationship Id="rId71" Type="http://schemas.openxmlformats.org/officeDocument/2006/relationships/hyperlink" Target="https://doi.org/10.1890/10-1357.1" TargetMode="External"/><Relationship Id="rId92" Type="http://schemas.openxmlformats.org/officeDocument/2006/relationships/hyperlink" Target="https://doi.org/10.1111/gec3.12039" TargetMode="External"/><Relationship Id="rId2" Type="http://schemas.openxmlformats.org/officeDocument/2006/relationships/styles" Target="styles.xml"/><Relationship Id="rId16" Type="http://schemas.openxmlformats.org/officeDocument/2006/relationships/hyperlink" Target="https://www.dataone.org/" TargetMode="External"/><Relationship Id="rId29" Type="http://schemas.openxmlformats.org/officeDocument/2006/relationships/hyperlink" Target="https://www.datacamp.com/" TargetMode="External"/><Relationship Id="rId11" Type="http://schemas.openxmlformats.org/officeDocument/2006/relationships/hyperlink" Target="mailto:susannat@sccwrp.org" TargetMode="External"/><Relationship Id="rId24" Type="http://schemas.openxmlformats.org/officeDocument/2006/relationships/hyperlink" Target="https://www.waterboards.ca.gov/press_room/press_releases/2018/pr_water_data_071018.pdf" TargetMode="External"/><Relationship Id="rId32" Type="http://schemas.openxmlformats.org/officeDocument/2006/relationships/image" Target="media/image3.png"/><Relationship Id="rId37" Type="http://schemas.openxmlformats.org/officeDocument/2006/relationships/hyperlink" Target="https://CRAN.R-project.org/package=rmarkdown" TargetMode="External"/><Relationship Id="rId40" Type="http://schemas.openxmlformats.org/officeDocument/2006/relationships/hyperlink" Target="https://CRAN.R-project.org/package=TITAN2" TargetMode="External"/><Relationship Id="rId45" Type="http://schemas.openxmlformats.org/officeDocument/2006/relationships/hyperlink" Target="https://doi.org/10.1088/1748-9326/11/8/084004" TargetMode="External"/><Relationship Id="rId53" Type="http://schemas.openxmlformats.org/officeDocument/2006/relationships/hyperlink" Target="https://doi.org/10.4033/iee.2013.6.6.f" TargetMode="External"/><Relationship Id="rId58" Type="http://schemas.openxmlformats.org/officeDocument/2006/relationships/hyperlink" Target="https://doi.org/10.1890/ES14-00402.1" TargetMode="External"/><Relationship Id="rId66" Type="http://schemas.openxmlformats.org/officeDocument/2006/relationships/hyperlink" Target="https://doi.org/10.1093/beheco/arx003" TargetMode="External"/><Relationship Id="rId74" Type="http://schemas.openxmlformats.org/officeDocument/2006/relationships/hyperlink" Target="https://doi.org/10.1002/ecs2.2567" TargetMode="External"/><Relationship Id="rId79" Type="http://schemas.openxmlformats.org/officeDocument/2006/relationships/hyperlink" Target="https://doi.org/10.1016/j.envsoft.2007.10.007" TargetMode="External"/><Relationship Id="rId87" Type="http://schemas.openxmlformats.org/officeDocument/2006/relationships/hyperlink" Target="https://doi.org/10.1111/j.1752-1688.2008.00280.x" TargetMode="External"/><Relationship Id="rId102" Type="http://schemas.openxmlformats.org/officeDocument/2006/relationships/hyperlink" Target="https://yihui.name/knitr/" TargetMode="External"/><Relationship Id="rId5" Type="http://schemas.openxmlformats.org/officeDocument/2006/relationships/footnotes" Target="footnotes.xml"/><Relationship Id="rId61" Type="http://schemas.openxmlformats.org/officeDocument/2006/relationships/hyperlink" Target="https://doi.org/10.1016/j.scitotenv.2010.05.031" TargetMode="External"/><Relationship Id="rId82" Type="http://schemas.openxmlformats.org/officeDocument/2006/relationships/hyperlink" Target="https://doi.org/10.17605/OSF.IO/3D6XX" TargetMode="External"/><Relationship Id="rId90" Type="http://schemas.openxmlformats.org/officeDocument/2006/relationships/hyperlink" Target="https://doi.org/10.1016/j.envsci.2014.08.006" TargetMode="External"/><Relationship Id="rId95" Type="http://schemas.openxmlformats.org/officeDocument/2006/relationships/hyperlink" Target="https://doi.org/10.1111/fwb.12320" TargetMode="External"/><Relationship Id="rId19" Type="http://schemas.openxmlformats.org/officeDocument/2006/relationships/hyperlink" Target="https://www.google.com/docs/about/" TargetMode="External"/><Relationship Id="rId14" Type="http://schemas.openxmlformats.org/officeDocument/2006/relationships/hyperlink" Target="mailto:belize.lane@usu.edu" TargetMode="External"/><Relationship Id="rId22" Type="http://schemas.openxmlformats.org/officeDocument/2006/relationships/hyperlink" Target="https://ropensci.org/" TargetMode="External"/><Relationship Id="rId27" Type="http://schemas.openxmlformats.org/officeDocument/2006/relationships/hyperlink" Target="https://sccwrp.shinyapps.io/SCAPE" TargetMode="External"/><Relationship Id="rId30" Type="http://schemas.openxmlformats.org/officeDocument/2006/relationships/image" Target="media/image1.png"/><Relationship Id="rId35" Type="http://schemas.openxmlformats.org/officeDocument/2006/relationships/hyperlink" Target="https://creativecommons.org/about/program-areas/open-science/" TargetMode="External"/><Relationship Id="rId43" Type="http://schemas.openxmlformats.org/officeDocument/2006/relationships/hyperlink" Target="https://doi.org/10.1016/j.aquabot.2013.02.003" TargetMode="External"/><Relationship Id="rId48" Type="http://schemas.openxmlformats.org/officeDocument/2006/relationships/hyperlink" Target="https://doi.org/10.1899/10-067.1" TargetMode="External"/><Relationship Id="rId56" Type="http://schemas.openxmlformats.org/officeDocument/2006/relationships/hyperlink" Target="https://doi.org/10.1046/j.1365-2427.2002.00948.x" TargetMode="External"/><Relationship Id="rId64" Type="http://schemas.openxmlformats.org/officeDocument/2006/relationships/hyperlink" Target="https://doi.org/10.1086/697996" TargetMode="External"/><Relationship Id="rId69" Type="http://schemas.openxmlformats.org/officeDocument/2006/relationships/hyperlink" Target="https://doi.org/10.1111/j.1752-1688.2011.00635.x" TargetMode="External"/><Relationship Id="rId77" Type="http://schemas.openxmlformats.org/officeDocument/2006/relationships/hyperlink" Target="http://CRAN.R-project.org/doc/Rnews/" TargetMode="External"/><Relationship Id="rId100" Type="http://schemas.openxmlformats.org/officeDocument/2006/relationships/hyperlink" Target="https://CRAN.R-project.org/package=devtools" TargetMode="External"/><Relationship Id="rId105" Type="http://schemas.openxmlformats.org/officeDocument/2006/relationships/fontTable" Target="fontTable.xml"/><Relationship Id="rId8" Type="http://schemas.openxmlformats.org/officeDocument/2006/relationships/hyperlink" Target="mailto:ohara@nceas.ucsb.edu" TargetMode="External"/><Relationship Id="rId51" Type="http://schemas.openxmlformats.org/officeDocument/2006/relationships/hyperlink" Target="https://doi.org/10.1111/jvs.12459" TargetMode="External"/><Relationship Id="rId72" Type="http://schemas.openxmlformats.org/officeDocument/2006/relationships/hyperlink" Target="https://doi.org/10.1002/fee.1483" TargetMode="External"/><Relationship Id="rId80" Type="http://schemas.openxmlformats.org/officeDocument/2006/relationships/hyperlink" Target="https://doi.org/10.1111/j.1600-0706.2013.00970.x" TargetMode="External"/><Relationship Id="rId85" Type="http://schemas.openxmlformats.org/officeDocument/2006/relationships/hyperlink" Target="https://doi.org/10.1071/MF15329" TargetMode="External"/><Relationship Id="rId93" Type="http://schemas.openxmlformats.org/officeDocument/2006/relationships/hyperlink" Target="https://doi.org/10.1899/08-053.1" TargetMode="External"/><Relationship Id="rId98" Type="http://schemas.openxmlformats.org/officeDocument/2006/relationships/hyperlink" Target="http://had.co.nz/ggplot2/book" TargetMode="External"/><Relationship Id="rId3" Type="http://schemas.openxmlformats.org/officeDocument/2006/relationships/settings" Target="settings.xml"/><Relationship Id="rId12" Type="http://schemas.openxmlformats.org/officeDocument/2006/relationships/hyperlink" Target="mailto:davidg@sccwrp.org" TargetMode="External"/><Relationship Id="rId17" Type="http://schemas.openxmlformats.org/officeDocument/2006/relationships/hyperlink" Target="https://irods.org/" TargetMode="External"/><Relationship Id="rId25" Type="http://schemas.openxmlformats.org/officeDocument/2006/relationships/hyperlink" Target="https://www.datacoalition.org/" TargetMode="External"/><Relationship Id="rId33" Type="http://schemas.openxmlformats.org/officeDocument/2006/relationships/image" Target="media/image4.png"/><Relationship Id="rId38" Type="http://schemas.openxmlformats.org/officeDocument/2006/relationships/hyperlink" Target="https://github.com/r-spatial/mapview" TargetMode="External"/><Relationship Id="rId46" Type="http://schemas.openxmlformats.org/officeDocument/2006/relationships/hyperlink" Target="https://doi.org/10.1111/ecog.02493" TargetMode="External"/><Relationship Id="rId59" Type="http://schemas.openxmlformats.org/officeDocument/2006/relationships/hyperlink" Target="https://doi.org/10.1093/biosci/bix025" TargetMode="External"/><Relationship Id="rId67" Type="http://schemas.openxmlformats.org/officeDocument/2006/relationships/hyperlink" Target="https://doi.org/10.2307/1467854" TargetMode="External"/><Relationship Id="rId103" Type="http://schemas.openxmlformats.org/officeDocument/2006/relationships/hyperlink" Target="https://doi.org/10.1111/j.1365-2427.2004.01206.x" TargetMode="External"/><Relationship Id="rId20" Type="http://schemas.openxmlformats.org/officeDocument/2006/relationships/hyperlink" Target="https://slack.com/" TargetMode="External"/><Relationship Id="rId41" Type="http://schemas.openxmlformats.org/officeDocument/2006/relationships/hyperlink" Target="http://doi.org/10.5281/zenodo.1218121" TargetMode="External"/><Relationship Id="rId54" Type="http://schemas.openxmlformats.org/officeDocument/2006/relationships/hyperlink" Target="http://sites.google.com/site/miqueldecaceres/" TargetMode="External"/><Relationship Id="rId62" Type="http://schemas.openxmlformats.org/officeDocument/2006/relationships/hyperlink" Target="https://CRAN.R-project.org/package=raster" TargetMode="External"/><Relationship Id="rId70" Type="http://schemas.openxmlformats.org/officeDocument/2006/relationships/hyperlink" Target="https://doi.org/10.2307/1942007" TargetMode="External"/><Relationship Id="rId75" Type="http://schemas.openxmlformats.org/officeDocument/2006/relationships/hyperlink" Target="https://doi.org/10.1007/s00267-018-1077-7" TargetMode="External"/><Relationship Id="rId83" Type="http://schemas.openxmlformats.org/officeDocument/2006/relationships/hyperlink" Target="https://doi.org/10.1086/675683" TargetMode="External"/><Relationship Id="rId88" Type="http://schemas.openxmlformats.org/officeDocument/2006/relationships/hyperlink" Target="https://CRAN.R-project.org/package=sf" TargetMode="External"/><Relationship Id="rId91" Type="http://schemas.openxmlformats.org/officeDocument/2006/relationships/hyperlink" Target="https://www.waterboards.ca.gov/water_issues/programs/swamp/bioassessment/docs/physical_habitat_index_technical_memo.pdf" TargetMode="External"/><Relationship Id="rId96" Type="http://schemas.openxmlformats.org/officeDocument/2006/relationships/hyperlink" Target="https://doi.org/10.1002/ecs2.139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knb.ecoinformatics.org/external//emlparser/docs/index.html" TargetMode="External"/><Relationship Id="rId23" Type="http://schemas.openxmlformats.org/officeDocument/2006/relationships/hyperlink" Target="https://leginfo.legislature.ca.gov/faces/billNavClient.xhtml?bill_id=201520160AB1755" TargetMode="External"/><Relationship Id="rId28" Type="http://schemas.openxmlformats.org/officeDocument/2006/relationships/hyperlink" Target="https://carpentries.org" TargetMode="External"/><Relationship Id="rId36" Type="http://schemas.openxmlformats.org/officeDocument/2006/relationships/hyperlink" Target="https://www.openscience.org" TargetMode="External"/><Relationship Id="rId49" Type="http://schemas.openxmlformats.org/officeDocument/2006/relationships/hyperlink" Target="https://CRAN.R-project.org/package=shiny" TargetMode="External"/><Relationship Id="rId57" Type="http://schemas.openxmlformats.org/officeDocument/2006/relationships/hyperlink" Target="https://doi.org/10.1177%2F1075547012443021" TargetMode="External"/><Relationship Id="rId106" Type="http://schemas.openxmlformats.org/officeDocument/2006/relationships/theme" Target="theme/theme1.xml"/><Relationship Id="rId10" Type="http://schemas.openxmlformats.org/officeDocument/2006/relationships/hyperlink" Target="mailto:raphaelm@sccwrp.org" TargetMode="External"/><Relationship Id="rId31" Type="http://schemas.openxmlformats.org/officeDocument/2006/relationships/image" Target="media/image2.png"/><Relationship Id="rId44" Type="http://schemas.openxmlformats.org/officeDocument/2006/relationships/hyperlink" Target="https://doi.org/10.1016/j.ecolind.2011.10.009" TargetMode="External"/><Relationship Id="rId52" Type="http://schemas.openxmlformats.org/officeDocument/2006/relationships/hyperlink" Target="https://doi.org/10.1016/S1470-160X(01)00003-6" TargetMode="External"/><Relationship Id="rId60" Type="http://schemas.openxmlformats.org/officeDocument/2006/relationships/hyperlink" Target="https://doi.org/10.1890/120103" TargetMode="External"/><Relationship Id="rId65" Type="http://schemas.openxmlformats.org/officeDocument/2006/relationships/hyperlink" Target="https://doi.org/10.5334/dsj-2017-004" TargetMode="External"/><Relationship Id="rId73" Type="http://schemas.openxmlformats.org/officeDocument/2006/relationships/hyperlink" Target="https://doi.org/10.1016/j.ecolind.2013.09.006" TargetMode="External"/><Relationship Id="rId78" Type="http://schemas.openxmlformats.org/officeDocument/2006/relationships/hyperlink" Target="https://doi.org/10.1111/j.1365-2427.2010.02456.x" TargetMode="External"/><Relationship Id="rId81" Type="http://schemas.openxmlformats.org/officeDocument/2006/relationships/hyperlink" Target="https://doi.org/10.1038/s41559-017-0160" TargetMode="External"/><Relationship Id="rId86" Type="http://schemas.openxmlformats.org/officeDocument/2006/relationships/hyperlink" Target="https://CRAN.R-project.org/package=vegan" TargetMode="External"/><Relationship Id="rId94" Type="http://schemas.openxmlformats.org/officeDocument/2006/relationships/hyperlink" Target="https://doi.org/10.1111/1365-2664.13150" TargetMode="External"/><Relationship Id="rId99" Type="http://schemas.openxmlformats.org/officeDocument/2006/relationships/hyperlink" Target="https://CRAN.R-project.org/package=tidyverse" TargetMode="External"/><Relationship Id="rId101" Type="http://schemas.openxmlformats.org/officeDocument/2006/relationships/hyperlink" Target="https://doi.org/10.1038/nchem.1149" TargetMode="External"/><Relationship Id="rId4" Type="http://schemas.openxmlformats.org/officeDocument/2006/relationships/webSettings" Target="webSettings.xml"/><Relationship Id="rId9" Type="http://schemas.openxmlformats.org/officeDocument/2006/relationships/hyperlink" Target="mailto:lowndes@nceas.ucsb.edu" TargetMode="External"/><Relationship Id="rId13" Type="http://schemas.openxmlformats.org/officeDocument/2006/relationships/hyperlink" Target="mailto:greg.gearheart@waterboards.ca.gov" TargetMode="External"/><Relationship Id="rId18" Type="http://schemas.openxmlformats.org/officeDocument/2006/relationships/hyperlink" Target="https://eflows.ucdavis.edu/hydrology" TargetMode="External"/><Relationship Id="rId39" Type="http://schemas.openxmlformats.org/officeDocument/2006/relationships/hyperlink" Target="https://doi.org/10.1111/j.1365-294X.2012.05519.x" TargetMode="External"/><Relationship Id="rId34" Type="http://schemas.openxmlformats.org/officeDocument/2006/relationships/hyperlink" Target="http://opendefinition.org/" TargetMode="External"/><Relationship Id="rId50" Type="http://schemas.openxmlformats.org/officeDocument/2006/relationships/hyperlink" Target="https://CRAN.R-project.org/package=leaflet" TargetMode="External"/><Relationship Id="rId55" Type="http://schemas.openxmlformats.org/officeDocument/2006/relationships/hyperlink" Target="https://doi.org/10.1007/s10811-013-0088-2" TargetMode="External"/><Relationship Id="rId76" Type="http://schemas.openxmlformats.org/officeDocument/2006/relationships/hyperlink" Target="https://doi.org/10.1038/529459a" TargetMode="External"/><Relationship Id="rId97" Type="http://schemas.openxmlformats.org/officeDocument/2006/relationships/hyperlink" Target="https://doi.org/10.18637/jss.v059.i10"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46</Pages>
  <Words>14400</Words>
  <Characters>82085</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The importance of open science for biological assessment</vt:lpstr>
    </vt:vector>
  </TitlesOfParts>
  <Company/>
  <LinksUpToDate>false</LinksUpToDate>
  <CharactersWithSpaces>96293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Julia Stewart Lowndes (lowndes@nceas.ucsb.edu), Greg Gearheart (greg.gearheart@waterboards.ca.gov), Belize Lane (belize.lane@usu.edu)</dc:creator>
  <cp:keywords/>
  <cp:lastModifiedBy>Marcus Beck</cp:lastModifiedBy>
  <cp:revision>4</cp:revision>
  <dcterms:created xsi:type="dcterms:W3CDTF">2019-02-05T18:25:00Z</dcterms:created>
  <dcterms:modified xsi:type="dcterms:W3CDTF">2019-02-05T19:18:00Z</dcterms:modified>
</cp:coreProperties>
</file>