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7.png" ContentType="image/png"/>
  <Override PartName="/word/media/rId147.png" ContentType="image/png"/>
  <Override PartName="/word/media/rId155.png" ContentType="image/png"/>
  <Override PartName="/word/media/rId151.png" ContentType="image/png"/>
  <Override PartName="/word/media/rId139.png" ContentType="image/png"/>
  <Override PartName="/word/media/rId143.png" ContentType="image/png"/>
  <Override PartName="/word/media/rId159.png" ContentType="image/png"/>
  <Override PartName="/word/media/rId16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rPr>
          <w:iCs/>
          <w:i/>
        </w:rPr>
        <w:t xml:space="preserve">Running head</w:t>
      </w:r>
      <w:r>
        <w:t xml:space="preserve">: EBASE metabolic model</w:t>
      </w:r>
    </w:p>
    <w:p>
      <w:pPr>
        <w:pStyle w:val="BodyText"/>
      </w:pPr>
      <w:r>
        <w:rPr>
          <w:iCs/>
          <w:i/>
        </w:rPr>
        <w:t xml:space="preserve">Key words</w:t>
      </w:r>
      <w:r>
        <w:t xml:space="preserve">: Bayesian, dissolved oxygen, ecosystem metabolism, estuary, gas exchange, open-source</w:t>
      </w:r>
    </w:p>
    <w:bookmarkStart w:id="21" w:name="abstract"/>
    <w:p>
      <w:pPr>
        <w:pStyle w:val="Heading2"/>
      </w:pPr>
      <w:r>
        <w:t xml:space="preserve">Abstract</w:t>
      </w:r>
    </w:p>
    <w:p>
      <w:pPr>
        <w:pStyle w:val="FirstParagraph"/>
      </w:pPr>
      <w:r>
        <w:t xml:space="preserve">Continuous measurements of dissolved oxygen (DO) are useful for quantifying ecosystem metabolism, which is critical for understanding estuarine biogeochemistry and ecology, but current methods applied to these data may lead to unphysical results and poorly constrained errors. Here we present a new approach for estimating estuarine metabolism: EBASE (Estuarine BAyesian Single-station Estimation). EBASE applies a Bayesian framework to a simple process-based model and DO observations, allowing the estimation of critical model parameters, specifically light efficiency and respiration, as informed by a set of prior distributions. EBASE improves upon the stream-based model from which it was derived by accommodating missing DO data and allowing the user to set the time period over which parameters are estimated. We demonstrate that EBASE can recover known metabolic parameters from a synthetic time series, even in the presence of noise (e.g., due to tidal advection) and when prior distributions are uninformed. Optimization periods of 7 days and 30 days are more preferable than 1 day. A comparison with the more-conventional method of Odum reveals the ability of EBASE to avoid unphysical results (such as negative photosynthesis and respiration) and improves when the DO data are detided. EBASE is available using open-source software (R)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bookmarkEnd w:id="21"/>
    <w:bookmarkStart w:id="22" w:name="introduction"/>
    <w:p>
      <w:pPr>
        <w:pStyle w:val="Heading2"/>
      </w:pPr>
      <w:r>
        <w:t xml:space="preserve">Introduction</w:t>
      </w:r>
    </w:p>
    <w:p>
      <w:pPr>
        <w:pStyle w:val="FirstParagraph"/>
      </w:pPr>
      <w:r>
        <w:t xml:space="preserve">Estuaries play a key role in the global cycling of elements because of high rates of biogeochemical activity at the interface between land, river, ocean, and atmosphere. As materials are transported from land to rivers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with multiple fates, e.g., buried in estuarine sediments, incorporated into biota, transferred to the ocean, etc.</w:t>
      </w:r>
      <w:r>
        <w:t xml:space="preserve"> </w:t>
      </w:r>
      <w:r>
        <w:t xml:space="preserve">(Hu et al. 2006; Middelburg and Herman 2007)</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and heterotrophic respiration far exceed inputs from upland sources and outputs to the atmosphere and ocean.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(i.e., outgassing), the sediments (i.e., burial), and the ocean (i.e., advection).</w:t>
      </w:r>
    </w:p>
    <w:p>
      <w:pPr>
        <w:pStyle w:val="BodyText"/>
      </w:pPr>
      <w:r>
        <w:t xml:space="preserve">Methods for estimating metabolism in aquatic environments are numerous and include open-water techniques, bottle-based incubations, ecosystem budgets, oxygen isotopes, use of inert gases, and aquatic eddy covariance</w:t>
      </w:r>
      <w:r>
        <w:t xml:space="preserve"> </w:t>
      </w:r>
      <w:r>
        <w:t xml:space="preserve">(Kemp and Testa 2011; Staehr et al. 2011; Berg et al. 2022)</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a network of 30 estuaries across the U.S. Thus, the approach can be broadly applied where data are available, although it is not without limitations. In particular, tidal advection can violate an assumption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for both P and R, on average, and as high as 69% for individual sites. Note that R is often expressed as a negative value indicating consumption of dissolved oxygen. Here and throughout, we express correct values of R as positive values given the metabolic model described below.</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statistical techniques have only been explored in limited estuarine applications despite their potential to address the above</w:t>
      </w:r>
      <w:r>
        <w:t xml:space="preserve"> </w:t>
      </w:r>
      <w:r>
        <w:t xml:space="preserve">(Ciavatta et al. 2008; 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metabolic estimates from EBASE are compared with those of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We also attempt to constrain the gas transfer velocity using this approach but are unable, at least with the data sets used in this study.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2" w:name="materials-and-procedures"/>
    <w:p>
      <w:pPr>
        <w:pStyle w:val="Heading2"/>
      </w:pPr>
      <w:r>
        <w:t xml:space="preserve">Materials and Procedures</w:t>
      </w:r>
    </w:p>
    <w:p>
      <w:pPr>
        <w:pStyle w:val="FirstParagraph"/>
      </w:pPr>
      <w:r>
        <w:t xml:space="preserve">EBASE uses a mass balance equation for dissolved oxygen, assuming a well-mixed water column of depth</w:t>
      </w:r>
      <w:r>
        <w:t xml:space="preserve"> </w:t>
      </w:r>
      <m:oMath>
        <m:r>
          <m:t>Z</m:t>
        </m:r>
      </m:oMath>
      <w:r>
        <w:t xml:space="preserve"> </w:t>
      </w:r>
      <w:r>
        <w:t xml:space="preserve">and no lateral transport processes:</w:t>
      </w:r>
    </w:p>
    <w:p>
      <w:pPr>
        <w:pStyle w:val="BodyText"/>
      </w:pPr>
      <w:bookmarkStart w:id="23" w:name="eq-ebase"/>
      <m:oMathPara>
        <m:oMathParaPr>
          <m:jc m:val="center"/>
        </m:oMathParaPr>
        <m:oMath>
          <m:r>
            <m:t>Z</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3"/>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Both</w:t>
      </w:r>
      <w:r>
        <w:t xml:space="preserve"> </w:t>
      </w:r>
      <m:oMath>
        <m:r>
          <m:t>P</m:t>
        </m:r>
      </m:oMath>
      <w:r>
        <w:t xml:space="preserve"> </w:t>
      </w:r>
      <w:r>
        <w:t xml:space="preserve">and</w:t>
      </w:r>
      <w:r>
        <w:t xml:space="preserve"> </w:t>
      </w:r>
      <m:oMath>
        <m:r>
          <m:t>R</m:t>
        </m:r>
      </m:oMath>
      <w:r>
        <w:t xml:space="preserve"> </w:t>
      </w:r>
      <w:r>
        <w:t xml:space="preserve">are expressed as positive values, whereas</w:t>
      </w:r>
      <w:r>
        <w:t xml:space="preserve"> </w:t>
      </w:r>
      <m:oMath>
        <m:r>
          <m:t>D</m:t>
        </m:r>
      </m:oMath>
      <w:r>
        <w:t xml:space="preserve"> </w:t>
      </w:r>
      <w:r>
        <w:t xml:space="preserve">can be positive (outgassing) or negative (ingassing). The equation has dimensions of moles per unit area and time.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primarily as an expression of the sensitivity of gas exchange to wind,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 time series of dissolved oxygen, water temperature, salinity, PAR, wind speed, and water column depth (</w:t>
      </w:r>
      <w:hyperlink w:anchor="tbl-ebaseiotab">
        <w:r>
          <w:rPr>
            <w:rStyle w:val="Hyperlink"/>
          </w:rPr>
          <w:t xml:space="preserve">Table 1</w:t>
        </w:r>
      </w:hyperlink>
      <w:r>
        <w:t xml:space="preserve">).</w:t>
      </w:r>
    </w:p>
    <w:bookmarkStart w:id="27" w:name="sec-basemodif"/>
    <w:p>
      <w:pPr>
        <w:pStyle w:val="Heading3"/>
      </w:pPr>
      <w:r>
        <w:t xml:space="preserve">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such as wind speed.</w:t>
      </w:r>
      <w:r>
        <w:t xml:space="preserve"> </w:t>
      </w:r>
      <m:oMath>
        <m:sSub>
          <m:e>
            <m:r>
              <m:t>k</m:t>
            </m:r>
          </m:e>
          <m:sub>
            <m:r>
              <m:t>w</m:t>
            </m:r>
          </m:sub>
        </m:sSub>
      </m:oMath>
      <w:r>
        <w:t xml:space="preserve"> </w:t>
      </w:r>
      <w:r>
        <w:t xml:space="preserve">also increases with temperature because the film of water at the air–water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Z</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w:t>
      </w:r>
      <w:r>
        <w:t xml:space="preserve"> </w:t>
      </w:r>
      <w:hyperlink w:anchor="eq-gasexbase">
        <w:r>
          <w:rPr>
            <w:rStyle w:val="Hyperlink"/>
          </w:rPr>
          <w:t xml:space="preserve">Equation 3</w:t>
        </w:r>
      </w:hyperlink>
      <w:r>
        <w:t xml:space="preserve"> </w:t>
      </w:r>
      <w:r>
        <w:t xml:space="preserve">is not used herein. Instead, the well-established wind- and temperature-based parameterization for gas exchange of</w:t>
      </w:r>
      <w:r>
        <w:t xml:space="preserve"> </w:t>
      </w:r>
      <w:r>
        <w:t xml:space="preserve">Wanninkhof (2014)</w:t>
      </w:r>
      <w:r>
        <w:t xml:space="preserve"> </w:t>
      </w:r>
      <w:r>
        <w:t xml:space="preserve">was used for EBASE</w:t>
      </w:r>
      <w:r>
        <w:t xml:space="preserve"> </w:t>
      </w:r>
      <w:hyperlink w:anchor="eq-kw">
        <w:r>
          <w:rPr>
            <w:rStyle w:val="Hyperlink"/>
          </w:rPr>
          <w:t xml:space="preserve">Equation 2</w:t>
        </w:r>
      </w:hyperlink>
      <w:r>
        <w:t xml:space="preserve">, but allowing</w:t>
      </w:r>
      <w:r>
        <w:t xml:space="preserve"> </w:t>
      </w:r>
      <m:oMath>
        <m:r>
          <m:t>b</m:t>
        </m:r>
      </m:oMath>
      <w:r>
        <w:t xml:space="preserve">, which was estimated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(Beck et al. 2023; R Core Team 2023)</w:t>
      </w:r>
      <w:r>
        <w:t xml:space="preserve">, similar to the R package available for BASE (</w:t>
      </w:r>
      <w:hyperlink r:id="rId26">
        <w:r>
          <w:rPr>
            <w:rStyle w:val="Hyperlink"/>
          </w:rPr>
          <w:t xml:space="preserve">https://github.com/dgiling/BASEmetab</w:t>
        </w:r>
      </w:hyperlink>
      <w:r>
        <w:t xml:space="preserve">). EBASE differs from BASE in model implementation in two ways. First, users can specify the model optimization period as the amount of time over which the unknown parameters are estimated from the Bayesian prior distributions (i.e.,</w:t>
      </w:r>
      <w:r>
        <w:t xml:space="preserve"> </w:t>
      </w:r>
      <m:oMath>
        <m:r>
          <m:t>a</m:t>
        </m:r>
      </m:oMath>
      <w:r>
        <w:t xml:space="preserve">,</w:t>
      </w:r>
      <w:r>
        <w:t xml:space="preserve"> </w:t>
      </w:r>
      <m:oMath>
        <m:r>
          <m:t>R</m:t>
        </m:r>
      </m:oMath>
      <w:r>
        <w:t xml:space="preserve">, and</w:t>
      </w:r>
      <w:r>
        <w:t xml:space="preserve"> </w:t>
      </w:r>
      <m:oMath>
        <m:r>
          <m:t>b</m:t>
        </m:r>
      </m:oMath>
      <w:r>
        <w:t xml:space="preserve">). The optimization period determines how much data are used to estimate each parameter. Only one estimate for each of</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is returned for each optimization period as defined by the model, although</w:t>
      </w:r>
      <w:r>
        <w:t xml:space="preserve"> </w:t>
      </w:r>
      <m:oMath>
        <m:r>
          <m:t>P</m:t>
        </m:r>
      </m:oMath>
      <w:r>
        <w:t xml:space="preserve"> </w:t>
      </w:r>
      <w:r>
        <w:t xml:space="preserve">and</w:t>
      </w:r>
      <w:r>
        <w:t xml:space="preserve"> </w:t>
      </w:r>
      <m:oMath>
        <m:r>
          <m:t>D</m:t>
        </m:r>
      </m:oMath>
      <w:r>
        <w:t xml:space="preserve"> </w:t>
      </w:r>
      <w:r>
        <w:t xml:space="preserve">can vary continuously given the dependence on other inputs that can vary at each time step (e.g.,</w:t>
      </w:r>
      <w:r>
        <w:t xml:space="preserve"> </w:t>
      </w:r>
      <m:oMath>
        <m:r>
          <m:t>P</m:t>
        </m:r>
        <m:r>
          <m:t>A</m:t>
        </m:r>
        <m:r>
          <m:t>R</m:t>
        </m:r>
      </m:oMath>
      <w:r>
        <w:t xml:space="preserve"> </w:t>
      </w:r>
      <w:r>
        <w:t xml:space="preserve">and wind). The optimization period can vary from a minimum of 1 day (defined as midnight to midnight the following day) to a maximum of the entire length of the time series. This differs from the BASE approach where the optimization period is set at 1 day. Sensitivity of the EBASE method to different optimization periods is described below. Second, the EBASE software can accommodate missing observations in the input data by interpolating gaps prior to estimating the metabolic parameters. All gaps are linearly interpolated to allow the model estimation to proceed continuously and any results for an optimization period with gaps larger than 12 hours are removed, eliminating the need to pre- and post-process the data when using EBASE. The user can vary the criteria for removing results (e.g., 6 hours as a more conservative criteria). Again, this feature was not included in the original BASE method and a complete time series was required for use. A detailed web page (</w:t>
      </w:r>
      <w:hyperlink w:anchor="X6589fc6ab0dc82cf12099d1c2d40ab994e8410c">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oxygen budget terms (P, R, and D),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w:t>
      </w:r>
    </w:p>
    <w:bookmarkEnd w:id="27"/>
    <w:bookmarkStart w:id="31" w:name="sec-ebasemod"/>
    <w:p>
      <w:pPr>
        <w:pStyle w:val="Heading3"/>
      </w:pPr>
      <w:r>
        <w:t xml:space="preserve">EBASE model estimation</w:t>
      </w:r>
    </w:p>
    <w:p>
      <w:pPr>
        <w:pStyle w:val="FirstParagraph"/>
      </w:pPr>
      <w:r>
        <w:t xml:space="preserve">The parameters</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(default 10,000)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All parameter inputs and outputs for EBASE are shown in</w:t>
      </w:r>
      <w:r>
        <w:t xml:space="preserve"> </w:t>
      </w:r>
      <w:hyperlink w:anchor="tbl-ebaseiotab">
        <w:r>
          <w:rPr>
            <w:rStyle w:val="Hyperlink"/>
          </w:rPr>
          <w:t xml:space="preserve">Table 1</w:t>
        </w:r>
      </w:hyperlink>
      <w:r>
        <w:t xml:space="preserve">.</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w:t>
      </w:r>
    </w:p>
    <w:p>
      <w:pPr>
        <w:pStyle w:val="BodyText"/>
      </w:pPr>
      <w:r>
        <w:t xml:space="preserve">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synthesis based on NERRS data</w:t>
      </w:r>
      <w:r>
        <w:t xml:space="preserve"> </w:t>
      </w:r>
      <w:r>
        <w:t xml:space="preserve">(Table 2 in Caffrey 2004)</w:t>
      </w:r>
      <w:r>
        <w:t xml:space="preserve">. Although this synthesis 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w:t>
      </w:r>
    </w:p>
    <w:p>
      <w:pPr>
        <w:pStyle w:val="BodyText"/>
      </w:pPr>
      <w:r>
        <w:t xml:space="preserve">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standard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w:t>
      </w:r>
    </w:p>
    <w:p>
      <w:pPr>
        <w:pStyle w:val="BodyText"/>
      </w:pPr>
      <w:r>
        <w:t xml:space="preserve">Together,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fig-priorplot">
        <w:r>
          <w:rPr>
            <w:rStyle w:val="Hyperlink"/>
          </w:rPr>
          <w:t xml:space="preserve">Figure 1</w:t>
        </w:r>
      </w:hyperlink>
      <w:r>
        <w:t xml:space="preserve">) are:</w:t>
      </w:r>
    </w:p>
    <w:p>
      <w:pPr>
        <w:pStyle w:val="BodyText"/>
      </w:pPr>
      <w:bookmarkStart w:id="28"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Functions in the EBASE R package allow alternative prior distributions from those above.</w:t>
      </w:r>
    </w:p>
    <w:bookmarkEnd w:id="31"/>
    <w:bookmarkEnd w:id="32"/>
    <w:bookmarkStart w:id="39" w:name="assessment"/>
    <w:p>
      <w:pPr>
        <w:pStyle w:val="Heading2"/>
      </w:pPr>
      <w:r>
        <w:t xml:space="preserve">Assessment</w:t>
      </w:r>
    </w:p>
    <w:bookmarkStart w:id="37" w:name="sec-cmpmod"/>
    <w:p>
      <w:pPr>
        <w:pStyle w:val="Heading3"/>
      </w:pPr>
      <w:r>
        <w:t xml:space="preserve">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of dissolved oxygen concentration created from observed water temperature, salinity, air temperature,</w:t>
      </w:r>
      <w:r>
        <w:t xml:space="preserve"> </w:t>
      </w:r>
      <m:oMath>
        <m:r>
          <m:t>P</m:t>
        </m:r>
        <m:r>
          <m:t>A</m:t>
        </m:r>
        <m:r>
          <m:t>R</m:t>
        </m:r>
      </m:oMath>
      <w:r>
        <w:t xml:space="preserve">, and wind speed measured every 15 minutes. This assessment evaluated if (1) EBASE estimates similar values for the known parameters used to create the synthetic time series, and (2) how the estimated values change with different model configurations. The synthetic time series used inputs from one year (2021) of continuous data from the NERRS reserve in Apalachicola Bay, Florida</w:t>
      </w:r>
      <w:r>
        <w:t xml:space="preserve"> </w:t>
      </w:r>
      <w:r>
        <w:t xml:space="preserve">(NOAA NERRS 2023)</w:t>
      </w:r>
      <w:r>
        <w:t xml:space="preserve">. Water temperature and salinity were from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the meteorological observations were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Missing observations in the water and meteorological data (5.1% and 3.4% of all observations in each dataset, respectively) were filled using autoregressive modelling</w:t>
      </w:r>
      <w:r>
        <w:t xml:space="preserve"> </w:t>
      </w:r>
      <w:r>
        <w:t xml:space="preserve">(Akaike 1969)</w:t>
      </w:r>
      <w:r>
        <w:t xml:space="preserve"> </w:t>
      </w:r>
      <w:r>
        <w:t xml:space="preserve">of the actual data versus time to create a complete dataset from January 1st to December 31st.</w:t>
      </w:r>
    </w:p>
    <w:p>
      <w:pPr>
        <w:pStyle w:val="BodyText"/>
      </w:pPr>
      <w:r>
        <w:t xml:space="preserve">The synthetic oxygen time series was generated using</w:t>
      </w:r>
      <w:r>
        <w:t xml:space="preserve"> </w:t>
      </w:r>
      <w:hyperlink w:anchor="eq-ebase">
        <w:r>
          <w:rPr>
            <w:rStyle w:val="Hyperlink"/>
          </w:rPr>
          <w:t xml:space="preserve">Equation 1</w:t>
        </w:r>
      </w:hyperlink>
      <w:r>
        <w:t xml:space="preserve"> </w:t>
      </w:r>
      <w:r>
        <w:t xml:space="preserve">as a forward calculating model with specified daily values for</w:t>
      </w:r>
      <w:r>
        <w:t xml:space="preserve"> </w:t>
      </w:r>
      <m:oMath>
        <m:r>
          <m:t>a</m:t>
        </m:r>
      </m:oMath>
      <w:r>
        <w:t xml:space="preserve">,</w:t>
      </w:r>
      <w:r>
        <w:t xml:space="preserve"> </w:t>
      </w:r>
      <m:oMath>
        <m:r>
          <m:t>R</m:t>
        </m:r>
      </m:oMath>
      <w:r>
        <w:t xml:space="preserve">, and</w:t>
      </w:r>
      <w:r>
        <w:t xml:space="preserve"> </w:t>
      </w:r>
      <m:oMath>
        <m:r>
          <m:t>b</m:t>
        </m:r>
      </m:oMath>
      <w:r>
        <w:t xml:space="preserve">.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Daily values of</w:t>
      </w:r>
      <w:r>
        <w:t xml:space="preserve"> </w:t>
      </w:r>
      <m:oMath>
        <m:r>
          <m:t>a</m:t>
        </m:r>
      </m:oMath>
      <w:r>
        <w:t xml:space="preserve"> </w:t>
      </w:r>
      <w:r>
        <w:t xml:space="preserve">and</w:t>
      </w:r>
      <w:r>
        <w:t xml:space="preserve"> </w:t>
      </w:r>
      <m:oMath>
        <m:r>
          <m:t>R</m:t>
        </m:r>
      </m:oMath>
      <w:r>
        <w:t xml:space="preserve"> </w:t>
      </w:r>
      <w:r>
        <w:t xml:space="preserve">were estimated by (1) applying the Odum open-water method as implemented in the WtRegDO R package</w:t>
      </w:r>
      <w:r>
        <w:t xml:space="preserve"> </w:t>
      </w:r>
      <w:r>
        <w:t xml:space="preserve">(Beck 2023)</w:t>
      </w:r>
      <w:r>
        <w:t xml:space="preserve">, (2) computing monthly averages of the resulting daily estimates of</w:t>
      </w:r>
      <w:r>
        <w:t xml:space="preserve"> </w:t>
      </w:r>
      <m:oMath>
        <m:r>
          <m:t>P</m:t>
        </m:r>
      </m:oMath>
      <w:r>
        <w:t xml:space="preserve"> </w:t>
      </w:r>
      <w:r>
        <w:t xml:space="preserve">and</w:t>
      </w:r>
      <w:r>
        <w:t xml:space="preserve"> </w:t>
      </w:r>
      <m:oMath>
        <m:r>
          <m:t>R</m:t>
        </m:r>
      </m:oMath>
      <w:r>
        <w:t xml:space="preserve">, (3) computing the monthly average of the parameter</w:t>
      </w:r>
      <w:r>
        <w:t xml:space="preserve"> </w:t>
      </w:r>
      <m:oMath>
        <m:r>
          <m:t>a</m:t>
        </m:r>
      </m:oMath>
      <w:r>
        <w:t xml:space="preserve"> </w:t>
      </w:r>
      <w:r>
        <w:t xml:space="preserve">by dividing the monthly average of</w:t>
      </w:r>
      <w:r>
        <w:t xml:space="preserve"> </w:t>
      </w:r>
      <m:oMath>
        <m:r>
          <m:t>P</m:t>
        </m:r>
      </m:oMath>
      <w:r>
        <w:t xml:space="preserve"> </w:t>
      </w:r>
      <w:r>
        <w:t xml:space="preserve">by the monthly average of</w:t>
      </w:r>
      <w:r>
        <w:t xml:space="preserve"> </w:t>
      </w:r>
      <m:oMath>
        <m:r>
          <m:t>P</m:t>
        </m:r>
        <m:r>
          <m:t>A</m:t>
        </m:r>
        <m:r>
          <m:t>R</m:t>
        </m:r>
      </m:oMath>
      <w:r>
        <w:t xml:space="preserve">, and (4) by fitting a spline function to the monthly averages of</w:t>
      </w:r>
      <w:r>
        <w:t xml:space="preserve"> </w:t>
      </w:r>
      <m:oMath>
        <m:r>
          <m:t>R</m:t>
        </m:r>
      </m:oMath>
      <w:r>
        <w:t xml:space="preserve"> </w:t>
      </w:r>
      <w:r>
        <w:t xml:space="preserve">and</w:t>
      </w:r>
      <w:r>
        <w:t xml:space="preserve"> </w:t>
      </w:r>
      <m:oMath>
        <m:r>
          <m:t>a</m:t>
        </m:r>
      </m:oMath>
      <w:r>
        <w:t xml:space="preserve">.</w:t>
      </w:r>
    </w:p>
    <w:p>
      <w:pPr>
        <w:pStyle w:val="BodyText"/>
      </w:pPr>
      <w:r>
        <w:t xml:space="preserve">The resulting synthetic time series of light efficiency, dissolved oxygen budget terms (</w:t>
      </w:r>
      <m:oMath>
        <m:r>
          <m:t>P</m:t>
        </m:r>
      </m:oMath>
      <w:r>
        <w:t xml:space="preserve">,</w:t>
      </w:r>
      <w:r>
        <w:t xml:space="preserve"> </w:t>
      </w:r>
      <m:oMath>
        <m:r>
          <m:t>D</m:t>
        </m:r>
      </m:oMath>
      <w:r>
        <w:t xml:space="preserve">, and</w:t>
      </w:r>
      <w:r>
        <w:t xml:space="preserve"> </w:t>
      </w:r>
      <m:oMath>
        <m:r>
          <m:t>R</m:t>
        </m:r>
      </m:oMath>
      <w:r>
        <w:t xml:space="preserve">), and dissolved oxygen concentration are shown in</w:t>
      </w:r>
      <w:r>
        <w:t xml:space="preserve"> </w:t>
      </w:r>
      <w:hyperlink w:anchor="fig-synapa">
        <w:r>
          <w:rPr>
            <w:rStyle w:val="Hyperlink"/>
          </w:rPr>
          <w:t xml:space="preserve">Figure 2</w:t>
        </w:r>
      </w:hyperlink>
      <w:r>
        <w:t xml:space="preserve">. The light efficiency has a complex structure, with maxima in the summer, fall, and winter, and a strong minimum in spring (Figure</w:t>
      </w:r>
      <w:r>
        <w:t xml:space="preserve"> </w:t>
      </w:r>
      <w:hyperlink w:anchor="fig-synapa">
        <w:r>
          <w:rPr>
            <w:rStyle w:val="Hyperlink"/>
          </w:rPr>
          <w:t xml:space="preserve">2</w:t>
        </w:r>
      </w:hyperlink>
      <w:r>
        <w:t xml:space="preserve">a). The oxygen budget terms (Figure</w:t>
      </w:r>
      <w:r>
        <w:t xml:space="preserve"> </w:t>
      </w:r>
      <w:hyperlink w:anchor="fig-synapa">
        <w:r>
          <w:rPr>
            <w:rStyle w:val="Hyperlink"/>
          </w:rPr>
          <w:t xml:space="preserve">2</w:t>
        </w:r>
      </w:hyperlink>
      <w:r>
        <w:t xml:space="preserve">b) reveal that (1) photosynthesis has a structure similar to, yet noisier than, that of light efficiency, reflecting the synoptic-scale variability of</w:t>
      </w:r>
      <w:r>
        <w:t xml:space="preserve"> </w:t>
      </w:r>
      <m:oMath>
        <m:r>
          <m:t>P</m:t>
        </m:r>
        <m:r>
          <m:t>A</m:t>
        </m:r>
        <m:r>
          <m:t>R</m:t>
        </m:r>
      </m:oMath>
      <w:r>
        <w:t xml:space="preserve">; (2) respiration has the expected structure of being greatest during the summer</w:t>
      </w:r>
      <w:r>
        <w:t xml:space="preserve"> </w:t>
      </w:r>
      <w:r>
        <w:t xml:space="preserve">(Caffrey 2004)</w:t>
      </w:r>
      <w:r>
        <w:t xml:space="preserve">, stimulated by greater autochthonous organic matter availability and high temperature; and (3) the air–water gas flux mimic productivity on short time scales, with ingassing during high productivity and outgassing during low productivity. The synthetic dissolved oxygen time series shows high variability at multiple time scales (Figure</w:t>
      </w:r>
      <w:r>
        <w:t xml:space="preserve"> </w:t>
      </w:r>
      <w:hyperlink w:anchor="fig-synapa">
        <w:r>
          <w:rPr>
            <w:rStyle w:val="Hyperlink"/>
          </w:rPr>
          <w:t xml:space="preserve">2</w:t>
        </w:r>
      </w:hyperlink>
      <w:r>
        <w:t xml:space="preserve">c). There is a prominent diurnal cycle that is superimposed on subseasonal variability, presumably driven by radiation and winds.</w:t>
      </w:r>
    </w:p>
    <w:bookmarkStart w:id="33" w:name="recovery-of-model-parameters"/>
    <w:p>
      <w:pPr>
        <w:pStyle w:val="Heading4"/>
      </w:pPr>
      <w:r>
        <w:t xml:space="preserve">Recovery of model parameters</w:t>
      </w:r>
    </w:p>
    <w:p>
      <w:pPr>
        <w:pStyle w:val="FirstParagraph"/>
      </w:pPr>
      <w:r>
        <w:t xml:space="preserve">The synthetic time series was used as input to EBASE to predict metabolic parameters with the default prior distributions above. Two optimization periods of 7 and 30 days were evaluated. This analysis provided a demonstration that the default priors are not entirely unreasonable based on the ability to reproduce the known parameters in the synthetic time series (</w:t>
      </w:r>
      <w:hyperlink w:anchor="fig-defplo">
        <w:r>
          <w:rPr>
            <w:rStyle w:val="Hyperlink"/>
          </w:rPr>
          <w:t xml:space="preserve">Figure 3</w:t>
        </w:r>
      </w:hyperlink>
      <w:r>
        <w:t xml:space="preserve">). Overall, EBASE produced reasonable results for</w:t>
      </w:r>
      <w:r>
        <w:t xml:space="preserve"> </w:t>
      </w:r>
      <m:oMath>
        <m:r>
          <m:t>a</m:t>
        </m:r>
      </m:oMath>
      <w:r>
        <w:t xml:space="preserve"> </w:t>
      </w:r>
      <w:r>
        <w:t xml:space="preserve">and</w:t>
      </w:r>
      <w:r>
        <w:t xml:space="preserve"> </w:t>
      </w:r>
      <m:oMath>
        <m:r>
          <m:t>R</m:t>
        </m:r>
      </m:oMath>
      <w:r>
        <w:t xml:space="preserve">, with higher accuracy using the 30 day optimization period (Figure</w:t>
      </w:r>
      <w:r>
        <w:t xml:space="preserve"> </w:t>
      </w:r>
      <w:hyperlink w:anchor="fig-defplo">
        <w:r>
          <w:rPr>
            <w:rStyle w:val="Hyperlink"/>
          </w:rPr>
          <w:t xml:space="preserve">3</w:t>
        </w:r>
      </w:hyperlink>
      <w:r>
        <w:t xml:space="preserve">b) compared to the 7 day optimization period (Figure</w:t>
      </w:r>
      <w:r>
        <w:t xml:space="preserve"> </w:t>
      </w:r>
      <w:hyperlink w:anchor="fig-defplo">
        <w:r>
          <w:rPr>
            <w:rStyle w:val="Hyperlink"/>
          </w:rPr>
          <w:t xml:space="preserve">3</w:t>
        </w:r>
      </w:hyperlink>
      <w:r>
        <w:t xml:space="preserve">a). However, the model was unable to return the</w:t>
      </w:r>
      <w:r>
        <w:t xml:space="preserve"> </w:t>
      </w:r>
      <m:oMath>
        <m:r>
          <m:t>b</m:t>
        </m:r>
      </m:oMath>
      <w:r>
        <w:t xml:space="preserve"> </w:t>
      </w:r>
      <w:r>
        <w:t xml:space="preserve">parameter with acceptable accuracy, suggesting the data were insufficient to constrain this parameter. Further, many of the 95% credible intervals from the posterior distributions of each parameter did not overlap the known values from the synthetic time series. Estimates for each optimization period may be inaccurate despite overall similarities comparing all estimates to the known values for the whole year.</w:t>
      </w:r>
    </w:p>
    <w:bookmarkEnd w:id="33"/>
    <w:bookmarkStart w:id="35" w:name="sensitivity-to-priors"/>
    <w:p>
      <w:pPr>
        <w:pStyle w:val="Heading4"/>
      </w:pPr>
      <w:r>
        <w:t xml:space="preserve">Sensitivity to priors</w:t>
      </w:r>
    </w:p>
    <w:p>
      <w:pPr>
        <w:pStyle w:val="FirstParagraph"/>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 metabolic parameters.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biogeochemical variation occurs at time scales less than the optimization period. Results from optimization periods of 1, 7, and 30 days were compared to the synthetic one-year time series ($b$ was fixed for the sensitivity analysis) based on daily averages for both the synthetic and EBASE results. For the latter, parameters that are only returned as individual values for each optimization period ($a$, $R$, and $b$) were assigned as daily values for comparability of summary statistics where $n$ is the same across analyses. For the models with 7 and 30 day optimization periods, the final period in the annual time series was excluded from the results due to incomplete number of observations compared to earlier periods (i.e., the total number of days in the time series was not evenly divided by 7 or 30, resulting in a remainder for the last period).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4</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4</w:t>
        </w:r>
      </w:hyperlink>
      <w:r>
        <w:t xml:space="preserve"> </w:t>
      </w:r>
      <w:r>
        <w:t xml:space="preserve">following the patterns of the NSE values. Overall, most models regardless of optimization period or priors were able to show some skill at reproducing the dissolved oxygen time series, which had a median NSE across all optimization periods and priors of 0.91.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for the wrong reasons. After dissolved oxygen, gas exchange (</w:t>
      </w:r>
      <m:oMath>
        <m:r>
          <m:t>D</m:t>
        </m:r>
      </m:oMath>
      <w:r>
        <w:t xml:space="preserve">) was estimated with the highest median NSE of 0.73. This result makes sense, given that differences in</w:t>
      </w:r>
      <w:r>
        <w:t xml:space="preserve"> </w:t>
      </w:r>
      <m:oMath>
        <m:r>
          <m:t>D</m:t>
        </m:r>
      </m:oMath>
      <w:r>
        <w:t xml:space="preserve"> </w:t>
      </w:r>
      <w:r>
        <w:t xml:space="preserve">across all optimization periods and priors are due solely to difference in</w:t>
      </w:r>
      <w:r>
        <w:t xml:space="preserve"> </w:t>
      </w:r>
      <m:oMath>
        <m:r>
          <m:t>D</m:t>
        </m:r>
        <m:r>
          <m:t>O</m:t>
        </m:r>
      </m:oMath>
      <w:r>
        <w:t xml:space="preserve">. Conversely, the</w:t>
      </w:r>
      <w:r>
        <w:t xml:space="preserve"> </w:t>
      </w:r>
      <m:oMath>
        <m:r>
          <m:t>a</m:t>
        </m:r>
      </m:oMath>
      <w:r>
        <w:t xml:space="preserve"> </w:t>
      </w:r>
      <w:r>
        <w:t xml:space="preserve">parameter was reproduced the most poorly, with a median NSE of -0.75.</w:t>
      </w:r>
    </w:p>
    <w:p>
      <w:pPr>
        <w:pStyle w:val="BodyText"/>
      </w:pPr>
      <w:r>
        <w:t xml:space="preserve">By optimization period, median NSE values across all model outputs increased as the number of days used for model optimization increased (1 day = -2.42, 7 days = 0.26, 30 days = 0.6). The top three ranked models were identical for the 1 and 7 day optimization period, whereas the top three models for the 30 day optimization appeared less dependent on the choice of priors. Median NSE values across model outputs for the top models increased with optimization period (1 day = 0.09, 7 days = 0.44, 30 days = 0.64).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Less than half of the model outputs regardless of optimization period or priors had NSE &lt; 0 (43%).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combination of priors did not have a notable effect on the output for the 30 day optimization period. Notably, many of the top models for the shorter optimization periods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4</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models for the 1 and 7 day optimization periods (</w:t>
      </w:r>
      <w:hyperlink w:anchor="fig-optex">
        <w:r>
          <w:rPr>
            <w:rStyle w:val="Hyperlink"/>
          </w:rPr>
          <w:t xml:space="preserve">Figure 5</w:t>
        </w:r>
      </w:hyperlink>
      <w:r>
        <w:t xml:space="preserve"> </w:t>
      </w:r>
      <w:r>
        <w:t xml:space="preserve">b, d) demonstrate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and (d).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resutls for the worst model for the 30 day optimization period in subplot (f) are visually indistinguishable from those of the best model in subplot (e), suggesting that poor estimates from inadequate priors can in part be mitigated using longer optimization periods.</w:t>
      </w:r>
    </w:p>
    <w:bookmarkEnd w:id="35"/>
    <w:bookmarkStart w:id="36" w:name="impact-of-noise-on-parameter-recovery"/>
    <w:p>
      <w:pPr>
        <w:pStyle w:val="Heading4"/>
      </w:pPr>
      <w:r>
        <w:t xml:space="preserve">Impact of noise on parameter recovery</w:t>
      </w:r>
    </w:p>
    <w:p>
      <w:pPr>
        <w:pStyle w:val="FirstParagraph"/>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2023)</w:t>
      </w:r>
      <w:r>
        <w:t xml:space="preserve"> </w:t>
      </w:r>
      <w:r>
        <w:t xml:space="preserve">on observed dissolved oxygen time series for Apalachicola Bay in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where the detided results are simply the predictions at average tidal height</w:t>
      </w:r>
      <w:r>
        <w:t xml:space="preserve"> </w:t>
      </w:r>
      <w:r>
        <w:t xml:space="preserve">(see Beck et al. 2015 for details)</w:t>
      </w:r>
      <w:r>
        <w:t xml:space="preserve">. This method was only applied to dissolved oxygen since it has not been evaluated with any other parameters. Two separate time series of noise, representing residual (any other random process not related to metabolism or tidal advection) or tidal noise, were derived from the observed, predicted and detided time series. The residual noise was estimated as the difference between the observed and predicted time series and the tidal noise was estimated as the difference between the predicted and detided time series (Figure</w:t>
      </w:r>
      <w:r>
        <w:t xml:space="preserve"> </w:t>
      </w:r>
      <w:hyperlink w:anchor="fig-synapanos">
        <w:r>
          <w:rPr>
            <w:rStyle w:val="Hyperlink"/>
          </w:rPr>
          <w:t xml:space="preserve">6</w:t>
        </w:r>
      </w:hyperlink>
      <w:r>
        <w:t xml:space="preserve">a). Both the residual and tidal noise were added to the original synthetic time series in Figure</w:t>
      </w:r>
      <w:r>
        <w:t xml:space="preserve"> </w:t>
      </w:r>
      <w:hyperlink w:anchor="fig-synapa">
        <w:r>
          <w:rPr>
            <w:rStyle w:val="Hyperlink"/>
          </w:rPr>
          <w:t xml:space="preserve">2</w:t>
        </w:r>
      </w:hyperlink>
      <w:r>
        <w:t xml:space="preserve">c and are shown in Figure</w:t>
      </w:r>
      <w:r>
        <w:t xml:space="preserve"> </w:t>
      </w:r>
      <w:hyperlink w:anchor="fig-synapanos">
        <w:r>
          <w:rPr>
            <w:rStyle w:val="Hyperlink"/>
          </w:rPr>
          <w:t xml:space="preserve">6</w:t>
        </w:r>
      </w:hyperlink>
      <w:r>
        <w:t xml:space="preserve">b. EBASE was then used on the synthetic time series with noise, then compared with results from the original synthetic time series. The default priors (Equations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6"/>
    <w:bookmarkEnd w:id="37"/>
    <w:bookmarkStart w:id="38" w:name="X2cfd02a390bdd6385ba26b1997caf190dc3e2eb"/>
    <w:p>
      <w:pPr>
        <w:pStyle w:val="Heading3"/>
      </w:pPr>
      <w:r>
        <w:t xml:space="preserve">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2023)</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2023)</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Similar to the previous analyses, the prior distribution for the</w:t>
      </w:r>
      <w:r>
        <w:t xml:space="preserve"> </w:t>
      </w:r>
      <m:oMath>
        <m:r>
          <m:t>b</m:t>
        </m:r>
      </m:oMath>
      <w:r>
        <w:t xml:space="preserve"> </w:t>
      </w:r>
      <w:r>
        <w:t xml:space="preserve">parameter was fixed given the difficulty in recovery.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8"/>
    <w:bookmarkEnd w:id="39"/>
    <w:bookmarkStart w:id="40" w:name="discussion"/>
    <w:p>
      <w:pPr>
        <w:pStyle w:val="Heading2"/>
      </w:pPr>
      <w:r>
        <w:t xml:space="preserve">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Such an approach would have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As described in the materials and procedures section, EBASE is an estuarine adaptation of BASE</w:t>
      </w:r>
      <w:r>
        <w:t xml:space="preserve"> </w:t>
      </w:r>
      <w:r>
        <w:t xml:space="preserve">(Grace et al. 2015)</w:t>
      </w:r>
      <w:r>
        <w:t xml:space="preserve">, which was developed for stream applications and some assumptions of the underlying model of the latter were inappropriate for the former. The most critical change made to BASE was adopting the gas transfer velocity parameterization in</w:t>
      </w:r>
      <w:r>
        <w:t xml:space="preserve"> </w:t>
      </w:r>
      <w:r>
        <w:t xml:space="preserve">Wanninkhof (2014)</w:t>
      </w:r>
      <w:r>
        <w:t xml:space="preserve">, which is primarily wind-based and more appropriate than the depth-dependent formulation in BASE. EBASE also removed the temperature dependency of respiration,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 Further, EBASE could be applied to other non-tidal, lotic systems, although additional comparisons with existing methods are needed and the default uninformed prior distributions should be chosen carefully given the justification herein based primarily on estuarine literature</w:t>
      </w:r>
      <w:r>
        <w:t xml:space="preserve"> </w:t>
      </w:r>
      <w:r>
        <w:t xml:space="preserve">(e.g., Caffrey 2004)</w:t>
      </w:r>
      <w:r>
        <w:t xml:space="preserve">.</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periods, whereas BASE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systems.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 These hypotheses may also consider frequency of continuous monitoring (e.g., 15 minute vs hourly) and how this may influence the results, as this is currently unknown for EBASE.</w:t>
      </w:r>
    </w:p>
    <w:p>
      <w:pPr>
        <w:pStyle w:val="BodyText"/>
      </w:pPr>
      <w:r>
        <w:t xml:space="preserve">The EBASE R package can also accommodate missing observations in the input data. This feature allows the estimation of metabolic rates for time series that cover relatively long periods of time (e.g., more than year), when data gaps are likely to occur for several reasons (e.g., equipment malfunction and routine maintenance). The R package accommodates data gaps using linear interpolation for any required input used by EBASE, allowing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 More conservative gaps can be chosen if, for example, semidiurnal tidal signals operating at time scales less than 12 hours are expected to influence the results. However, detiding is strongly encouraged in these cases and the default gap size of 12 hours that describes the diurnal oxygen signal is likely appropriate after detiding.</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40"/>
    <w:bookmarkStart w:id="41" w:name="comments-and-recommendations"/>
    <w:p>
      <w:pPr>
        <w:pStyle w:val="Heading2"/>
      </w:pPr>
      <w:r>
        <w:t xml:space="preserve">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constrain the gas transfer velocity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1"/>
    <w:bookmarkStart w:id="137" w:name="references"/>
    <w:p>
      <w:pPr>
        <w:pStyle w:val="Heading2"/>
      </w:pPr>
      <w:r>
        <w:t xml:space="preserve">References</w:t>
      </w:r>
    </w:p>
    <w:bookmarkStart w:id="136" w:name="refs"/>
    <w:bookmarkStart w:id="43" w:name="ref-akaike1969"/>
    <w:p>
      <w:pPr>
        <w:pStyle w:val="Bibliography"/>
      </w:pPr>
      <w:r>
        <w:t xml:space="preserve">Akaike, H. 1969. Fitting autoregressive models for prediction. Annals of the Institute of Statistical Mathematics</w:t>
      </w:r>
      <w:r>
        <w:t xml:space="preserve"> </w:t>
      </w:r>
      <w:r>
        <w:rPr>
          <w:bCs/>
          <w:b/>
        </w:rPr>
        <w:t xml:space="preserve">21</w:t>
      </w:r>
      <w:r>
        <w:t xml:space="preserve">: 243–247. doi:</w:t>
      </w:r>
      <w:hyperlink r:id="rId42">
        <w:r>
          <w:rPr>
            <w:rStyle w:val="Hyperlink"/>
          </w:rPr>
          <w:t xml:space="preserve">10.1007/bf02532251</w:t>
        </w:r>
      </w:hyperlink>
    </w:p>
    <w:bookmarkEnd w:id="43"/>
    <w:bookmarkStart w:id="44" w:name="ref-Beck23a"/>
    <w:p>
      <w:pPr>
        <w:pStyle w:val="Bibliography"/>
      </w:pPr>
      <w:r>
        <w:t xml:space="preserve">Beck, M. W. 2023. WtRegDO: Implement weighted regression on dissolved oxygen time series,.</w:t>
      </w:r>
    </w:p>
    <w:bookmarkEnd w:id="44"/>
    <w:bookmarkStart w:id="46"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45">
        <w:r>
          <w:rPr>
            <w:rStyle w:val="Hyperlink"/>
          </w:rPr>
          <w:t xml:space="preserve">10.1002/lom3.10062</w:t>
        </w:r>
      </w:hyperlink>
    </w:p>
    <w:bookmarkEnd w:id="46"/>
    <w:bookmarkStart w:id="47"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47"/>
    <w:bookmarkStart w:id="49" w:name="ref-berg2022"/>
    <w:p>
      <w:pPr>
        <w:pStyle w:val="Bibliography"/>
      </w:pPr>
      <w:r>
        <w:t xml:space="preserve">Berg, P., M. Huettel, R. N. Glud, C. E. Reimers, and K. M. Attard. 2022.</w:t>
      </w:r>
      <w:r>
        <w:t xml:space="preserve"> </w:t>
      </w:r>
      <w:r>
        <w:t xml:space="preserve">A</w:t>
      </w:r>
      <w:r>
        <w:t xml:space="preserve">quatic</w:t>
      </w:r>
      <w:r>
        <w:t xml:space="preserve"> </w:t>
      </w:r>
      <w:r>
        <w:t xml:space="preserve">E</w:t>
      </w:r>
      <w:r>
        <w:t xml:space="preserve">ddy</w:t>
      </w:r>
      <w:r>
        <w:t xml:space="preserve"> </w:t>
      </w:r>
      <w:r>
        <w:t xml:space="preserve">C</w:t>
      </w:r>
      <w:r>
        <w:t xml:space="preserve">ovariance: The Method and Its Contributions to Defining Oxygen and Carbon Fluxes in Marine Environments. Annual Review of Marine Science</w:t>
      </w:r>
      <w:r>
        <w:t xml:space="preserve"> </w:t>
      </w:r>
      <w:r>
        <w:rPr>
          <w:bCs/>
          <w:b/>
        </w:rPr>
        <w:t xml:space="preserve">14</w:t>
      </w:r>
      <w:r>
        <w:t xml:space="preserve">: 431–455. doi:</w:t>
      </w:r>
      <w:hyperlink r:id="rId48">
        <w:r>
          <w:rPr>
            <w:rStyle w:val="Hyperlink"/>
          </w:rPr>
          <w:t xml:space="preserve">10.1146/annurev-marine-042121-012329</w:t>
        </w:r>
      </w:hyperlink>
    </w:p>
    <w:bookmarkEnd w:id="49"/>
    <w:bookmarkStart w:id="51" w:name="ref-Borges11"/>
    <w:p>
      <w:pPr>
        <w:pStyle w:val="Bibliography"/>
      </w:pPr>
      <w:r>
        <w:t xml:space="preserve">Borges, A. V., and G. Abril. 2011.</w:t>
      </w:r>
      <w:r>
        <w:t xml:space="preserve"> </w:t>
      </w:r>
      <w:hyperlink r:id="rId50">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51"/>
    <w:bookmarkStart w:id="53"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52">
        <w:r>
          <w:rPr>
            <w:rStyle w:val="Hyperlink"/>
          </w:rPr>
          <w:t xml:space="preserve">10.1016/s0304-3800(01)00328-3</w:t>
        </w:r>
      </w:hyperlink>
    </w:p>
    <w:bookmarkEnd w:id="53"/>
    <w:bookmarkStart w:id="55"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54">
        <w:r>
          <w:rPr>
            <w:rStyle w:val="Hyperlink"/>
          </w:rPr>
          <w:t xml:space="preserve">10.1038/s41598-017-05031-7</w:t>
        </w:r>
      </w:hyperlink>
    </w:p>
    <w:bookmarkEnd w:id="55"/>
    <w:bookmarkStart w:id="57" w:name="ref-caffrey2003"/>
    <w:p>
      <w:pPr>
        <w:pStyle w:val="Bibliography"/>
      </w:pPr>
      <w:r>
        <w:t xml:space="preserve">Caffrey, J. M. 2003.</w:t>
      </w:r>
      <w:r>
        <w:t xml:space="preserve"> </w:t>
      </w:r>
      <w:hyperlink r:id="rId56">
        <w:r>
          <w:rPr>
            <w:rStyle w:val="Hyperlink"/>
          </w:rPr>
          <w:t xml:space="preserve">Production, respiration and net ecosystem metabolism in</w:t>
        </w:r>
        <w:r>
          <w:rPr>
            <w:rStyle w:val="Hyperlink"/>
          </w:rPr>
          <w:t xml:space="preserve"> </w:t>
        </w:r>
        <w:r>
          <w:rPr>
            <w:rStyle w:val="Hyperlink"/>
          </w:rPr>
          <w:t xml:space="preserve">U.S.</w:t>
        </w:r>
        <w:r>
          <w:rPr>
            <w:rStyle w:val="Hyperlink"/>
          </w:rPr>
          <w:t xml:space="preserve"> </w:t>
        </w:r>
        <w:r>
          <w:rPr>
            <w:rStyle w:val="Hyperlink"/>
          </w:rPr>
          <w:t xml:space="preserve">estuaries</w:t>
        </w:r>
      </w:hyperlink>
      <w:r>
        <w:t xml:space="preserve">, p. 207–219.</w:t>
      </w:r>
      <w:r>
        <w:t xml:space="preserve"> </w:t>
      </w:r>
      <w:r>
        <w:rPr>
          <w:iCs/>
          <w:i/>
        </w:rPr>
        <w:t xml:space="preserve">In</w:t>
      </w:r>
      <w:r>
        <w:t xml:space="preserve"> </w:t>
      </w:r>
      <w:r>
        <w:t xml:space="preserve">B.D. Melzian, V. Engle, M. McAlister, S. Sandhu, and L.K. Eads [eds.], Coastal monitoring through partnerships. Springer Netherlands.</w:t>
      </w:r>
    </w:p>
    <w:bookmarkEnd w:id="57"/>
    <w:bookmarkStart w:id="59"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58">
        <w:r>
          <w:rPr>
            <w:rStyle w:val="Hyperlink"/>
          </w:rPr>
          <w:t xml:space="preserve">10.1007/bf02803563</w:t>
        </w:r>
      </w:hyperlink>
    </w:p>
    <w:bookmarkEnd w:id="59"/>
    <w:bookmarkStart w:id="61"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60">
        <w:r>
          <w:rPr>
            <w:rStyle w:val="Hyperlink"/>
          </w:rPr>
          <w:t xml:space="preserve">10.1146/annurev-marine-120709-142723</w:t>
        </w:r>
      </w:hyperlink>
    </w:p>
    <w:bookmarkEnd w:id="61"/>
    <w:bookmarkStart w:id="63"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62">
        <w:r>
          <w:rPr>
            <w:rStyle w:val="Hyperlink"/>
          </w:rPr>
          <w:t xml:space="preserve">10.1016/j.ecolmodel.2007.10.025</w:t>
        </w:r>
      </w:hyperlink>
    </w:p>
    <w:bookmarkEnd w:id="63"/>
    <w:bookmarkStart w:id="65"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64">
        <w:r>
          <w:rPr>
            <w:rStyle w:val="Hyperlink"/>
          </w:rPr>
          <w:t xml:space="preserve">10.5194/bg-11-2477-2014</w:t>
        </w:r>
      </w:hyperlink>
    </w:p>
    <w:bookmarkEnd w:id="65"/>
    <w:bookmarkStart w:id="67"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66">
        <w:r>
          <w:rPr>
            <w:rStyle w:val="Hyperlink"/>
          </w:rPr>
          <w:t xml:space="preserve">10.1029/2007jc004663</w:t>
        </w:r>
      </w:hyperlink>
    </w:p>
    <w:bookmarkEnd w:id="67"/>
    <w:bookmarkStart w:id="69" w:name="ref-frew1997"/>
    <w:p>
      <w:pPr>
        <w:pStyle w:val="Bibliography"/>
      </w:pPr>
      <w:r>
        <w:t xml:space="preserve">Frew, N. M. 1997.</w:t>
      </w:r>
      <w:r>
        <w:t xml:space="preserve"> </w:t>
      </w:r>
      <w:hyperlink r:id="rId68">
        <w:r>
          <w:rPr>
            <w:rStyle w:val="Hyperlink"/>
          </w:rPr>
          <w:t xml:space="preserve">The role of organic films in air-sea gas exchange</w:t>
        </w:r>
      </w:hyperlink>
      <w:r>
        <w:t xml:space="preserve">, p. 121–172.</w:t>
      </w:r>
      <w:r>
        <w:t xml:space="preserve"> </w:t>
      </w:r>
      <w:r>
        <w:rPr>
          <w:iCs/>
          <w:i/>
        </w:rPr>
        <w:t xml:space="preserve">In</w:t>
      </w:r>
      <w:r>
        <w:t xml:space="preserve"> </w:t>
      </w:r>
      <w:r>
        <w:t xml:space="preserve">P.S. Liss and R.A. Duce [eds.], The sea surface and global change. Cambridge University Press.</w:t>
      </w:r>
    </w:p>
    <w:bookmarkEnd w:id="69"/>
    <w:bookmarkStart w:id="71"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0">
        <w:r>
          <w:rPr>
            <w:rStyle w:val="Hyperlink"/>
          </w:rPr>
          <w:t xml:space="preserve">10.4319/lo.1992.37.6.1307</w:t>
        </w:r>
      </w:hyperlink>
    </w:p>
    <w:bookmarkEnd w:id="71"/>
    <w:bookmarkStart w:id="73"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72">
        <w:r>
          <w:rPr>
            <w:rStyle w:val="Hyperlink"/>
          </w:rPr>
          <w:t xml:space="preserve">10.3354/meps301023</w:t>
        </w:r>
      </w:hyperlink>
    </w:p>
    <w:bookmarkEnd w:id="73"/>
    <w:bookmarkStart w:id="75"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BASE</w:t>
      </w:r>
      <w:r>
        <w:t xml:space="preserve"> </w:t>
      </w:r>
      <w:r>
        <w:t xml:space="preserve">(</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4">
        <w:r>
          <w:rPr>
            <w:rStyle w:val="Hyperlink"/>
          </w:rPr>
          <w:t xml:space="preserve">10.1002/lom3.10011</w:t>
        </w:r>
      </w:hyperlink>
    </w:p>
    <w:bookmarkEnd w:id="75"/>
    <w:bookmarkStart w:id="76" w:name="ref-Hilborn13"/>
    <w:p>
      <w:pPr>
        <w:pStyle w:val="Bibliography"/>
      </w:pPr>
      <w:r>
        <w:t xml:space="preserve">Hilborn, R., and M. Mangel. 2013. The ecological detective: Confronting models with data, Princeton University Press.</w:t>
      </w:r>
    </w:p>
    <w:bookmarkEnd w:id="76"/>
    <w:bookmarkStart w:id="78"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7">
        <w:r>
          <w:rPr>
            <w:rStyle w:val="Hyperlink"/>
          </w:rPr>
          <w:t xml:space="preserve">10.1002/2016GL068727</w:t>
        </w:r>
      </w:hyperlink>
    </w:p>
    <w:bookmarkEnd w:id="78"/>
    <w:bookmarkStart w:id="80"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79">
        <w:r>
          <w:rPr>
            <w:rStyle w:val="Hyperlink"/>
          </w:rPr>
          <w:t xml:space="preserve">10.4319/lo.2013.58.6.2089</w:t>
        </w:r>
      </w:hyperlink>
    </w:p>
    <w:bookmarkEnd w:id="80"/>
    <w:bookmarkStart w:id="82"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1">
        <w:r>
          <w:rPr>
            <w:rStyle w:val="Hyperlink"/>
          </w:rPr>
          <w:t xml:space="preserve">10.4319/lo.2010.55.3.1047</w:t>
        </w:r>
      </w:hyperlink>
    </w:p>
    <w:bookmarkEnd w:id="82"/>
    <w:bookmarkStart w:id="84" w:name="ref-hopkinson2005"/>
    <w:p>
      <w:pPr>
        <w:pStyle w:val="Bibliography"/>
      </w:pPr>
      <w:r>
        <w:t xml:space="preserve">Hopkinson, C. S., and E. M. Smith. 2005.</w:t>
      </w:r>
      <w:r>
        <w:t xml:space="preserve"> </w:t>
      </w:r>
      <w:hyperlink r:id="rId83">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P. Del Giorgio and P. Williams [eds.], Respiration in aquatic ecosystems. Oxford University Press.</w:t>
      </w:r>
    </w:p>
    <w:bookmarkEnd w:id="84"/>
    <w:bookmarkStart w:id="86"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85">
        <w:r>
          <w:rPr>
            <w:rStyle w:val="Hyperlink"/>
          </w:rPr>
          <w:t xml:space="preserve">10.1016/j.marchem.2005.03.008</w:t>
        </w:r>
      </w:hyperlink>
    </w:p>
    <w:bookmarkEnd w:id="86"/>
    <w:bookmarkStart w:id="88"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87">
        <w:r>
          <w:rPr>
            <w:rStyle w:val="Hyperlink"/>
          </w:rPr>
          <w:t xml:space="preserve">10.1016/j.agrformet.2003.10.001</w:t>
        </w:r>
      </w:hyperlink>
    </w:p>
    <w:bookmarkEnd w:id="88"/>
    <w:bookmarkStart w:id="90"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89">
        <w:r>
          <w:rPr>
            <w:rStyle w:val="Hyperlink"/>
          </w:rPr>
          <w:t xml:space="preserve">10.1016/s0302-3524(80)80065-x</w:t>
        </w:r>
      </w:hyperlink>
    </w:p>
    <w:bookmarkEnd w:id="90"/>
    <w:bookmarkStart w:id="92" w:name="ref-kemp2011"/>
    <w:p>
      <w:pPr>
        <w:pStyle w:val="Bibliography"/>
      </w:pPr>
      <w:r>
        <w:t xml:space="preserve">Kemp, W. M., and J. M. Testa. 2011.</w:t>
      </w:r>
      <w:r>
        <w:t xml:space="preserve"> </w:t>
      </w:r>
      <w:hyperlink r:id="rId91">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 Wolanski and D. McLusky [eds.], Treatise on estuarine and coastal science. Elsevier.</w:t>
      </w:r>
    </w:p>
    <w:bookmarkEnd w:id="92"/>
    <w:bookmarkStart w:id="94"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93">
        <w:r>
          <w:rPr>
            <w:rStyle w:val="Hyperlink"/>
          </w:rPr>
          <w:t xml:space="preserve">10.1175/1520-0477(1997)078&lt;0197:eagmeb&gt;2.0.co;2</w:t>
        </w:r>
      </w:hyperlink>
    </w:p>
    <w:bookmarkEnd w:id="94"/>
    <w:bookmarkStart w:id="96" w:name="ref-middelburg2007"/>
    <w:p>
      <w:pPr>
        <w:pStyle w:val="Bibliography"/>
      </w:pPr>
      <w:r>
        <w:t xml:space="preserve">Middelburg, J. J., and P. M. J. Herman. 2007. Organic matter processing in tidal estuaries. Marine Chemistry</w:t>
      </w:r>
      <w:r>
        <w:t xml:space="preserve"> </w:t>
      </w:r>
      <w:r>
        <w:rPr>
          <w:bCs/>
          <w:b/>
        </w:rPr>
        <w:t xml:space="preserve">106</w:t>
      </w:r>
      <w:r>
        <w:t xml:space="preserve">: 127–147. doi:</w:t>
      </w:r>
      <w:hyperlink r:id="rId95">
        <w:r>
          <w:rPr>
            <w:rStyle w:val="Hyperlink"/>
          </w:rPr>
          <w:t xml:space="preserve">10.1016/j.marchem.2006.02.007</w:t>
        </w:r>
      </w:hyperlink>
    </w:p>
    <w:bookmarkEnd w:id="96"/>
    <w:bookmarkStart w:id="98"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97">
        <w:r>
          <w:rPr>
            <w:rStyle w:val="Hyperlink"/>
          </w:rPr>
          <w:t xml:space="preserve">10.13031/2013.23153</w:t>
        </w:r>
      </w:hyperlink>
    </w:p>
    <w:bookmarkEnd w:id="98"/>
    <w:bookmarkStart w:id="100"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99">
        <w:r>
          <w:rPr>
            <w:rStyle w:val="Hyperlink"/>
          </w:rPr>
          <w:t xml:space="preserve">10.1007/s12237-017-0328-9</w:t>
        </w:r>
      </w:hyperlink>
    </w:p>
    <w:bookmarkEnd w:id="100"/>
    <w:bookmarkStart w:id="102"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01">
        <w:r>
          <w:rPr>
            <w:rStyle w:val="Hyperlink"/>
          </w:rPr>
          <w:t xml:space="preserve">10.1139/f01-082</w:t>
        </w:r>
      </w:hyperlink>
    </w:p>
    <w:bookmarkEnd w:id="102"/>
    <w:bookmarkStart w:id="103"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w:t>
      </w:r>
      <w:r>
        <w:rPr>
          <w:iCs/>
          <w:i/>
        </w:rPr>
        <w:t xml:space="preserve">halassia testudinum</w:t>
      </w:r>
      <w:r>
        <w:t xml:space="preserve"> </w:t>
      </w:r>
      <w:r>
        <w:t xml:space="preserve">communities throughout</w:t>
      </w:r>
      <w:r>
        <w:t xml:space="preserve"> </w:t>
      </w:r>
      <w:r>
        <w:t xml:space="preserve">F</w:t>
      </w:r>
      <w:r>
        <w:t xml:space="preserve">lorida</w:t>
      </w:r>
      <w:r>
        <w:t xml:space="preserve"> </w:t>
      </w:r>
      <w:r>
        <w:t xml:space="preserve">B</w:t>
      </w:r>
      <w:r>
        <w:t xml:space="preserve">ay. Contributions in Marine Science</w:t>
      </w:r>
      <w:r>
        <w:t xml:space="preserve"> </w:t>
      </w:r>
      <w:r>
        <w:rPr>
          <w:bCs/>
          <w:b/>
        </w:rPr>
        <w:t xml:space="preserve">38</w:t>
      </w:r>
      <w:r>
        <w:t xml:space="preserve">: 91–108.</w:t>
      </w:r>
    </w:p>
    <w:bookmarkEnd w:id="103"/>
    <w:bookmarkStart w:id="105" w:name="ref-najjar2018"/>
    <w:p>
      <w:pPr>
        <w:pStyle w:val="Bibliography"/>
      </w:pPr>
      <w:r>
        <w:t xml:space="preserve">Najjar, R. G., M. Herrmann, R. Alexander, and others. 2018. Carbon budget of tidal wetlands, estuaries, and shelf waters of eastern</w:t>
      </w:r>
      <w:r>
        <w:t xml:space="preserve"> </w:t>
      </w:r>
      <w:r>
        <w:t xml:space="preserve">N</w:t>
      </w:r>
      <w:r>
        <w:t xml:space="preserve">orth</w:t>
      </w:r>
      <w:r>
        <w:t xml:space="preserve"> </w:t>
      </w:r>
      <w:r>
        <w:t xml:space="preserve">A</w:t>
      </w:r>
      <w:r>
        <w:t xml:space="preserve">merica. Global Biogeochemical Cycles</w:t>
      </w:r>
      <w:r>
        <w:t xml:space="preserve"> </w:t>
      </w:r>
      <w:r>
        <w:rPr>
          <w:bCs/>
          <w:b/>
        </w:rPr>
        <w:t xml:space="preserve">32</w:t>
      </w:r>
      <w:r>
        <w:t xml:space="preserve">: 389–416. doi:</w:t>
      </w:r>
      <w:hyperlink r:id="rId104">
        <w:r>
          <w:rPr>
            <w:rStyle w:val="Hyperlink"/>
          </w:rPr>
          <w:t xml:space="preserve">10.1002/2017gb005790</w:t>
        </w:r>
      </w:hyperlink>
    </w:p>
    <w:bookmarkEnd w:id="105"/>
    <w:bookmarkStart w:id="107"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06">
        <w:r>
          <w:rPr>
            <w:rStyle w:val="Hyperlink"/>
          </w:rPr>
          <w:t xml:space="preserve">10.1016/0022-1694(70)90255-6</w:t>
        </w:r>
      </w:hyperlink>
    </w:p>
    <w:bookmarkEnd w:id="107"/>
    <w:bookmarkStart w:id="109"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08">
        <w:r>
          <w:rPr>
            <w:rStyle w:val="Hyperlink"/>
          </w:rPr>
          <w:t xml:space="preserve">10.1007/s12237-013-9765-2</w:t>
        </w:r>
      </w:hyperlink>
    </w:p>
    <w:bookmarkEnd w:id="109"/>
    <w:bookmarkStart w:id="111" w:name="ref-nerr2023"/>
    <w:p>
      <w:pPr>
        <w:pStyle w:val="Bibliography"/>
      </w:pPr>
      <w:r>
        <w:t xml:space="preserve">NOAA NERRS. 2023.</w:t>
      </w:r>
      <w:r>
        <w:t xml:space="preserve"> </w:t>
      </w:r>
      <w:r>
        <w:t xml:space="preserve">NOAA</w:t>
      </w:r>
      <w:r>
        <w:t xml:space="preserve"> </w:t>
      </w:r>
      <w:r>
        <w:t xml:space="preserve">N</w:t>
      </w:r>
      <w:r>
        <w:t xml:space="preserve">ational</w:t>
      </w:r>
      <w:r>
        <w:t xml:space="preserve"> </w:t>
      </w:r>
      <w:r>
        <w:t xml:space="preserve">E</w:t>
      </w:r>
      <w:r>
        <w:t xml:space="preserve">stuarine</w:t>
      </w:r>
      <w:r>
        <w:t xml:space="preserve"> </w:t>
      </w:r>
      <w:r>
        <w:t xml:space="preserve">R</w:t>
      </w:r>
      <w:r>
        <w:t xml:space="preserve">esearch</w:t>
      </w:r>
      <w:r>
        <w:t xml:space="preserve"> </w:t>
      </w:r>
      <w:r>
        <w:t xml:space="preserve">R</w:t>
      </w:r>
      <w:r>
        <w:t xml:space="preserve">eserve</w:t>
      </w:r>
      <w:r>
        <w:t xml:space="preserve"> </w:t>
      </w:r>
      <w:r>
        <w:t xml:space="preserve">S</w:t>
      </w:r>
      <w:r>
        <w:t xml:space="preserve">ystem (</w:t>
      </w:r>
      <w:r>
        <w:t xml:space="preserve">NERRS</w:t>
      </w:r>
      <w:r>
        <w:t xml:space="preserve">).</w:t>
      </w:r>
      <w:r>
        <w:t xml:space="preserve"> </w:t>
      </w:r>
      <w:r>
        <w:t xml:space="preserve">S</w:t>
      </w:r>
      <w:r>
        <w:t xml:space="preserve">ystem-wide monitoring program.</w:t>
      </w:r>
      <w:r>
        <w:t xml:space="preserve"> </w:t>
      </w:r>
      <w:r>
        <w:t xml:space="preserve">D</w:t>
      </w:r>
      <w:r>
        <w:t xml:space="preserve">ata accessed from the</w:t>
      </w:r>
      <w:r>
        <w:t xml:space="preserve"> </w:t>
      </w:r>
      <w:r>
        <w:t xml:space="preserve">NOAA NERRS</w:t>
      </w:r>
      <w:r>
        <w:t xml:space="preserve"> </w:t>
      </w:r>
      <w:r>
        <w:t xml:space="preserve">C</w:t>
      </w:r>
      <w:r>
        <w:t xml:space="preserve">entralized</w:t>
      </w:r>
      <w:r>
        <w:t xml:space="preserve"> </w:t>
      </w:r>
      <w:r>
        <w:t xml:space="preserve">D</w:t>
      </w:r>
      <w:r>
        <w:t xml:space="preserve">ata</w:t>
      </w:r>
      <w:r>
        <w:t xml:space="preserve"> </w:t>
      </w:r>
      <w:r>
        <w:t xml:space="preserve">M</w:t>
      </w:r>
      <w:r>
        <w:t xml:space="preserve">anagement</w:t>
      </w:r>
      <w:r>
        <w:t xml:space="preserve"> </w:t>
      </w:r>
      <w:r>
        <w:t xml:space="preserve">O</w:t>
      </w:r>
      <w:r>
        <w:t xml:space="preserve">ffice website</w:t>
      </w:r>
      <w:r>
        <w:t xml:space="preserve"> </w:t>
      </w:r>
      <w:hyperlink r:id="rId110">
        <w:r>
          <w:rPr>
            <w:rStyle w:val="Hyperlink"/>
          </w:rPr>
          <w:t xml:space="preserve">http://www.nerrsdata.org</w:t>
        </w:r>
      </w:hyperlink>
      <w:r>
        <w:t xml:space="preserve">; accessed july 2023.</w:t>
      </w:r>
    </w:p>
    <w:bookmarkEnd w:id="111"/>
    <w:bookmarkStart w:id="112"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12"/>
    <w:bookmarkStart w:id="113"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w:t>
      </w:r>
      <w:r>
        <w:t xml:space="preserve"> </w:t>
      </w:r>
      <w:r>
        <w:t xml:space="preserve">G</w:t>
      </w:r>
      <w:r>
        <w:t xml:space="preserve">ibbs sampling.</w:t>
      </w:r>
      <w:r>
        <w:t xml:space="preserve"> </w:t>
      </w:r>
      <w:r>
        <w:rPr>
          <w:iCs/>
          <w:i/>
        </w:rPr>
        <w:t xml:space="preserve">Proceedings of the 3rd international workshop on distributed statistical computing</w:t>
      </w:r>
      <w:r>
        <w:t xml:space="preserve">. Vienna, Austria. 1–10.</w:t>
      </w:r>
    </w:p>
    <w:bookmarkEnd w:id="113"/>
    <w:bookmarkStart w:id="115" w:name="ref-RCT23"/>
    <w:p>
      <w:pPr>
        <w:pStyle w:val="Bibliography"/>
      </w:pPr>
      <w:r>
        <w:t xml:space="preserve">R Core Team. 2023.</w:t>
      </w:r>
      <w:r>
        <w:t xml:space="preserve"> </w:t>
      </w:r>
      <w:hyperlink r:id="rId114">
        <w:r>
          <w:rPr>
            <w:rStyle w:val="Hyperlink"/>
          </w:rPr>
          <w:t xml:space="preserve">R: A language and environment for statistical computing</w:t>
        </w:r>
      </w:hyperlink>
      <w:r>
        <w:t xml:space="preserve">, R Foundation for Statistical Computing.</w:t>
      </w:r>
    </w:p>
    <w:bookmarkEnd w:id="115"/>
    <w:bookmarkStart w:id="117"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16">
        <w:r>
          <w:rPr>
            <w:rStyle w:val="Hyperlink"/>
          </w:rPr>
          <w:t xml:space="preserve">10.1899/12-058.1</w:t>
        </w:r>
      </w:hyperlink>
    </w:p>
    <w:bookmarkEnd w:id="117"/>
    <w:bookmarkStart w:id="119"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18">
        <w:r>
          <w:rPr>
            <w:rStyle w:val="Hyperlink"/>
          </w:rPr>
          <w:t xml:space="preserve">10.1007/bf02782974</w:t>
        </w:r>
      </w:hyperlink>
    </w:p>
    <w:bookmarkEnd w:id="119"/>
    <w:bookmarkStart w:id="121" w:name="ref-sarmiento2013"/>
    <w:p>
      <w:pPr>
        <w:pStyle w:val="Bibliography"/>
      </w:pPr>
      <w:r>
        <w:t xml:space="preserve">Sarmiento, J. L., and N. Gruber. 2013.</w:t>
      </w:r>
      <w:r>
        <w:t xml:space="preserve"> </w:t>
      </w:r>
      <w:hyperlink r:id="rId120">
        <w:r>
          <w:rPr>
            <w:rStyle w:val="Hyperlink"/>
          </w:rPr>
          <w:t xml:space="preserve">Oceanic carbon cycle, atmospheric CO2, and climate</w:t>
        </w:r>
      </w:hyperlink>
      <w:r>
        <w:t xml:space="preserve">,</w:t>
      </w:r>
      <w:r>
        <w:t xml:space="preserve"> </w:t>
      </w:r>
      <w:r>
        <w:rPr>
          <w:iCs/>
          <w:i/>
        </w:rPr>
        <w:t xml:space="preserve">In</w:t>
      </w:r>
      <w:r>
        <w:t xml:space="preserve"> </w:t>
      </w:r>
      <w:r>
        <w:t xml:space="preserve">J.L. Sarmiento [ed.], Ocean biogeochemical dynamics. Princeton University Press.</w:t>
      </w:r>
    </w:p>
    <w:bookmarkEnd w:id="121"/>
    <w:bookmarkStart w:id="123" w:name="ref-schubel1984"/>
    <w:p>
      <w:pPr>
        <w:pStyle w:val="Bibliography"/>
      </w:pPr>
      <w:r>
        <w:t xml:space="preserve">Schubel, J. R., and V. S. Kennedy. 1984.</w:t>
      </w:r>
      <w:r>
        <w:t xml:space="preserve"> </w:t>
      </w:r>
      <w:hyperlink r:id="rId122">
        <w:r>
          <w:rPr>
            <w:rStyle w:val="Hyperlink"/>
          </w:rPr>
          <w:t xml:space="preserve">The estuary as a filter: An introduction</w:t>
        </w:r>
      </w:hyperlink>
      <w:r>
        <w:t xml:space="preserve">, p. 1–11.</w:t>
      </w:r>
      <w:r>
        <w:t xml:space="preserve"> </w:t>
      </w:r>
      <w:r>
        <w:rPr>
          <w:iCs/>
          <w:i/>
        </w:rPr>
        <w:t xml:space="preserve">In</w:t>
      </w:r>
      <w:r>
        <w:t xml:space="preserve"> </w:t>
      </w:r>
      <w:r>
        <w:t xml:space="preserve">V.S. Kennedy [ed.], The estuary as a filter. Elsevier.</w:t>
      </w:r>
    </w:p>
    <w:bookmarkEnd w:id="123"/>
    <w:bookmarkStart w:id="125"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24">
        <w:r>
          <w:rPr>
            <w:rStyle w:val="Hyperlink"/>
          </w:rPr>
          <w:t xml:space="preserve">10.1007/s00027-011-0199-2</w:t>
        </w:r>
      </w:hyperlink>
    </w:p>
    <w:bookmarkEnd w:id="125"/>
    <w:bookmarkStart w:id="127"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26">
        <w:r>
          <w:rPr>
            <w:rStyle w:val="Hyperlink"/>
          </w:rPr>
          <w:t xml:space="preserve">10.1007/s12237-019-00526-0</w:t>
        </w:r>
      </w:hyperlink>
    </w:p>
    <w:bookmarkEnd w:id="127"/>
    <w:bookmarkStart w:id="129"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28">
        <w:r>
          <w:rPr>
            <w:rStyle w:val="Hyperlink"/>
          </w:rPr>
          <w:t xml:space="preserve">10.1672/07-190.1</w:t>
        </w:r>
      </w:hyperlink>
    </w:p>
    <w:bookmarkEnd w:id="129"/>
    <w:bookmarkStart w:id="131"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30">
        <w:r>
          <w:rPr>
            <w:rStyle w:val="Hyperlink"/>
          </w:rPr>
          <w:t xml:space="preserve">10.4319/lom.2014.12.351</w:t>
        </w:r>
      </w:hyperlink>
    </w:p>
    <w:bookmarkEnd w:id="131"/>
    <w:bookmarkStart w:id="133"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32">
        <w:r>
          <w:rPr>
            <w:rStyle w:val="Hyperlink"/>
          </w:rPr>
          <w:t xml:space="preserve">10.1080/iw-6.4.883</w:t>
        </w:r>
      </w:hyperlink>
    </w:p>
    <w:bookmarkEnd w:id="133"/>
    <w:bookmarkStart w:id="135"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34">
        <w:r>
          <w:rPr>
            <w:rStyle w:val="Hyperlink"/>
          </w:rPr>
          <w:t xml:space="preserve">10.1038/nature11205</w:t>
        </w:r>
      </w:hyperlink>
    </w:p>
    <w:bookmarkEnd w:id="135"/>
    <w:bookmarkEnd w:id="136"/>
    <w:bookmarkEnd w:id="137"/>
    <w:bookmarkStart w:id="138"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138"/>
    <w:bookmarkStart w:id="171" w:name="figure-legends"/>
    <w:p>
      <w:pPr>
        <w:pStyle w:val="Heading2"/>
      </w:pPr>
      <w:r>
        <w:t xml:space="preserve">Figure Legends</w:t>
      </w:r>
    </w:p>
    <w:tbl>
      <w:tblPr>
        <w:tblStyle w:val="Table"/>
        <w:tblW w:type="pct" w:w="5000"/>
        <w:tblLook w:firstRow="0" w:lastRow="0" w:firstColumn="0" w:lastColumn="0" w:noHBand="0" w:noVBand="0" w:val="0000"/>
        <w:jc w:val="start"/>
        <w:tblLayout w:type="fixed"/>
      </w:tblPr>
      <w:tblGrid>
        <w:gridCol w:w="7920"/>
      </w:tblGrid>
      <w:tr>
        <w:tc>
          <w:tcPr/>
          <w:bookmarkStart w:id="142" w:name="fig-priorplot"/>
          <w:p>
            <w:pPr>
              <w:pStyle w:val="Compact"/>
              <w:jc w:val="center"/>
            </w:pPr>
            <w:r>
              <w:drawing>
                <wp:inline>
                  <wp:extent cx="5943600" cy="2286000"/>
                  <wp:effectExtent b="0" l="0" r="0" t="0"/>
                  <wp:docPr descr="" title="" id="140" name="Picture"/>
                  <a:graphic>
                    <a:graphicData uri="http://schemas.openxmlformats.org/drawingml/2006/picture">
                      <pic:pic>
                        <pic:nvPicPr>
                          <pic:cNvPr descr="figs/priorplot.png" id="141" name="Picture"/>
                          <pic:cNvPicPr>
                            <a:picLocks noChangeArrowheads="1" noChangeAspect="1"/>
                          </pic:cNvPicPr>
                        </pic:nvPicPr>
                        <pic:blipFill>
                          <a:blip r:embed="rId139"/>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Probabilities have been normalized to the maximum probability.</w:t>
            </w:r>
          </w:p>
          <w:bookmarkEnd w:id="14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6" w:name="fig-synapa"/>
          <w:p>
            <w:pPr>
              <w:pStyle w:val="Compact"/>
              <w:jc w:val="center"/>
            </w:pPr>
            <w:r>
              <w:drawing>
                <wp:inline>
                  <wp:extent cx="5943600" cy="5943600"/>
                  <wp:effectExtent b="0" l="0" r="0" t="0"/>
                  <wp:docPr descr="" title="" id="144" name="Picture"/>
                  <a:graphic>
                    <a:graphicData uri="http://schemas.openxmlformats.org/drawingml/2006/picture">
                      <pic:pic>
                        <pic:nvPicPr>
                          <pic:cNvPr descr="figs/synapa.png" id="145" name="Picture"/>
                          <pic:cNvPicPr>
                            <a:picLocks noChangeArrowheads="1" noChangeAspect="1"/>
                          </pic:cNvPicPr>
                        </pic:nvPicPr>
                        <pic:blipFill>
                          <a:blip r:embed="rId143"/>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ecosystem respiration (</w:t>
            </w:r>
            <m:oMath>
              <m:r>
                <m:t>R</m:t>
              </m:r>
            </m:oMath>
            <w:r>
              <w:t xml:space="preserve">), and gas exchange (</w:t>
            </w:r>
            <m:oMath>
              <m:r>
                <m:t>D</m:t>
              </m:r>
            </m:oMath>
            <w:r>
              <w:t xml:space="preserve">) and the (c) dissolved oxygen time series (including saturation,</w:t>
            </w:r>
            <w:r>
              <w:t xml:space="preserve"> </w:t>
            </w:r>
            <m:oMath>
              <m:sSub>
                <m:e>
                  <m:r>
                    <m:t>C</m:t>
                  </m:r>
                </m:e>
                <m:sub>
                  <m:r>
                    <m:t>s</m:t>
                  </m:r>
                  <m:r>
                    <m:t>a</m:t>
                  </m:r>
                  <m:r>
                    <m:t>t</m:t>
                  </m:r>
                </m:sub>
              </m:sSub>
            </m:oMath>
            <w:r>
              <w:t xml:space="preserve">).</w:t>
            </w:r>
          </w:p>
          <w:bookmarkEnd w:id="14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0" w:name="fig-defplo"/>
          <w:p>
            <w:pPr>
              <w:pStyle w:val="Compact"/>
              <w:jc w:val="center"/>
            </w:pPr>
            <w:r>
              <w:drawing>
                <wp:inline>
                  <wp:extent cx="5943600" cy="5943600"/>
                  <wp:effectExtent b="0" l="0" r="0" t="0"/>
                  <wp:docPr descr="" title="" id="148" name="Picture"/>
                  <a:graphic>
                    <a:graphicData uri="http://schemas.openxmlformats.org/drawingml/2006/picture">
                      <pic:pic>
                        <pic:nvPicPr>
                          <pic:cNvPr descr="figs/defplo.png" id="149" name="Picture"/>
                          <pic:cNvPicPr>
                            <a:picLocks noChangeArrowheads="1" noChangeAspect="1"/>
                          </pic:cNvPicPr>
                        </pic:nvPicPr>
                        <pic:blipFill>
                          <a:blip r:embed="rId147"/>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using default prior distributions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EBASE parameters estimated with a (a) 7 day and (b) 30 day optimization period. 95% credible intervals from the posterior distributions of the parameter estimates from EBASE are also shown.</w:t>
            </w:r>
          </w:p>
          <w:bookmarkEnd w:id="15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4" w:name="fig-priorcomp"/>
          <w:p>
            <w:pPr>
              <w:pStyle w:val="Compact"/>
              <w:jc w:val="center"/>
            </w:pPr>
            <w:r>
              <w:drawing>
                <wp:inline>
                  <wp:extent cx="5497394" cy="3664929"/>
                  <wp:effectExtent b="0" l="0" r="0" t="0"/>
                  <wp:docPr descr="" title="" id="152" name="Picture"/>
                  <a:graphic>
                    <a:graphicData uri="http://schemas.openxmlformats.org/drawingml/2006/picture">
                      <pic:pic>
                        <pic:nvPicPr>
                          <pic:cNvPr descr="figs/priorcomp.png" id="153" name="Picture"/>
                          <pic:cNvPicPr>
                            <a:picLocks noChangeArrowheads="1" noChangeAspect="1"/>
                          </pic:cNvPicPr>
                        </pic:nvPicPr>
                        <pic:blipFill>
                          <a:blip r:embed="rId151"/>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15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8" w:name="fig-optex"/>
          <w:p>
            <w:pPr>
              <w:pStyle w:val="Compact"/>
              <w:jc w:val="center"/>
            </w:pPr>
            <w:r>
              <w:drawing>
                <wp:inline>
                  <wp:extent cx="5943600" cy="5283200"/>
                  <wp:effectExtent b="0" l="0" r="0" t="0"/>
                  <wp:docPr descr="" title="" id="156" name="Picture"/>
                  <a:graphic>
                    <a:graphicData uri="http://schemas.openxmlformats.org/drawingml/2006/picture">
                      <pic:pic>
                        <pic:nvPicPr>
                          <pic:cNvPr descr="figs/optex.png" id="157" name="Picture"/>
                          <pic:cNvPicPr>
                            <a:picLocks noChangeArrowheads="1" noChangeAspect="1"/>
                          </pic:cNvPicPr>
                        </pic:nvPicPr>
                        <pic:blipFill>
                          <a:blip r:embed="rId155"/>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Efficiency values across all parameter estimates (</w:t>
            </w:r>
            <w:hyperlink w:anchor="fig-priorcomp">
              <w:r>
                <w:rPr>
                  <w:rStyle w:val="Hyperlink"/>
                </w:rPr>
                <w:t xml:space="preserve">Figure 4</w:t>
              </w:r>
            </w:hyperlink>
            <w:r>
              <w:t xml:space="preserve">). The results are averaged at the time step of the model optimization period.</w:t>
            </w:r>
          </w:p>
          <w:bookmarkEnd w:id="15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2" w:name="fig-synapanos"/>
          <w:p>
            <w:pPr>
              <w:pStyle w:val="Compact"/>
              <w:jc w:val="center"/>
            </w:pPr>
            <w:r>
              <w:drawing>
                <wp:inline>
                  <wp:extent cx="5943600" cy="4457700"/>
                  <wp:effectExtent b="0" l="0" r="0" t="0"/>
                  <wp:docPr descr="" title="" id="160" name="Picture"/>
                  <a:graphic>
                    <a:graphicData uri="http://schemas.openxmlformats.org/drawingml/2006/picture">
                      <pic:pic>
                        <pic:nvPicPr>
                          <pic:cNvPr descr="figs/synapanos.png" id="161" name="Picture"/>
                          <pic:cNvPicPr>
                            <a:picLocks noChangeArrowheads="1" noChangeAspect="1"/>
                          </pic:cNvPicPr>
                        </pic:nvPicPr>
                        <pic:blipFill>
                          <a:blip r:embed="rId159"/>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16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6" w:name="fig-synapanoscmp"/>
          <w:p>
            <w:pPr>
              <w:pStyle w:val="Compact"/>
              <w:jc w:val="center"/>
            </w:pPr>
            <w:r>
              <w:drawing>
                <wp:inline>
                  <wp:extent cx="5943600" cy="4669971"/>
                  <wp:effectExtent b="0" l="0" r="0" t="0"/>
                  <wp:docPr descr="" title="" id="164" name="Picture"/>
                  <a:graphic>
                    <a:graphicData uri="http://schemas.openxmlformats.org/drawingml/2006/picture">
                      <pic:pic>
                        <pic:nvPicPr>
                          <pic:cNvPr descr="figs/synapanoscmp.png" id="165" name="Picture"/>
                          <pic:cNvPicPr>
                            <a:picLocks noChangeArrowheads="1" noChangeAspect="1"/>
                          </pic:cNvPicPr>
                        </pic:nvPicPr>
                        <pic:blipFill>
                          <a:blip r:embed="rId163"/>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subsets of both dissolved oxygen time series.</w:t>
            </w:r>
          </w:p>
          <w:bookmarkEnd w:id="16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0" w:name="fig-apacmpfig"/>
          <w:p>
            <w:pPr>
              <w:pStyle w:val="Compact"/>
              <w:jc w:val="center"/>
            </w:pPr>
            <w:r>
              <w:drawing>
                <wp:inline>
                  <wp:extent cx="3206813" cy="6413627"/>
                  <wp:effectExtent b="0" l="0" r="0" t="0"/>
                  <wp:docPr descr="" title="" id="168" name="Picture"/>
                  <a:graphic>
                    <a:graphicData uri="http://schemas.openxmlformats.org/drawingml/2006/picture">
                      <pic:pic>
                        <pic:nvPicPr>
                          <pic:cNvPr descr="figs/apacmpfig.png" id="169" name="Picture"/>
                          <pic:cNvPicPr>
                            <a:picLocks noChangeArrowheads="1" noChangeAspect="1"/>
                          </pic:cNvPicPr>
                        </pic:nvPicPr>
                        <pic:blipFill>
                          <a:blip r:embed="rId167"/>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170"/>
        </w:tc>
      </w:tr>
    </w:tbl>
    <w:p>
      <w:r>
        <w:br w:type="page"/>
      </w:r>
    </w:p>
    <w:bookmarkEnd w:id="171"/>
    <w:bookmarkStart w:id="174"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172" w:name="tbl-ebaseiotab"/>
          <w:p>
            <w:pPr>
              <w:jc w:val="center"/>
            </w:pPr>
            <w:pPr>
              <w:jc w:val="start"/>
              <w:spacing w:before="200"/>
              <w:pStyle w:val="ImageCaption"/>
            </w:pPr>
            <w:r>
              <w:t xml:space="preserve">Table 1: EBASE model parameters showing the required input, parameters derived from the model input, and model output.</w:t>
            </w:r>
          </w:p>
          <w:tbl>
            <w:tblPr>
              <w:tblStyle w:val="Table"/>
              <w:tblW w:type="pct" w:w="5000"/>
              <w:tblLook w:firstRow="1" w:lastRow="0" w:firstColumn="0" w:lastColumn="0" w:noHBand="0" w:noVBand="0" w:val="0020"/>
              <w:jc w:val="start"/>
              <w:tblLayout w:type="fixed"/>
            </w:tblPr>
            <w:tblGrid>
              <w:gridCol w:w="833"/>
              <w:gridCol w:w="4108"/>
              <w:gridCol w:w="893"/>
              <w:gridCol w:w="2084"/>
            </w:tblGrid>
            <w:tr>
              <w:trPr>
                <w:tblHeader w:val="true"/>
              </w:trPr>
              <w:tc>
                <w:tcPr/>
                <w:p>
                  <w:pPr>
                    <w:pStyle w:val="Compact"/>
                    <w:jc w:val="left"/>
                    <w:jc w:val="center"/>
                  </w:pPr>
                  <w:r>
                    <w:t xml:space="preserve">Type</w:t>
                  </w:r>
                </w:p>
              </w:tc>
              <w:tc>
                <w:tcPr/>
                <w:p>
                  <w:pPr>
                    <w:pStyle w:val="Compact"/>
                    <w:jc w:val="left"/>
                    <w:jc w:val="center"/>
                  </w:pPr>
                  <w:r>
                    <w:t xml:space="preserve">Description</w:t>
                  </w:r>
                </w:p>
              </w:tc>
              <w:tc>
                <w:tcPr/>
                <w:p>
                  <w:pPr>
                    <w:pStyle w:val="Compact"/>
                    <w:jc w:val="left"/>
                    <w:jc w:val="center"/>
                  </w:pPr>
                  <w:r>
                    <w:t xml:space="preserve">Model notation</w:t>
                  </w:r>
                </w:p>
              </w:tc>
              <w:tc>
                <w:tcPr/>
                <w:p>
                  <w:pPr>
                    <w:pStyle w:val="Compact"/>
                    <w:jc w:val="left"/>
                    <w:jc w:val="center"/>
                  </w:pPr>
                  <w:r>
                    <w:t xml:space="preserve">Units</w:t>
                  </w:r>
                </w:p>
              </w:tc>
            </w:tr>
            <w:tr>
              <w:tc>
                <w:tcPr/>
                <w:p>
                  <w:pPr>
                    <w:pStyle w:val="Compact"/>
                    <w:jc w:val="left"/>
                    <w:jc w:val="center"/>
                  </w:pPr>
                  <w:r>
                    <w:t xml:space="preserve">Input</w:t>
                  </w:r>
                </w:p>
              </w:tc>
              <w:tc>
                <w:tcPr/>
                <w:p>
                  <w:pPr>
                    <w:pStyle w:val="Compact"/>
                    <w:jc w:val="left"/>
                    <w:jc w:val="center"/>
                  </w:pPr>
                  <w:r>
                    <w:t xml:space="preserve">Dissolved oxygen (observed)</w:t>
                  </w:r>
                </w:p>
              </w:tc>
              <w:tc>
                <w:tcPr/>
                <w:p>
                  <w:pPr>
                    <w:pStyle w:val="Compact"/>
                    <w:jc w:val="left"/>
                    <w:jc w:val="center"/>
                  </w:pPr>
                  <w:r>
                    <w:t xml:space="preserve">C</w:t>
                  </w:r>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Water temperature</w:t>
                  </w:r>
                </w:p>
              </w:tc>
              <w:tc>
                <w:tcPr/>
                <w:p>
                  <w:pPr>
                    <w:pStyle w:val="Compact"/>
                    <w:jc w:val="left"/>
                    <w:jc w:val="center"/>
                  </w:pPr>
                  <w:r>
                    <w:t xml:space="preserve">-</w:t>
                  </w:r>
                </w:p>
              </w:tc>
              <w:tc>
                <w:tcPr/>
                <w:p>
                  <w:pPr>
                    <w:pStyle w:val="Compact"/>
                    <w:jc w:val="left"/>
                    <w:jc w:val="center"/>
                  </w:pPr>
                  <m:oMath>
                    <m:sSup>
                      <m:e>
                        <m:r>
                          <m:t>​</m:t>
                        </m:r>
                      </m:e>
                      <m:sup>
                        <m:r>
                          <m:rPr>
                            <m:sty m:val="p"/>
                          </m:rPr>
                          <m:t>∘</m:t>
                        </m:r>
                      </m:sup>
                    </m:sSup>
                  </m:oMath>
                  <w:r>
                    <w:t xml:space="preserve">C</w:t>
                  </w:r>
                </w:p>
              </w:tc>
            </w:tr>
            <w:tr>
              <w:tc>
                <w:tcPr/>
                <w:p>
                  <w:pPr>
                    <w:pStyle w:val="Compact"/>
                  </w:pPr>
                </w:p>
              </w:tc>
              <w:tc>
                <w:tcPr/>
                <w:p>
                  <w:pPr>
                    <w:pStyle w:val="Compact"/>
                    <w:jc w:val="left"/>
                    <w:jc w:val="center"/>
                  </w:pPr>
                  <w:r>
                    <w:t xml:space="preserve">Salinity</w:t>
                  </w:r>
                </w:p>
              </w:tc>
              <w:tc>
                <w:tcPr/>
                <w:p>
                  <w:pPr>
                    <w:pStyle w:val="Compact"/>
                    <w:jc w:val="left"/>
                    <w:jc w:val="center"/>
                  </w:pPr>
                  <w:r>
                    <w:t xml:space="preserve">-</w:t>
                  </w:r>
                </w:p>
              </w:tc>
              <w:tc>
                <w:tcPr/>
                <w:p>
                  <w:pPr>
                    <w:pStyle w:val="Compact"/>
                    <w:jc w:val="left"/>
                    <w:jc w:val="center"/>
                  </w:pPr>
                  <w:r>
                    <w:t xml:space="preserve">psu</w:t>
                  </w:r>
                </w:p>
              </w:tc>
            </w:tr>
            <w:tr>
              <w:tc>
                <w:tcPr/>
                <w:p>
                  <w:pPr>
                    <w:pStyle w:val="Compact"/>
                  </w:pPr>
                </w:p>
              </w:tc>
              <w:tc>
                <w:tcPr/>
                <w:p>
                  <w:pPr>
                    <w:pStyle w:val="Compact"/>
                    <w:jc w:val="left"/>
                    <w:jc w:val="center"/>
                  </w:pPr>
                  <w:r>
                    <w:t xml:space="preserve">Total photosynthetically active radiation</w:t>
                  </w:r>
                </w:p>
              </w:tc>
              <w:tc>
                <w:tcPr/>
                <w:p>
                  <w:pPr>
                    <w:pStyle w:val="Compact"/>
                    <w:jc w:val="left"/>
                    <w:jc w:val="center"/>
                  </w:pPr>
                  <w:r>
                    <w:t xml:space="preserve">PAR</w:t>
                  </w:r>
                </w:p>
              </w:tc>
              <w:tc>
                <w:tcPr/>
                <w:p>
                  <w:pPr>
                    <w:pStyle w:val="Compact"/>
                    <w:jc w:val="left"/>
                    <w:jc w:val="center"/>
                  </w:pPr>
                  <w:r>
                    <w:t xml:space="preserve">W m</w:t>
                  </w:r>
                  <m:oMath>
                    <m:sSup>
                      <m:e>
                        <m:r>
                          <m:t>​</m:t>
                        </m:r>
                      </m:e>
                      <m:sup>
                        <m:r>
                          <m:rPr>
                            <m:sty m:val="p"/>
                          </m:rPr>
                          <m:t>−</m:t>
                        </m:r>
                        <m:r>
                          <m:t>2</m:t>
                        </m:r>
                      </m:sup>
                    </m:sSup>
                  </m:oMath>
                </w:p>
              </w:tc>
            </w:tr>
            <w:tr>
              <w:tc>
                <w:tcPr/>
                <w:p>
                  <w:pPr>
                    <w:pStyle w:val="Compact"/>
                  </w:pPr>
                </w:p>
              </w:tc>
              <w:tc>
                <w:tcPr/>
                <w:p>
                  <w:pPr>
                    <w:pStyle w:val="Compact"/>
                    <w:jc w:val="left"/>
                    <w:jc w:val="center"/>
                  </w:pPr>
                  <w:r>
                    <w:t xml:space="preserve">Wind speed</w:t>
                  </w:r>
                </w:p>
              </w:tc>
              <w:tc>
                <w:tcPr/>
                <w:p>
                  <w:pPr>
                    <w:pStyle w:val="Compact"/>
                    <w:jc w:val="left"/>
                    <w:jc w:val="center"/>
                  </w:pPr>
                  <w:r>
                    <w:t xml:space="preserve">-</w:t>
                  </w:r>
                </w:p>
              </w:tc>
              <w:tc>
                <w:tcPr/>
                <w:p>
                  <w:pPr>
                    <w:pStyle w:val="Compact"/>
                    <w:jc w:val="left"/>
                    <w:jc w:val="center"/>
                  </w:pPr>
                  <w:r>
                    <w:t xml:space="preserve">m s</w:t>
                  </w:r>
                  <m:oMath>
                    <m:sSup>
                      <m:e>
                        <m:r>
                          <m:t>​</m:t>
                        </m:r>
                      </m:e>
                      <m:sup>
                        <m:r>
                          <m:rPr>
                            <m:sty m:val="p"/>
                          </m:rPr>
                          <m:t>−</m:t>
                        </m:r>
                        <m:r>
                          <m:t>1</m:t>
                        </m:r>
                      </m:sup>
                    </m:sSup>
                  </m:oMath>
                </w:p>
              </w:tc>
            </w:tr>
            <w:tr>
              <w:tc>
                <w:tcPr/>
                <w:p>
                  <w:pPr>
                    <w:pStyle w:val="Compact"/>
                  </w:pPr>
                </w:p>
              </w:tc>
              <w:tc>
                <w:tcPr/>
                <w:p>
                  <w:pPr>
                    <w:pStyle w:val="Compact"/>
                    <w:jc w:val="left"/>
                    <w:jc w:val="center"/>
                  </w:pPr>
                  <w:r>
                    <w:t xml:space="preserve">Water column depth (mean or tidal height vector)</w:t>
                  </w:r>
                </w:p>
              </w:tc>
              <w:tc>
                <w:tcPr/>
                <w:p>
                  <w:pPr>
                    <w:pStyle w:val="Compact"/>
                    <w:jc w:val="left"/>
                    <w:jc w:val="center"/>
                  </w:pPr>
                  <w:r>
                    <w:t xml:space="preserve">Z</w:t>
                  </w:r>
                </w:p>
              </w:tc>
              <w:tc>
                <w:tcPr/>
                <w:p>
                  <w:pPr>
                    <w:pStyle w:val="Compact"/>
                    <w:jc w:val="left"/>
                    <w:jc w:val="center"/>
                  </w:pPr>
                  <w:r>
                    <w:t xml:space="preserve">m</w:t>
                  </w:r>
                </w:p>
              </w:tc>
            </w:tr>
            <w:tr>
              <w:tc>
                <w:tcPr/>
                <w:p>
                  <w:pPr>
                    <w:pStyle w:val="Compact"/>
                    <w:jc w:val="left"/>
                    <w:jc w:val="center"/>
                  </w:pPr>
                  <w:r>
                    <w:t xml:space="preserve">Input-derived</w:t>
                  </w:r>
                </w:p>
              </w:tc>
              <w:tc>
                <w:tcPr/>
                <w:p>
                  <w:pPr>
                    <w:pStyle w:val="Compact"/>
                    <w:jc w:val="left"/>
                    <w:jc w:val="center"/>
                  </w:pPr>
                  <w:r>
                    <w:t xml:space="preserve">Wind speed at 10 meter height, squared</w:t>
                  </w:r>
                </w:p>
              </w:tc>
              <w:tc>
                <w:tcPr/>
                <w:p>
                  <w:pPr>
                    <w:pStyle w:val="Compact"/>
                    <w:jc w:val="left"/>
                    <w:jc w:val="center"/>
                  </w:pPr>
                  <w:r>
                    <w:t xml:space="preserve">U</w:t>
                  </w:r>
                  <m:oMath>
                    <m:sSubSup>
                      <m:e>
                        <m:r>
                          <m:t>​</m:t>
                        </m:r>
                      </m:e>
                      <m:sub>
                        <m:r>
                          <m:t>10</m:t>
                        </m:r>
                      </m:sub>
                      <m:sup>
                        <m:r>
                          <m:t>2</m:t>
                        </m:r>
                      </m:sup>
                    </m:sSubSup>
                  </m:oMath>
                </w:p>
              </w:tc>
              <w:tc>
                <w:tcPr/>
                <w:p>
                  <w:pPr>
                    <w:pStyle w:val="Compact"/>
                    <w:jc w:val="left"/>
                    <w:jc w:val="center"/>
                  </w:pPr>
                  <w:r>
                    <w:t xml:space="preserve">m</w:t>
                  </w:r>
                  <m:oMath>
                    <m:sSup>
                      <m:e>
                        <m:r>
                          <m:t>​</m:t>
                        </m:r>
                      </m:e>
                      <m:sup>
                        <m:r>
                          <m:t>2</m:t>
                        </m:r>
                      </m:sup>
                    </m:sSup>
                  </m:oMath>
                  <w:r>
                    <w:t xml:space="preserve"> </w:t>
                  </w:r>
                  <w:r>
                    <w:t xml:space="preserve">s</w:t>
                  </w:r>
                  <m:oMath>
                    <m:sSup>
                      <m:e>
                        <m:r>
                          <m:t>​</m:t>
                        </m:r>
                      </m:e>
                      <m:sup>
                        <m:r>
                          <m:rPr>
                            <m:sty m:val="p"/>
                          </m:rPr>
                          <m:t>−</m:t>
                        </m:r>
                        <m:r>
                          <m:t>2</m:t>
                        </m:r>
                      </m:sup>
                    </m:sSup>
                  </m:oMath>
                </w:p>
              </w:tc>
            </w:tr>
            <w:tr>
              <w:tc>
                <w:tcPr/>
                <w:p>
                  <w:pPr>
                    <w:pStyle w:val="Compact"/>
                  </w:pPr>
                </w:p>
              </w:tc>
              <w:tc>
                <w:tcPr/>
                <w:p>
                  <w:pPr>
                    <w:pStyle w:val="Compact"/>
                    <w:jc w:val="left"/>
                    <w:jc w:val="center"/>
                  </w:pPr>
                  <w:r>
                    <w:t xml:space="preserve">Schmidt number (from water temperature and salinity)</w:t>
                  </w:r>
                </w:p>
              </w:tc>
              <w:tc>
                <w:tcPr/>
                <w:p>
                  <w:pPr>
                    <w:pStyle w:val="Compact"/>
                    <w:jc w:val="left"/>
                    <w:jc w:val="center"/>
                  </w:pPr>
                  <w:r>
                    <w:t xml:space="preserve">Sc</w:t>
                  </w:r>
                </w:p>
              </w:tc>
              <w:tc>
                <w:tcPr/>
                <w:p>
                  <w:pPr>
                    <w:pStyle w:val="Compact"/>
                    <w:jc w:val="left"/>
                    <w:jc w:val="center"/>
                  </w:pPr>
                  <w:r>
                    <w:t xml:space="preserve">unitless</w:t>
                  </w:r>
                </w:p>
              </w:tc>
            </w:tr>
            <w:tr>
              <w:tc>
                <w:tcPr/>
                <w:p>
                  <w:pPr>
                    <w:pStyle w:val="Compact"/>
                  </w:pPr>
                </w:p>
              </w:tc>
              <w:tc>
                <w:tcPr/>
                <w:p>
                  <w:pPr>
                    <w:pStyle w:val="Compact"/>
                    <w:jc w:val="left"/>
                    <w:jc w:val="center"/>
                  </w:pPr>
                  <w:r>
                    <w:t xml:space="preserve">Dissolved oxygen at saturation (from water temperature and salinity)</w:t>
                  </w:r>
                </w:p>
              </w:tc>
              <w:tc>
                <w:tcPr/>
                <w:p>
                  <w:pPr>
                    <w:pStyle w:val="Compact"/>
                    <w:jc w:val="left"/>
                    <w:jc w:val="center"/>
                  </w:pPr>
                  <w:r>
                    <w:t xml:space="preserve">C</w:t>
                  </w:r>
                  <m:oMath>
                    <m:sSub>
                      <m:e>
                        <m:r>
                          <m:t>​</m:t>
                        </m:r>
                      </m:e>
                      <m:sub>
                        <m:r>
                          <m:t>s</m:t>
                        </m:r>
                        <m:r>
                          <m:t>a</m:t>
                        </m:r>
                        <m:r>
                          <m:t>t</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jc w:val="left"/>
                    <w:jc w:val="center"/>
                  </w:pPr>
                  <w:r>
                    <w:t xml:space="preserve">Output</w:t>
                  </w:r>
                </w:p>
              </w:tc>
              <w:tc>
                <w:tcPr/>
                <w:p>
                  <w:pPr>
                    <w:pStyle w:val="Compact"/>
                    <w:jc w:val="left"/>
                    <w:jc w:val="center"/>
                  </w:pPr>
                  <w:r>
                    <w:t xml:space="preserve">Dissolved oxygen (modelled)</w:t>
                  </w:r>
                </w:p>
              </w:tc>
              <w:tc>
                <w:tcPr/>
                <w:p>
                  <w:pPr>
                    <w:pStyle w:val="Compact"/>
                    <w:jc w:val="left"/>
                    <w:jc w:val="center"/>
                  </w:pPr>
                  <w:r>
                    <w:t xml:space="preserve">C</w:t>
                  </w:r>
                  <m:oMath>
                    <m:sSub>
                      <m:e>
                        <m:r>
                          <m:t>​</m:t>
                        </m:r>
                      </m:e>
                      <m:sub>
                        <m:r>
                          <m:t>m</m:t>
                        </m:r>
                        <m:r>
                          <m:t>o</m:t>
                        </m:r>
                        <m:r>
                          <m:t>d</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Production</w:t>
                  </w:r>
                </w:p>
              </w:tc>
              <w:tc>
                <w:tcPr/>
                <w:p>
                  <w:pPr>
                    <w:pStyle w:val="Compact"/>
                    <w:jc w:val="left"/>
                    <w:jc w:val="center"/>
                  </w:pPr>
                  <w:r>
                    <w:t xml:space="preserve">P</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Respiration</w:t>
                  </w:r>
                </w:p>
              </w:tc>
              <w:tc>
                <w:tcPr/>
                <w:p>
                  <w:pPr>
                    <w:pStyle w:val="Compact"/>
                    <w:jc w:val="left"/>
                    <w:jc w:val="center"/>
                  </w:pPr>
                  <w:r>
                    <w:t xml:space="preserve">R</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Gas exchange</w:t>
                  </w:r>
                </w:p>
              </w:tc>
              <w:tc>
                <w:tcPr/>
                <w:p>
                  <w:pPr>
                    <w:pStyle w:val="Compact"/>
                    <w:jc w:val="left"/>
                    <w:jc w:val="center"/>
                  </w:pPr>
                  <w:r>
                    <w:t xml:space="preserve">D</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Light efficiency</w:t>
                  </w:r>
                </w:p>
              </w:tc>
              <w:tc>
                <w:tcPr/>
                <w:p>
                  <w:pPr>
                    <w:pStyle w:val="Compact"/>
                    <w:jc w:val="left"/>
                    <w:jc w:val="center"/>
                  </w:pPr>
                  <w:r>
                    <w:t xml:space="preserve">a</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r>
                    <w:t xml:space="preserve">)/(W m</w:t>
                  </w:r>
                  <m:oMath>
                    <m:sSup>
                      <m:e>
                        <m:r>
                          <m:t>​</m:t>
                        </m:r>
                      </m:e>
                      <m:sup>
                        <m:r>
                          <m:rPr>
                            <m:sty m:val="p"/>
                          </m:rPr>
                          <m:t>−</m:t>
                        </m:r>
                        <m:r>
                          <m:t>2</m:t>
                        </m:r>
                      </m:sup>
                    </m:sSup>
                  </m:oMath>
                  <w:r>
                    <w:t xml:space="preserve">)</w:t>
                  </w:r>
                </w:p>
              </w:tc>
            </w:tr>
            <w:tr>
              <w:tc>
                <w:tcPr/>
                <w:p>
                  <w:pPr>
                    <w:pStyle w:val="Compact"/>
                  </w:pPr>
                </w:p>
              </w:tc>
              <w:tc>
                <w:tcPr/>
                <w:p>
                  <w:pPr>
                    <w:pStyle w:val="Compact"/>
                    <w:jc w:val="left"/>
                    <w:jc w:val="center"/>
                  </w:pPr>
                  <w:r>
                    <w:t xml:space="preserve">Sensitivity of gas transfer to wind speed</w:t>
                  </w:r>
                </w:p>
              </w:tc>
              <w:tc>
                <w:tcPr/>
                <w:p>
                  <w:pPr>
                    <w:pStyle w:val="Compact"/>
                    <w:jc w:val="left"/>
                    <w:jc w:val="center"/>
                  </w:pPr>
                  <w:r>
                    <w:t xml:space="preserve">b</w:t>
                  </w:r>
                </w:p>
              </w:tc>
              <w:tc>
                <w:tcPr/>
                <w:p>
                  <w:pPr>
                    <w:pStyle w:val="Compact"/>
                    <w:jc w:val="left"/>
                    <w:jc w:val="center"/>
                  </w:pPr>
                  <w:r>
                    <w:t xml:space="preserve">(cm hr</w:t>
                  </w:r>
                  <m:oMath>
                    <m:sSup>
                      <m:e>
                        <m:r>
                          <m:t>​</m:t>
                        </m:r>
                      </m:e>
                      <m:sup>
                        <m:r>
                          <m:rPr>
                            <m:sty m:val="p"/>
                          </m:rPr>
                          <m:t>−</m:t>
                        </m:r>
                        <m:r>
                          <m:t>1</m:t>
                        </m:r>
                      </m:sup>
                    </m:sSup>
                  </m:oMath>
                  <w:r>
                    <w:t xml:space="preserve">)/(m</w:t>
                  </w:r>
                  <m:oMath>
                    <m:sSup>
                      <m:e>
                        <m:r>
                          <m:t>​</m:t>
                        </m:r>
                      </m:e>
                      <m:sup>
                        <m:r>
                          <m:t>2</m:t>
                        </m:r>
                      </m:sup>
                    </m:sSup>
                  </m:oMath>
                  <w:r>
                    <w:t xml:space="preserve"> </w:t>
                  </w:r>
                  <w:r>
                    <w:t xml:space="preserve">s</w:t>
                  </w:r>
                  <m:oMath>
                    <m:sSup>
                      <m:e>
                        <m:r>
                          <m:t>​</m:t>
                        </m:r>
                      </m:e>
                      <m:sup>
                        <m:r>
                          <m:rPr>
                            <m:sty m:val="p"/>
                          </m:rPr>
                          <m:t>−</m:t>
                        </m:r>
                        <m:r>
                          <m:t>2</m:t>
                        </m:r>
                      </m:sup>
                    </m:sSup>
                  </m:oMath>
                  <w:r>
                    <w:t xml:space="preserve">)</w:t>
                  </w:r>
                </w:p>
              </w:tc>
            </w:tr>
          </w:tbl>
          <w:bookmarkEnd w:id="17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3" w:name="tbl-apacmptab"/>
          <w:p>
            <w:pPr>
              <w:jc w:val="center"/>
            </w:pPr>
            <w:pPr>
              <w:jc w:val="start"/>
              <w:spacing w:before="200"/>
              <w:pStyle w:val="ImageCaption"/>
            </w:pPr>
            <w:r>
              <w:t xml:space="preserve">Table 2: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Parameter</w:t>
                  </w:r>
                </w:p>
              </w:tc>
              <w:tc>
                <w:tcPr/>
                <w:p>
                  <w:pPr>
                    <w:pStyle w:val="Compact"/>
                    <w:jc w:val="left"/>
                    <w:jc w:val="center"/>
                  </w:pPr>
                  <m:oMath>
                    <m:r>
                      <m:t>ρ</m:t>
                    </m:r>
                  </m:oMath>
                </w:p>
              </w:tc>
              <w:tc>
                <w:tcPr/>
                <w:p>
                  <w:pPr>
                    <w:pStyle w:val="Compact"/>
                    <w:jc w:val="left"/>
                    <w:jc w:val="center"/>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jc w:val="center"/>
                  </w:pPr>
                  <w:r>
                    <w:t xml:space="preserve">P</w:t>
                  </w:r>
                </w:p>
              </w:tc>
              <w:tc>
                <w:tcPr/>
                <w:p>
                  <w:pPr>
                    <w:pStyle w:val="Compact"/>
                    <w:jc w:val="left"/>
                    <w:jc w:val="center"/>
                  </w:pPr>
                  <w:r>
                    <w:t xml:space="preserve">0.7 / 0.71</w:t>
                  </w:r>
                </w:p>
              </w:tc>
              <w:tc>
                <w:tcPr/>
                <w:p>
                  <w:pPr>
                    <w:pStyle w:val="Compact"/>
                    <w:jc w:val="left"/>
                    <w:jc w:val="center"/>
                  </w:pPr>
                  <w:r>
                    <w:t xml:space="preserve">76.17 / 14.9</w:t>
                  </w:r>
                </w:p>
              </w:tc>
            </w:tr>
            <w:tr>
              <w:tc>
                <w:tcPr/>
                <w:p>
                  <w:pPr>
                    <w:pStyle w:val="Compact"/>
                    <w:jc w:val="left"/>
                    <w:jc w:val="center"/>
                  </w:pPr>
                  <w:r>
                    <w:t xml:space="preserve">R</w:t>
                  </w:r>
                </w:p>
              </w:tc>
              <w:tc>
                <w:tcPr/>
                <w:p>
                  <w:pPr>
                    <w:pStyle w:val="Compact"/>
                    <w:jc w:val="left"/>
                    <w:jc w:val="center"/>
                  </w:pPr>
                  <w:r>
                    <w:t xml:space="preserve">0.51 / 0.49</w:t>
                  </w:r>
                </w:p>
              </w:tc>
              <w:tc>
                <w:tcPr/>
                <w:p>
                  <w:pPr>
                    <w:pStyle w:val="Compact"/>
                    <w:jc w:val="left"/>
                    <w:jc w:val="center"/>
                  </w:pPr>
                  <w:r>
                    <w:t xml:space="preserve">98.76 / 27.29</w:t>
                  </w:r>
                </w:p>
              </w:tc>
            </w:tr>
            <w:tr>
              <w:tc>
                <w:tcPr/>
                <w:p>
                  <w:pPr>
                    <w:pStyle w:val="Compact"/>
                    <w:jc w:val="left"/>
                    <w:jc w:val="center"/>
                  </w:pPr>
                  <w:r>
                    <w:t xml:space="preserve">NEM</w:t>
                  </w:r>
                </w:p>
              </w:tc>
              <w:tc>
                <w:tcPr/>
                <w:p>
                  <w:pPr>
                    <w:pStyle w:val="Compact"/>
                    <w:jc w:val="left"/>
                    <w:jc w:val="center"/>
                  </w:pPr>
                  <w:r>
                    <w:t xml:space="preserve">0.36 / 0.52</w:t>
                  </w:r>
                </w:p>
              </w:tc>
              <w:tc>
                <w:tcPr/>
                <w:p>
                  <w:pPr>
                    <w:pStyle w:val="Compact"/>
                    <w:jc w:val="left"/>
                    <w:jc w:val="center"/>
                  </w:pPr>
                  <w:r>
                    <w:t xml:space="preserve">42.28 / 17.98</w:t>
                  </w:r>
                </w:p>
              </w:tc>
            </w:tr>
          </w:tbl>
          <w:bookmarkEnd w:id="173"/>
          <w:p/>
        </w:tc>
      </w:tr>
    </w:tbl>
    <w:bookmarkEnd w:id="174"/>
    <w:sectPr w:rsidR="00AE5EEA" w:rsidRPr="00AE5EEA" w:rsidSect="00CF7C25">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15695F4"/>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D5C22D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C2D050E2"/>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6700F850"/>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B7A6E4E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16cid:durableId="772284873" w:numId="14">
    <w:abstractNumId w:val="10"/>
  </w:num>
  <w:num w16cid:durableId="1770469793" w:numId="15">
    <w:abstractNumId w:val="5"/>
  </w:num>
  <w:num w16cid:durableId="201554886" w:numId="16">
    <w:abstractNumId w:val="4"/>
  </w:num>
  <w:num w16cid:durableId="586883080" w:numId="17">
    <w:abstractNumId w:val="3"/>
  </w:num>
  <w:num w16cid:durableId="1743603724" w:numId="18">
    <w:abstractNumId w:val="2"/>
  </w:num>
  <w:num w16cid:durableId="1194463478" w:numId="19">
    <w:abstractNumId w:val="10"/>
  </w:num>
  <w:num w16cid:durableId="1808552402" w:numId="20">
    <w:abstractNumId w:val="5"/>
  </w:num>
  <w:num w16cid:durableId="442387816" w:numId="21">
    <w:abstractNumId w:val="4"/>
  </w:num>
  <w:num w16cid:durableId="1906530101" w:numId="22">
    <w:abstractNumId w:val="3"/>
  </w:num>
  <w:num w16cid:durableId="431709079" w:numId="23">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EB4874"/>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67" Target="media/rId167.png" /><Relationship Type="http://schemas.openxmlformats.org/officeDocument/2006/relationships/image" Id="rId147" Target="media/rId147.png" /><Relationship Type="http://schemas.openxmlformats.org/officeDocument/2006/relationships/image" Id="rId155" Target="media/rId155.png" /><Relationship Type="http://schemas.openxmlformats.org/officeDocument/2006/relationships/image" Id="rId151" Target="media/rId151.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hyperlink" Id="rId110" Target="http://www.nerrsdata.org" TargetMode="External" /><Relationship Type="http://schemas.openxmlformats.org/officeDocument/2006/relationships/hyperlink" Id="rId77" Target="https://doi.org/10.1002/2016GL068727" TargetMode="External" /><Relationship Type="http://schemas.openxmlformats.org/officeDocument/2006/relationships/hyperlink" Id="rId104" Target="https://doi.org/10.1002/2017gb005790" TargetMode="External" /><Relationship Type="http://schemas.openxmlformats.org/officeDocument/2006/relationships/hyperlink" Id="rId74" Target="https://doi.org/10.1002/lom3.10011" TargetMode="External" /><Relationship Type="http://schemas.openxmlformats.org/officeDocument/2006/relationships/hyperlink" Id="rId45" Target="https://doi.org/10.1002/lom3.10062" TargetMode="External" /><Relationship Type="http://schemas.openxmlformats.org/officeDocument/2006/relationships/hyperlink" Id="rId56" Target="https://doi.org/10.1007/978-94-017-0299-7_19" TargetMode="External" /><Relationship Type="http://schemas.openxmlformats.org/officeDocument/2006/relationships/hyperlink" Id="rId42" Target="https://doi.org/10.1007/bf02532251" TargetMode="External" /><Relationship Type="http://schemas.openxmlformats.org/officeDocument/2006/relationships/hyperlink" Id="rId118" Target="https://doi.org/10.1007/bf02782974" TargetMode="External" /><Relationship Type="http://schemas.openxmlformats.org/officeDocument/2006/relationships/hyperlink" Id="rId58" Target="https://doi.org/10.1007/bf02803563" TargetMode="External" /><Relationship Type="http://schemas.openxmlformats.org/officeDocument/2006/relationships/hyperlink" Id="rId124" Target="https://doi.org/10.1007/s00027-011-0199-2" TargetMode="External" /><Relationship Type="http://schemas.openxmlformats.org/officeDocument/2006/relationships/hyperlink" Id="rId108" Target="https://doi.org/10.1007/s12237-013-9765-2" TargetMode="External" /><Relationship Type="http://schemas.openxmlformats.org/officeDocument/2006/relationships/hyperlink" Id="rId99" Target="https://doi.org/10.1007/s12237-017-0328-9" TargetMode="External" /><Relationship Type="http://schemas.openxmlformats.org/officeDocument/2006/relationships/hyperlink" Id="rId126" Target="https://doi.org/10.1007/s12237-019-00526-0" TargetMode="External" /><Relationship Type="http://schemas.openxmlformats.org/officeDocument/2006/relationships/hyperlink" Id="rId106" Target="https://doi.org/10.1016/0022-1694(70)90255-6" TargetMode="External" /><Relationship Type="http://schemas.openxmlformats.org/officeDocument/2006/relationships/hyperlink" Id="rId50" Target="https://doi.org/10.1016/b978-0-12-374711-2.00504-0" TargetMode="External" /><Relationship Type="http://schemas.openxmlformats.org/officeDocument/2006/relationships/hyperlink" Id="rId91" Target="https://doi.org/10.1016/b978-0-12-374711-2.00706-3" TargetMode="External" /><Relationship Type="http://schemas.openxmlformats.org/officeDocument/2006/relationships/hyperlink" Id="rId122" Target="https://doi.org/10.1016/b978-0-12-405070-9.50007-4" TargetMode="External" /><Relationship Type="http://schemas.openxmlformats.org/officeDocument/2006/relationships/hyperlink" Id="rId87" Target="https://doi.org/10.1016/j.agrformet.2003.10.001" TargetMode="External" /><Relationship Type="http://schemas.openxmlformats.org/officeDocument/2006/relationships/hyperlink" Id="rId62" Target="https://doi.org/10.1016/j.ecolmodel.2007.10.025" TargetMode="External" /><Relationship Type="http://schemas.openxmlformats.org/officeDocument/2006/relationships/hyperlink" Id="rId85" Target="https://doi.org/10.1016/j.marchem.2005.03.008" TargetMode="External" /><Relationship Type="http://schemas.openxmlformats.org/officeDocument/2006/relationships/hyperlink" Id="rId95" Target="https://doi.org/10.1016/j.marchem.2006.02.007" TargetMode="External" /><Relationship Type="http://schemas.openxmlformats.org/officeDocument/2006/relationships/hyperlink" Id="rId89" Target="https://doi.org/10.1016/s0302-3524(80)80065-x" TargetMode="External" /><Relationship Type="http://schemas.openxmlformats.org/officeDocument/2006/relationships/hyperlink" Id="rId52" Target="https://doi.org/10.1016/s0304-3800(01)00328-3" TargetMode="External" /><Relationship Type="http://schemas.openxmlformats.org/officeDocument/2006/relationships/hyperlink" Id="rId68" Target="https://doi.org/10.1017/cbo9780511525025.006" TargetMode="External" /><Relationship Type="http://schemas.openxmlformats.org/officeDocument/2006/relationships/hyperlink" Id="rId66" Target="https://doi.org/10.1029/2007jc004663" TargetMode="External" /><Relationship Type="http://schemas.openxmlformats.org/officeDocument/2006/relationships/hyperlink" Id="rId134" Target="https://doi.org/10.1038/nature11205" TargetMode="External" /><Relationship Type="http://schemas.openxmlformats.org/officeDocument/2006/relationships/hyperlink" Id="rId54" Target="https://doi.org/10.1038/s41598-017-05031-7" TargetMode="External" /><Relationship Type="http://schemas.openxmlformats.org/officeDocument/2006/relationships/hyperlink" Id="rId132" Target="https://doi.org/10.1080/iw-6.4.883" TargetMode="External" /><Relationship Type="http://schemas.openxmlformats.org/officeDocument/2006/relationships/hyperlink" Id="rId83" Target="https://doi.org/10.1093/acprof:oso/9780198527084.003.0008" TargetMode="External" /><Relationship Type="http://schemas.openxmlformats.org/officeDocument/2006/relationships/hyperlink" Id="rId101" Target="https://doi.org/10.1139/f01-082" TargetMode="External" /><Relationship Type="http://schemas.openxmlformats.org/officeDocument/2006/relationships/hyperlink" Id="rId48" Target="https://doi.org/10.1146/annurev-marine-042121-012329" TargetMode="External" /><Relationship Type="http://schemas.openxmlformats.org/officeDocument/2006/relationships/hyperlink" Id="rId60" Target="https://doi.org/10.1146/annurev-marine-120709-142723" TargetMode="External" /><Relationship Type="http://schemas.openxmlformats.org/officeDocument/2006/relationships/hyperlink" Id="rId93" Target="https://doi.org/10.1175/1520-0477(1997)078&lt;0197:eagmeb&gt;2.0.co;2" TargetMode="External" /><Relationship Type="http://schemas.openxmlformats.org/officeDocument/2006/relationships/hyperlink" Id="rId97" Target="https://doi.org/10.13031/2013.23153" TargetMode="External" /><Relationship Type="http://schemas.openxmlformats.org/officeDocument/2006/relationships/hyperlink" Id="rId128" Target="https://doi.org/10.1672/07-190.1" TargetMode="External" /><Relationship Type="http://schemas.openxmlformats.org/officeDocument/2006/relationships/hyperlink" Id="rId116" Target="https://doi.org/10.1899/12-058.1" TargetMode="External" /><Relationship Type="http://schemas.openxmlformats.org/officeDocument/2006/relationships/hyperlink" Id="rId120" Target="https://doi.org/10.2307/j.ctt3fgxqx" TargetMode="External" /><Relationship Type="http://schemas.openxmlformats.org/officeDocument/2006/relationships/hyperlink" Id="rId72" Target="https://doi.org/10.3354/meps301023" TargetMode="External" /><Relationship Type="http://schemas.openxmlformats.org/officeDocument/2006/relationships/hyperlink" Id="rId70" Target="https://doi.org/10.4319/lo.1992.37.6.1307" TargetMode="External" /><Relationship Type="http://schemas.openxmlformats.org/officeDocument/2006/relationships/hyperlink" Id="rId81" Target="https://doi.org/10.4319/lo.2010.55.3.1047" TargetMode="External" /><Relationship Type="http://schemas.openxmlformats.org/officeDocument/2006/relationships/hyperlink" Id="rId79" Target="https://doi.org/10.4319/lo.2013.58.6.2089" TargetMode="External" /><Relationship Type="http://schemas.openxmlformats.org/officeDocument/2006/relationships/hyperlink" Id="rId130" Target="https://doi.org/10.4319/lom.2014.12.351" TargetMode="External" /><Relationship Type="http://schemas.openxmlformats.org/officeDocument/2006/relationships/hyperlink" Id="rId64" Target="https://doi.org/10.5194/bg-11-2477-2014" TargetMode="External" /><Relationship Type="http://schemas.openxmlformats.org/officeDocument/2006/relationships/hyperlink" Id="rId26" Target="https://github.com/dgiling/BASEmetab" TargetMode="External" /><Relationship Type="http://schemas.openxmlformats.org/officeDocument/2006/relationships/hyperlink" Id="rId114"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10" Target="http://www.nerrsdata.org" TargetMode="External" /><Relationship Type="http://schemas.openxmlformats.org/officeDocument/2006/relationships/hyperlink" Id="rId77" Target="https://doi.org/10.1002/2016GL068727" TargetMode="External" /><Relationship Type="http://schemas.openxmlformats.org/officeDocument/2006/relationships/hyperlink" Id="rId104" Target="https://doi.org/10.1002/2017gb005790" TargetMode="External" /><Relationship Type="http://schemas.openxmlformats.org/officeDocument/2006/relationships/hyperlink" Id="rId74" Target="https://doi.org/10.1002/lom3.10011" TargetMode="External" /><Relationship Type="http://schemas.openxmlformats.org/officeDocument/2006/relationships/hyperlink" Id="rId45" Target="https://doi.org/10.1002/lom3.10062" TargetMode="External" /><Relationship Type="http://schemas.openxmlformats.org/officeDocument/2006/relationships/hyperlink" Id="rId56" Target="https://doi.org/10.1007/978-94-017-0299-7_19" TargetMode="External" /><Relationship Type="http://schemas.openxmlformats.org/officeDocument/2006/relationships/hyperlink" Id="rId42" Target="https://doi.org/10.1007/bf02532251" TargetMode="External" /><Relationship Type="http://schemas.openxmlformats.org/officeDocument/2006/relationships/hyperlink" Id="rId118" Target="https://doi.org/10.1007/bf02782974" TargetMode="External" /><Relationship Type="http://schemas.openxmlformats.org/officeDocument/2006/relationships/hyperlink" Id="rId58" Target="https://doi.org/10.1007/bf02803563" TargetMode="External" /><Relationship Type="http://schemas.openxmlformats.org/officeDocument/2006/relationships/hyperlink" Id="rId124" Target="https://doi.org/10.1007/s00027-011-0199-2" TargetMode="External" /><Relationship Type="http://schemas.openxmlformats.org/officeDocument/2006/relationships/hyperlink" Id="rId108" Target="https://doi.org/10.1007/s12237-013-9765-2" TargetMode="External" /><Relationship Type="http://schemas.openxmlformats.org/officeDocument/2006/relationships/hyperlink" Id="rId99" Target="https://doi.org/10.1007/s12237-017-0328-9" TargetMode="External" /><Relationship Type="http://schemas.openxmlformats.org/officeDocument/2006/relationships/hyperlink" Id="rId126" Target="https://doi.org/10.1007/s12237-019-00526-0" TargetMode="External" /><Relationship Type="http://schemas.openxmlformats.org/officeDocument/2006/relationships/hyperlink" Id="rId106" Target="https://doi.org/10.1016/0022-1694(70)90255-6" TargetMode="External" /><Relationship Type="http://schemas.openxmlformats.org/officeDocument/2006/relationships/hyperlink" Id="rId50" Target="https://doi.org/10.1016/b978-0-12-374711-2.00504-0" TargetMode="External" /><Relationship Type="http://schemas.openxmlformats.org/officeDocument/2006/relationships/hyperlink" Id="rId91" Target="https://doi.org/10.1016/b978-0-12-374711-2.00706-3" TargetMode="External" /><Relationship Type="http://schemas.openxmlformats.org/officeDocument/2006/relationships/hyperlink" Id="rId122" Target="https://doi.org/10.1016/b978-0-12-405070-9.50007-4" TargetMode="External" /><Relationship Type="http://schemas.openxmlformats.org/officeDocument/2006/relationships/hyperlink" Id="rId87" Target="https://doi.org/10.1016/j.agrformet.2003.10.001" TargetMode="External" /><Relationship Type="http://schemas.openxmlformats.org/officeDocument/2006/relationships/hyperlink" Id="rId62" Target="https://doi.org/10.1016/j.ecolmodel.2007.10.025" TargetMode="External" /><Relationship Type="http://schemas.openxmlformats.org/officeDocument/2006/relationships/hyperlink" Id="rId85" Target="https://doi.org/10.1016/j.marchem.2005.03.008" TargetMode="External" /><Relationship Type="http://schemas.openxmlformats.org/officeDocument/2006/relationships/hyperlink" Id="rId95" Target="https://doi.org/10.1016/j.marchem.2006.02.007" TargetMode="External" /><Relationship Type="http://schemas.openxmlformats.org/officeDocument/2006/relationships/hyperlink" Id="rId89" Target="https://doi.org/10.1016/s0302-3524(80)80065-x" TargetMode="External" /><Relationship Type="http://schemas.openxmlformats.org/officeDocument/2006/relationships/hyperlink" Id="rId52" Target="https://doi.org/10.1016/s0304-3800(01)00328-3" TargetMode="External" /><Relationship Type="http://schemas.openxmlformats.org/officeDocument/2006/relationships/hyperlink" Id="rId68" Target="https://doi.org/10.1017/cbo9780511525025.006" TargetMode="External" /><Relationship Type="http://schemas.openxmlformats.org/officeDocument/2006/relationships/hyperlink" Id="rId66" Target="https://doi.org/10.1029/2007jc004663" TargetMode="External" /><Relationship Type="http://schemas.openxmlformats.org/officeDocument/2006/relationships/hyperlink" Id="rId134" Target="https://doi.org/10.1038/nature11205" TargetMode="External" /><Relationship Type="http://schemas.openxmlformats.org/officeDocument/2006/relationships/hyperlink" Id="rId54" Target="https://doi.org/10.1038/s41598-017-05031-7" TargetMode="External" /><Relationship Type="http://schemas.openxmlformats.org/officeDocument/2006/relationships/hyperlink" Id="rId132" Target="https://doi.org/10.1080/iw-6.4.883" TargetMode="External" /><Relationship Type="http://schemas.openxmlformats.org/officeDocument/2006/relationships/hyperlink" Id="rId83" Target="https://doi.org/10.1093/acprof:oso/9780198527084.003.0008" TargetMode="External" /><Relationship Type="http://schemas.openxmlformats.org/officeDocument/2006/relationships/hyperlink" Id="rId101" Target="https://doi.org/10.1139/f01-082" TargetMode="External" /><Relationship Type="http://schemas.openxmlformats.org/officeDocument/2006/relationships/hyperlink" Id="rId48" Target="https://doi.org/10.1146/annurev-marine-042121-012329" TargetMode="External" /><Relationship Type="http://schemas.openxmlformats.org/officeDocument/2006/relationships/hyperlink" Id="rId60" Target="https://doi.org/10.1146/annurev-marine-120709-142723" TargetMode="External" /><Relationship Type="http://schemas.openxmlformats.org/officeDocument/2006/relationships/hyperlink" Id="rId93" Target="https://doi.org/10.1175/1520-0477(1997)078&lt;0197:eagmeb&gt;2.0.co;2" TargetMode="External" /><Relationship Type="http://schemas.openxmlformats.org/officeDocument/2006/relationships/hyperlink" Id="rId97" Target="https://doi.org/10.13031/2013.23153" TargetMode="External" /><Relationship Type="http://schemas.openxmlformats.org/officeDocument/2006/relationships/hyperlink" Id="rId128" Target="https://doi.org/10.1672/07-190.1" TargetMode="External" /><Relationship Type="http://schemas.openxmlformats.org/officeDocument/2006/relationships/hyperlink" Id="rId116" Target="https://doi.org/10.1899/12-058.1" TargetMode="External" /><Relationship Type="http://schemas.openxmlformats.org/officeDocument/2006/relationships/hyperlink" Id="rId120" Target="https://doi.org/10.2307/j.ctt3fgxqx" TargetMode="External" /><Relationship Type="http://schemas.openxmlformats.org/officeDocument/2006/relationships/hyperlink" Id="rId72" Target="https://doi.org/10.3354/meps301023" TargetMode="External" /><Relationship Type="http://schemas.openxmlformats.org/officeDocument/2006/relationships/hyperlink" Id="rId70" Target="https://doi.org/10.4319/lo.1992.37.6.1307" TargetMode="External" /><Relationship Type="http://schemas.openxmlformats.org/officeDocument/2006/relationships/hyperlink" Id="rId81" Target="https://doi.org/10.4319/lo.2010.55.3.1047" TargetMode="External" /><Relationship Type="http://schemas.openxmlformats.org/officeDocument/2006/relationships/hyperlink" Id="rId79" Target="https://doi.org/10.4319/lo.2013.58.6.2089" TargetMode="External" /><Relationship Type="http://schemas.openxmlformats.org/officeDocument/2006/relationships/hyperlink" Id="rId130" Target="https://doi.org/10.4319/lom.2014.12.351" TargetMode="External" /><Relationship Type="http://schemas.openxmlformats.org/officeDocument/2006/relationships/hyperlink" Id="rId64" Target="https://doi.org/10.5194/bg-11-2477-2014" TargetMode="External" /><Relationship Type="http://schemas.openxmlformats.org/officeDocument/2006/relationships/hyperlink" Id="rId26" Target="https://github.com/dgiling/BASEmetab" TargetMode="External" /><Relationship Type="http://schemas.openxmlformats.org/officeDocument/2006/relationships/hyperlink" Id="rId114"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1284</Characters>
  <Application>Microsoft Office Word</Application>
  <DocSecurity>0</DocSecurity>
  <Lines>10</Lines>
  <Paragraphs>3</Paragraphs>
  <ScaleCrop>false</ScaleCrop>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Herrmann2, and Raymond G Najjar2</dc:creator>
  <cp:keywords/>
  <dcterms:created xsi:type="dcterms:W3CDTF">2024-02-29T23:04:13Z</dcterms:created>
  <dcterms:modified xsi:type="dcterms:W3CDTF">2024-02-29T23:04:13Z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