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71.png" ContentType="image/png"/>
  <Override PartName="/word/media/rId151.png" ContentType="image/png"/>
  <Override PartName="/word/media/rId159.png" ContentType="image/png"/>
  <Override PartName="/word/media/rId155.png" ContentType="image/png"/>
  <Override PartName="/word/media/rId143.png" ContentType="image/png"/>
  <Override PartName="/word/media/rId147.png" ContentType="image/png"/>
  <Override PartName="/word/media/rId163.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w:t>
      </w:r>
      <w:hyperlink r:id="rId22">
        <w:r>
          <w:rPr>
            <w:rStyle w:val="Hyperlink"/>
          </w:rPr>
          <w:t xml:space="preserve">https://cran.r-project.org/web/packages/EBASE/index.html</w:t>
        </w:r>
      </w:hyperlink>
      <w:r>
        <w:t xml:space="preserve">, Beck et al. 2023; R Core Team 2023)</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sSub>
            <m:e>
              <m:r>
                <m:t>k</m:t>
              </m:r>
            </m:e>
            <m:sub>
              <m:r>
                <m:t>w</m:t>
              </m:r>
            </m:sub>
          </m:sSub>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consistent with the known decrease of</w:t>
      </w:r>
      <w:r>
        <w:t xml:space="preserve"> </w:t>
      </w:r>
      <m:oMath>
        <m:sSub>
          <m:e>
            <m:r>
              <m:t>k</m:t>
            </m:r>
          </m:e>
          <m:sub>
            <m:r>
              <m:t>w</m:t>
            </m:r>
          </m:sub>
        </m:sSub>
      </m:oMath>
      <w:r>
        <w:t xml:space="preserve"> </w:t>
      </w:r>
      <w:r>
        <w:t xml:space="preserve">with the Schmidt number. However, open-water systems like estuaries are more susceptible to wind-based influences on gas exchange, particularly for</w:t>
      </w:r>
      <w:r>
        <w:t xml:space="preserve"> </w:t>
      </w:r>
      <m:oMath>
        <m:sSub>
          <m:e>
            <m:r>
              <m:t>k</m:t>
            </m:r>
          </m:e>
          <m:sub>
            <m:r>
              <m:t>w</m:t>
            </m:r>
          </m:sub>
        </m:sSub>
      </m:oMath>
      <w:r>
        <w:t xml:space="preserve"> </w:t>
      </w:r>
      <w:r>
        <w:t xml:space="preserve">(Wanninkhof 2014; Van Dam et al. 2019)</w:t>
      </w:r>
      <w:r>
        <w:t xml:space="preserve">. Based on this difference and the lack of availability of other possible drivers of the transfer velocity in coastal systems,</w:t>
      </w:r>
      <w:r>
        <w:t xml:space="preserve"> </w:t>
      </w:r>
      <w:hyperlink w:anchor="eq-gasexbase">
        <w:r>
          <w:rPr>
            <w:rStyle w:val="Hyperlink"/>
          </w:rPr>
          <w:t xml:space="preserve">Equation 3</w:t>
        </w:r>
      </w:hyperlink>
      <w:r>
        <w:t xml:space="preserve"> </w:t>
      </w:r>
      <w:r>
        <w:t xml:space="preserve">is not used herein. Instead, the well-established wind- and temperature-based parameterization for gas exchange of</w:t>
      </w:r>
      <w:r>
        <w:t xml:space="preserve"> </w:t>
      </w:r>
      <w:r>
        <w:t xml:space="preserve">Wanninkhof (2014)</w:t>
      </w:r>
      <w:r>
        <w:t xml:space="preserve"> </w:t>
      </w:r>
      <w:r>
        <w:t xml:space="preserve">was used for EBASE</w:t>
      </w:r>
      <w:r>
        <w:t xml:space="preserve"> </w:t>
      </w:r>
      <w:hyperlink w:anchor="eq-kw">
        <w:r>
          <w:rPr>
            <w:rStyle w:val="Hyperlink"/>
          </w:rPr>
          <w:t xml:space="preserve">Equation 2</w:t>
        </w:r>
      </w:hyperlink>
      <w:r>
        <w:t xml:space="preserv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w:t>
      </w:r>
      <w:hyperlink r:id="rId22">
        <w:r>
          <w:rPr>
            <w:rStyle w:val="Hyperlink"/>
          </w:rPr>
          <w:t xml:space="preserve">https://cran.r-project.org/web/packages/EBASE/index.html</w:t>
        </w:r>
      </w:hyperlink>
      <w:r>
        <w:t xml:space="preserve">, Beck et al. 2023; R Core Team 2023)</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v1.0.0</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ingassing during high productivity and outgassing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41" w:name="references"/>
    <w:p>
      <w:pPr>
        <w:pStyle w:val="Heading2"/>
      </w:pPr>
      <w:r>
        <w:t xml:space="preserve">References</w:t>
      </w:r>
    </w:p>
    <w:bookmarkStart w:id="140"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vandam2019"/>
    <w:p>
      <w:pPr>
        <w:pStyle w:val="Bibliography"/>
      </w:pPr>
      <w:r>
        <w:t xml:space="preserve">Van Dam, B. R., J. B. Edson, and C. Tobias. 2019. Parameterizing Air-Water Gas Exchange in the Shallow, Microtidal</w:t>
      </w:r>
      <w:r>
        <w:t xml:space="preserve"> </w:t>
      </w:r>
      <w:r>
        <w:t xml:space="preserve">N</w:t>
      </w:r>
      <w:r>
        <w:t xml:space="preserve">ew</w:t>
      </w:r>
      <w:r>
        <w:t xml:space="preserve"> </w:t>
      </w:r>
      <w:r>
        <w:t xml:space="preserve">R</w:t>
      </w:r>
      <w:r>
        <w:t xml:space="preserve">iver</w:t>
      </w:r>
      <w:r>
        <w:t xml:space="preserve"> </w:t>
      </w:r>
      <w:r>
        <w:t xml:space="preserve">E</w:t>
      </w:r>
      <w:r>
        <w:t xml:space="preserve">stuary. Journal of Geophysical Research: Biogeosciences</w:t>
      </w:r>
      <w:r>
        <w:t xml:space="preserve"> </w:t>
      </w:r>
      <w:r>
        <w:rPr>
          <w:bCs/>
          <w:b/>
        </w:rPr>
        <w:t xml:space="preserve">124</w:t>
      </w:r>
      <w:r>
        <w:t xml:space="preserve">: 2351–2363. doi:</w:t>
      </w:r>
      <w:hyperlink r:id="rId132">
        <w:r>
          <w:rPr>
            <w:rStyle w:val="Hyperlink"/>
          </w:rPr>
          <w:t xml:space="preserve">10.1029/2018jg004908</w:t>
        </w:r>
      </w:hyperlink>
    </w:p>
    <w:bookmarkEnd w:id="133"/>
    <w:bookmarkStart w:id="135"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4">
        <w:r>
          <w:rPr>
            <w:rStyle w:val="Hyperlink"/>
          </w:rPr>
          <w:t xml:space="preserve">10.4319/lom.2014.12.351</w:t>
        </w:r>
      </w:hyperlink>
    </w:p>
    <w:bookmarkEnd w:id="135"/>
    <w:bookmarkStart w:id="137"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6">
        <w:r>
          <w:rPr>
            <w:rStyle w:val="Hyperlink"/>
          </w:rPr>
          <w:t xml:space="preserve">10.1080/iw-6.4.883</w:t>
        </w:r>
      </w:hyperlink>
    </w:p>
    <w:bookmarkEnd w:id="137"/>
    <w:bookmarkStart w:id="139"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8">
        <w:r>
          <w:rPr>
            <w:rStyle w:val="Hyperlink"/>
          </w:rPr>
          <w:t xml:space="preserve">10.1038/nature11205</w:t>
        </w:r>
      </w:hyperlink>
    </w:p>
    <w:bookmarkEnd w:id="139"/>
    <w:bookmarkEnd w:id="140"/>
    <w:bookmarkEnd w:id="141"/>
    <w:bookmarkStart w:id="142"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2"/>
    <w:bookmarkStart w:id="175"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6" w:name="fig-priorplot"/>
          <w:p>
            <w:pPr>
              <w:pStyle w:val="Compact"/>
              <w:jc w:val="center"/>
            </w:pPr>
            <w:r>
              <w:drawing>
                <wp:inline>
                  <wp:extent cx="5943600" cy="2286000"/>
                  <wp:effectExtent b="0" l="0" r="0" t="0"/>
                  <wp:docPr descr="" title="" id="144" name="Picture"/>
                  <a:graphic>
                    <a:graphicData uri="http://schemas.openxmlformats.org/drawingml/2006/picture">
                      <pic:pic>
                        <pic:nvPicPr>
                          <pic:cNvPr descr="figs/priorplot.png" id="145" name="Picture"/>
                          <pic:cNvPicPr>
                            <a:picLocks noChangeArrowheads="1" noChangeAspect="1"/>
                          </pic:cNvPicPr>
                        </pic:nvPicPr>
                        <pic:blipFill>
                          <a:blip r:embed="rId143"/>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0" w:name="fig-synapa"/>
          <w:p>
            <w:pPr>
              <w:pStyle w:val="Compact"/>
              <w:jc w:val="center"/>
            </w:pPr>
            <w:r>
              <w:drawing>
                <wp:inline>
                  <wp:extent cx="5943600" cy="5943600"/>
                  <wp:effectExtent b="0" l="0" r="0" t="0"/>
                  <wp:docPr descr="" title="" id="148" name="Picture"/>
                  <a:graphic>
                    <a:graphicData uri="http://schemas.openxmlformats.org/drawingml/2006/picture">
                      <pic:pic>
                        <pic:nvPicPr>
                          <pic:cNvPr descr="figs/synapa.png" id="149" name="Picture"/>
                          <pic:cNvPicPr>
                            <a:picLocks noChangeArrowheads="1" noChangeAspect="1"/>
                          </pic:cNvPicPr>
                        </pic:nvPicPr>
                        <pic:blipFill>
                          <a:blip r:embed="rId1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4" w:name="fig-defplo"/>
          <w:p>
            <w:pPr>
              <w:pStyle w:val="Compact"/>
              <w:jc w:val="center"/>
            </w:pPr>
            <w:r>
              <w:drawing>
                <wp:inline>
                  <wp:extent cx="5943600" cy="5943600"/>
                  <wp:effectExtent b="0" l="0" r="0" t="0"/>
                  <wp:docPr descr="" title="" id="152" name="Picture"/>
                  <a:graphic>
                    <a:graphicData uri="http://schemas.openxmlformats.org/drawingml/2006/picture">
                      <pic:pic>
                        <pic:nvPicPr>
                          <pic:cNvPr descr="figs/defplo.png" id="153" name="Picture"/>
                          <pic:cNvPicPr>
                            <a:picLocks noChangeArrowheads="1" noChangeAspect="1"/>
                          </pic:cNvPicPr>
                        </pic:nvPicPr>
                        <pic:blipFill>
                          <a:blip r:embed="rId15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8" w:name="fig-priorcomp"/>
          <w:p>
            <w:pPr>
              <w:pStyle w:val="Compact"/>
              <w:jc w:val="center"/>
            </w:pPr>
            <w:r>
              <w:drawing>
                <wp:inline>
                  <wp:extent cx="5497394" cy="3664929"/>
                  <wp:effectExtent b="0" l="0" r="0" t="0"/>
                  <wp:docPr descr="" title="" id="156" name="Picture"/>
                  <a:graphic>
                    <a:graphicData uri="http://schemas.openxmlformats.org/drawingml/2006/picture">
                      <pic:pic>
                        <pic:nvPicPr>
                          <pic:cNvPr descr="figs/priorcomp.png" id="157" name="Picture"/>
                          <pic:cNvPicPr>
                            <a:picLocks noChangeArrowheads="1" noChangeAspect="1"/>
                          </pic:cNvPicPr>
                        </pic:nvPicPr>
                        <pic:blipFill>
                          <a:blip r:embed="rId155"/>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2" w:name="fig-optex"/>
          <w:p>
            <w:pPr>
              <w:pStyle w:val="Compact"/>
              <w:jc w:val="center"/>
            </w:pPr>
            <w:r>
              <w:drawing>
                <wp:inline>
                  <wp:extent cx="5943600" cy="5283200"/>
                  <wp:effectExtent b="0" l="0" r="0" t="0"/>
                  <wp:docPr descr="" title="" id="160" name="Picture"/>
                  <a:graphic>
                    <a:graphicData uri="http://schemas.openxmlformats.org/drawingml/2006/picture">
                      <pic:pic>
                        <pic:nvPicPr>
                          <pic:cNvPr descr="figs/optex.png" id="161" name="Picture"/>
                          <pic:cNvPicPr>
                            <a:picLocks noChangeArrowheads="1" noChangeAspect="1"/>
                          </pic:cNvPicPr>
                        </pic:nvPicPr>
                        <pic:blipFill>
                          <a:blip r:embed="rId159"/>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6" w:name="fig-synapanos"/>
          <w:p>
            <w:pPr>
              <w:pStyle w:val="Compact"/>
              <w:jc w:val="center"/>
            </w:pPr>
            <w:r>
              <w:drawing>
                <wp:inline>
                  <wp:extent cx="5943600" cy="4457700"/>
                  <wp:effectExtent b="0" l="0" r="0" t="0"/>
                  <wp:docPr descr="" title="" id="164" name="Picture"/>
                  <a:graphic>
                    <a:graphicData uri="http://schemas.openxmlformats.org/drawingml/2006/picture">
                      <pic:pic>
                        <pic:nvPicPr>
                          <pic:cNvPr descr="figs/synapanos.png" id="165" name="Picture"/>
                          <pic:cNvPicPr>
                            <a:picLocks noChangeArrowheads="1" noChangeAspect="1"/>
                          </pic:cNvPicPr>
                        </pic:nvPicPr>
                        <pic:blipFill>
                          <a:blip r:embed="rId163"/>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0" w:name="fig-synapanoscmp"/>
          <w:p>
            <w:pPr>
              <w:pStyle w:val="Compact"/>
              <w:jc w:val="center"/>
            </w:pPr>
            <w:r>
              <w:drawing>
                <wp:inline>
                  <wp:extent cx="5943600" cy="4669971"/>
                  <wp:effectExtent b="0" l="0" r="0" t="0"/>
                  <wp:docPr descr="" title="" id="168" name="Picture"/>
                  <a:graphic>
                    <a:graphicData uri="http://schemas.openxmlformats.org/drawingml/2006/picture">
                      <pic:pic>
                        <pic:nvPicPr>
                          <pic:cNvPr descr="figs/synapanoscmp.png" id="169" name="Picture"/>
                          <pic:cNvPicPr>
                            <a:picLocks noChangeArrowheads="1" noChangeAspect="1"/>
                          </pic:cNvPicPr>
                        </pic:nvPicPr>
                        <pic:blipFill>
                          <a:blip r:embed="rId167"/>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7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4" w:name="fig-apacmpfig"/>
          <w:p>
            <w:pPr>
              <w:pStyle w:val="Compact"/>
              <w:jc w:val="center"/>
            </w:pPr>
            <w:r>
              <w:drawing>
                <wp:inline>
                  <wp:extent cx="3206813" cy="6413627"/>
                  <wp:effectExtent b="0" l="0" r="0" t="0"/>
                  <wp:docPr descr="" title="" id="172" name="Picture"/>
                  <a:graphic>
                    <a:graphicData uri="http://schemas.openxmlformats.org/drawingml/2006/picture">
                      <pic:pic>
                        <pic:nvPicPr>
                          <pic:cNvPr descr="figs/apacmpfig.png" id="173" name="Picture"/>
                          <pic:cNvPicPr>
                            <a:picLocks noChangeArrowheads="1" noChangeAspect="1"/>
                          </pic:cNvPicPr>
                        </pic:nvPicPr>
                        <pic:blipFill>
                          <a:blip r:embed="rId171"/>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4"/>
        </w:tc>
      </w:tr>
    </w:tbl>
    <w:p>
      <w:r>
        <w:br w:type="page"/>
      </w:r>
    </w:p>
    <w:bookmarkEnd w:id="175"/>
    <w:bookmarkStart w:id="178"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6"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6"/>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7"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7"/>
          <w:p/>
        </w:tc>
      </w:tr>
    </w:tbl>
    <w:bookmarkEnd w:id="178"/>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71" Target="media/rId171.png" /><Relationship Type="http://schemas.openxmlformats.org/officeDocument/2006/relationships/image" Id="rId151" Target="media/rId151.png" /><Relationship Type="http://schemas.openxmlformats.org/officeDocument/2006/relationships/image" Id="rId159" Target="media/rId159.png" /><Relationship Type="http://schemas.openxmlformats.org/officeDocument/2006/relationships/image" Id="rId155" Target="media/rId155.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2" Target="https://doi.org/10.1029/2018jg004908" TargetMode="External" /><Relationship Type="http://schemas.openxmlformats.org/officeDocument/2006/relationships/hyperlink" Id="rId138"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6"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4"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2" Target="https://doi.org/10.1029/2018jg004908" TargetMode="External" /><Relationship Type="http://schemas.openxmlformats.org/officeDocument/2006/relationships/hyperlink" Id="rId138"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6"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4"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2024-03-09T00:48:20Z</dcterms:created>
  <dcterms:modified xsi:type="dcterms:W3CDTF">2024-03-09T00:48:20Z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