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23" w:name="materials-and-procedures"/>
    <w:p>
      <w:pPr>
        <w:pStyle w:val="Heading2"/>
      </w:pPr>
      <w:r>
        <w:t xml:space="preserve">2 Materials and Procedures</w:t>
      </w:r>
    </w:p>
    <w:p>
      <w:pPr>
        <w:numPr>
          <w:ilvl w:val="0"/>
          <w:numId w:val="1002"/>
        </w:numPr>
        <w:pStyle w:val="Compact"/>
      </w:pPr>
      <w:r>
        <w:t xml:space="preserve">EBASE theory</w:t>
      </w:r>
    </w:p>
    <w:p>
      <w:pPr>
        <w:numPr>
          <w:ilvl w:val="0"/>
          <w:numId w:val="1002"/>
        </w:numPr>
        <w:pStyle w:val="Compact"/>
      </w:pPr>
      <w:r>
        <w:t xml:space="preserve">EBASE R package</w:t>
      </w:r>
    </w:p>
    <w:bookmarkEnd w:id="23"/>
    <w:bookmarkStart w:id="28" w:name="assessment"/>
    <w:p>
      <w:pPr>
        <w:pStyle w:val="Heading2"/>
      </w:pPr>
      <w:r>
        <w:t xml:space="preserve">3 Assessment</w:t>
      </w:r>
    </w:p>
    <w:bookmarkStart w:id="24" w:name="X0d02bab476da195afb173dba74198ce7a19589a"/>
    <w:p>
      <w:pPr>
        <w:pStyle w:val="Heading3"/>
      </w:pPr>
      <w:r>
        <w:t xml:space="preserve">3.1 EBASE comparison with modelled observations</w:t>
      </w:r>
    </w:p>
    <w:p>
      <w:pPr>
        <w:numPr>
          <w:ilvl w:val="0"/>
          <w:numId w:val="1003"/>
        </w:numPr>
        <w:pStyle w:val="Compact"/>
      </w:pPr>
      <w:r>
        <w:t xml:space="preserve">Comparison with Odum and BASEmetab: Fwoxy Appalachicola</w:t>
      </w:r>
    </w:p>
    <w:bookmarkEnd w:id="24"/>
    <w:bookmarkStart w:id="25" w:name="ebase-comparison-with-real-observations"/>
    <w:p>
      <w:pPr>
        <w:pStyle w:val="Heading3"/>
      </w:pPr>
      <w:r>
        <w:t xml:space="preserve">3.2 EBASE comparison with real observations</w:t>
      </w:r>
    </w:p>
    <w:p>
      <w:pPr>
        <w:pStyle w:val="FirstParagraph"/>
      </w:pPr>
      <w:r>
        <w:t xml:space="preserve">Metabolic estimates from EBASE were compared to those from existing methods to benchmark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1</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BASmetab methods.</w:t>
      </w:r>
    </w:p>
    <w:bookmarkEnd w:id="25"/>
    <w:bookmarkStart w:id="26" w:name="sensitivity-analyses"/>
    <w:p>
      <w:pPr>
        <w:pStyle w:val="Heading3"/>
      </w:pPr>
      <w:r>
        <w:t xml:space="preserve">3.3 Sensitivity analyses</w:t>
      </w:r>
    </w:p>
    <w:p>
      <w:pPr>
        <w:pStyle w:val="FirstParagraph"/>
      </w:pPr>
      <w:r>
        <w:t xml:space="preserve">Several configurations of the EBASE model can influence how the metabolic rates are estimated. A simulated time series with known values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that are returned by EBASE was used to determine if 1) EBASE estimates similar values, and 2) how the estimated values change with different model configurations. Two types of sensitivity analyses were conducted to evaluate changes in the parameters returned by EBASE, where in all cases, the parameters were compared to the known values in the simulated time series. First, parameter estimates were compared to the known values after changing characteristics of their prior distributions. Second, parameter estimates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for the</w:t>
      </w:r>
      <w:r>
        <w:t xml:space="preserve"> </w:t>
      </w:r>
      <m:oMath>
        <m:r>
          <m:t>b</m:t>
        </m:r>
      </m:oMath>
      <w:r>
        <w:t xml:space="preserve"> </w:t>
      </w:r>
      <w:r>
        <w:t xml:space="preserve">parameter. Changes in both the mean and standard deviation of the</w:t>
      </w:r>
      <w:r>
        <w:t xml:space="preserve"> </w:t>
      </w:r>
      <m:oMath>
        <m:r>
          <m:t>b</m:t>
        </m:r>
      </m:oMath>
      <w:r>
        <w:t xml:space="preserve"> </w:t>
      </w:r>
      <w:r>
        <w:t xml:space="preserve">prior were evaluated, where the mean was varied as 50%, 100%, and 200% (the upper limit)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in each optimization period are returned for the</w:t>
      </w:r>
      <w:r>
        <w:t xml:space="preserve"> </w:t>
      </w:r>
      <m:oMath>
        <m:r>
          <m:t>a</m:t>
        </m:r>
      </m:oMath>
      <w:r>
        <w:t xml:space="preserve"> </w:t>
      </w:r>
      <w:r>
        <w:t xml:space="preserve">parameter (e.g., 96 values for 24 hour time period if the samplign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unique analyses for the assessment of changing standard deviations of all parameters and 18 unique analyses for the assessment of changing the mean and standard deviation of only the</w:t>
      </w:r>
      <w:r>
        <w:t xml:space="preserve"> </w:t>
      </w:r>
      <m:oMath>
        <m:r>
          <m:t>b</m:t>
        </m:r>
      </m:oMath>
      <w:r>
        <w:t xml:space="preserve"> </w:t>
      </w:r>
      <w:r>
        <w:t xml:space="preserve">parameter.</w:t>
      </w:r>
    </w:p>
    <w:p>
      <w:pPr>
        <w:pStyle w:val="BodyText"/>
      </w:pPr>
      <w:r>
        <w:t xml:space="preserve">The metabolic estimates returned from each analysis were compared to the known values to determine which priors the model was most sensitive to and if the conclusions varied by optimization period. Estimates for the modeled dissolved oxygen, gross production, respiration (</w:t>
      </w:r>
      <m:oMath>
        <m:r>
          <m:t>r</m:t>
        </m:r>
      </m:oMath>
      <w:r>
        <w:t xml:space="preserve">), gas exchange (</w:t>
      </w:r>
      <m:oMath>
        <m:r>
          <m:t>D</m:t>
        </m:r>
      </m:oMath>
      <w:r>
        <w:t xml:space="preserve">), and</w:t>
      </w:r>
      <w:r>
        <w:t xml:space="preserve"> </w:t>
      </w:r>
      <m:oMath>
        <m:r>
          <m:t>a</m:t>
        </m:r>
      </m:oMath>
      <w:r>
        <w:t xml:space="preserve"> </w:t>
      </w:r>
      <w:r>
        <w:t xml:space="preserve">were compared to those from the simulated time series using coefficient of variation (</w:t>
      </w:r>
      <m:oMath>
        <m:sSup>
          <m:e>
            <m:r>
              <m:t>R</m:t>
            </m:r>
          </m:e>
          <m:sup>
            <m:r>
              <m:t>2</m:t>
            </m:r>
          </m:sup>
        </m:sSup>
      </m:oMath>
      <w:r>
        <w:t xml:space="preserve">) and root mean square error (</w:t>
      </w:r>
      <m:oMath>
        <m:r>
          <m:t>R</m:t>
        </m:r>
        <m:r>
          <m:t>M</m:t>
        </m:r>
        <m:r>
          <m:t>S</m:t>
        </m:r>
        <m:r>
          <m:t>E</m:t>
        </m:r>
      </m:oMath>
      <w:r>
        <w:t xml:space="preserve">) summaries of the 1:1 comparison of the estimated vs simulated values. For the one day optimization period, all parameter estimates returned at the time step of the input data (e.g.,</w:t>
      </w:r>
      <w:r>
        <w:t xml:space="preserve"> </w:t>
      </w:r>
      <m:oMath>
        <m:r>
          <m:t>a</m:t>
        </m:r>
      </m:oMath>
      <w:r>
        <w:t xml:space="preserve">) were daily-averaged for comparison. For the seven day optimization period, all parameter estimates and those from the known time series were weekly-averaged. Estimates for the</w:t>
      </w:r>
      <w:r>
        <w:t xml:space="preserve"> </w:t>
      </w:r>
      <m:oMath>
        <m:r>
          <m:t>b</m:t>
        </m:r>
      </m:oMath>
      <w:r>
        <w:t xml:space="preserve"> </w:t>
      </w:r>
      <w:r>
        <w:t xml:space="preserve">parameter were evaluated only by visual comparison because a single value was used in the simulated time series, preventing the estimate of quantitative comparisons.</w:t>
      </w:r>
    </w:p>
    <w:bookmarkEnd w:id="26"/>
    <w:bookmarkStart w:id="27" w:name="application-to-represenatiave-nerr-sites"/>
    <w:p>
      <w:pPr>
        <w:pStyle w:val="Heading3"/>
      </w:pPr>
      <w:r>
        <w:t xml:space="preserve">3.4 Application to represenatiave NERR sites</w:t>
      </w:r>
    </w:p>
    <w:bookmarkEnd w:id="27"/>
    <w:bookmarkEnd w:id="28"/>
    <w:bookmarkStart w:id="29" w:name="discussion"/>
    <w:p>
      <w:pPr>
        <w:pStyle w:val="Heading2"/>
      </w:pPr>
      <w:r>
        <w:t xml:space="preserve">4 Discussion</w:t>
      </w:r>
    </w:p>
    <w:bookmarkEnd w:id="29"/>
    <w:bookmarkStart w:id="30" w:name="comments-and-recommendations"/>
    <w:p>
      <w:pPr>
        <w:pStyle w:val="Heading2"/>
      </w:pPr>
      <w:r>
        <w:t xml:space="preserve">5 Comments and Recommendations</w:t>
      </w:r>
    </w:p>
    <w:bookmarkEnd w:id="30"/>
    <w:bookmarkStart w:id="31" w:name="acknowledgments"/>
    <w:p>
      <w:pPr>
        <w:pStyle w:val="Heading2"/>
      </w:pPr>
      <w:r>
        <w:t xml:space="preserve">Acknowledgments</w:t>
      </w:r>
    </w:p>
    <w:bookmarkEnd w:id="31"/>
    <w:bookmarkStart w:id="36"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35" w:name="fig-apacmpfig"/>
          <w:p>
            <w:pPr>
              <w:pStyle w:val="Figure"/>
              <w:jc w:val="center"/>
            </w:pPr>
            <w:r>
              <w:drawing>
                <wp:inline>
                  <wp:extent cx="5943600" cy="6686550"/>
                  <wp:effectExtent b="0" l="0" r="0" t="0"/>
                  <wp:docPr descr="" title="" id="33" name="Picture"/>
                  <a:graphic>
                    <a:graphicData uri="http://schemas.openxmlformats.org/drawingml/2006/picture">
                      <pic:pic>
                        <pic:nvPicPr>
                          <pic:cNvPr descr="figs/apacmpfig.png" id="34" name="Picture"/>
                          <pic:cNvPicPr>
                            <a:picLocks noChangeArrowheads="1" noChangeAspect="1"/>
                          </pic:cNvPicPr>
                        </pic:nvPicPr>
                        <pic:blipFill>
                          <a:blip r:embed="rId3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35"/>
        </w:tc>
      </w:tr>
    </w:tbl>
    <w:bookmarkEnd w:id="36"/>
    <w:bookmarkStart w:id="37"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f32feb5-2ce5-4f80-86d1-7a4d72f12aed"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32feb5-2ce5-4f80-86d1-7a4d72f12aed"/>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37"/>
    <w:bookmarkStart w:id="43" w:name="references"/>
    <w:p>
      <w:pPr>
        <w:pStyle w:val="Heading2"/>
      </w:pPr>
      <w:r>
        <w:t xml:space="preserve">References</w:t>
      </w:r>
    </w:p>
    <w:bookmarkStart w:id="42" w:name="refs"/>
    <w:bookmarkStart w:id="39"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8">
        <w:r>
          <w:rPr>
            <w:rStyle w:val="Hyperlink"/>
          </w:rPr>
          <w:t xml:space="preserve">10.1002/lom3.10062</w:t>
        </w:r>
      </w:hyperlink>
    </w:p>
    <w:bookmarkEnd w:id="39"/>
    <w:bookmarkStart w:id="41"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40">
        <w:r>
          <w:rPr>
            <w:rStyle w:val="Hyperlink"/>
          </w:rPr>
          <w:t xml:space="preserve">10.1002/lom3.10011</w:t>
        </w:r>
      </w:hyperlink>
    </w:p>
    <w:bookmarkEnd w:id="41"/>
    <w:bookmarkEnd w:id="42"/>
    <w:bookmarkEnd w:id="43"/>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2" Target="media/rId32.png" /><Relationship Type="http://schemas.openxmlformats.org/officeDocument/2006/relationships/hyperlink" Id="rId40" Target="https://doi.org/10.1002/lom3.10011" TargetMode="External" /><Relationship Type="http://schemas.openxmlformats.org/officeDocument/2006/relationships/hyperlink" Id="rId38" Target="https://doi.org/10.1002/lom3.10062"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2/lom3.10011" TargetMode="External" /><Relationship Type="http://schemas.openxmlformats.org/officeDocument/2006/relationships/hyperlink" Id="rId38" Target="https://doi.org/10.1002/lom3.10062"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2022-12-19T16:59:58Z</dcterms:created>
  <dcterms:modified xsi:type="dcterms:W3CDTF">2022-12-19T16:59:58Z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