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ecoystem budgets, oxygen isotopes, and use of inert gases</w:t>
      </w:r>
      <w:r>
        <w:t xml:space="preserve"> </w:t>
      </w:r>
      <w:r>
        <w:t xml:space="preserve">(Kemp and Testa 2011; Staehr et al. 2011)</w:t>
      </w:r>
      <w:r>
        <w:t xml:space="preserve">. Based on the variety of assumptions and limitations of each method, intercomparisons of metabolic rates between ecosystem has been challenging. For example, an assessment in Randers Fjord (Denmark) showed agreement in terms of sign and magnitude among four different approaches</w:t>
      </w:r>
      <w:r>
        <w:t xml:space="preserve"> </w:t>
      </w:r>
      <w:r>
        <w:t xml:space="preserve">(Gazeau et al. 2005)</w:t>
      </w:r>
      <w:r>
        <w:t xml:space="preserve">. However, GPP and ER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 14C technique for measuring primary production,</w:t>
      </w:r>
      <w:r>
        <w:t xml:space="preserve"> </w:t>
      </w:r>
      <w:r>
        <w:t xml:space="preserve">Cloern et al. (2014)</w:t>
      </w:r>
      <w:r>
        <w:t xml:space="preserve"> </w:t>
      </w:r>
      <w:r>
        <w:t xml:space="preserve">note that investigators have made divergent choices with regard to filtering mesozooplankton grazers, measuring 14C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compounded in estuaries where high temporal and spatial variability have been noted in global syntheses of primary production and respiration.</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consolidation of approaches. This approach exploits the diel cycle of dissolved oxygen and allow the simultaneous determination of whole-system gross primary production (P, equals net primary production + autotrophic respiration), ecosystem respiration (R, equals heterotrophic + autotrophic respiration), and NEM (equals P-R).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a parcel of water with a continuous metabolic history</w:t>
      </w:r>
      <w:r>
        <w:t xml:space="preserve"> </w:t>
      </w:r>
      <w:r>
        <w:t xml:space="preserve">(Kemp and Boynton 1980)</w:t>
      </w:r>
      <w:r>
        <w:t xml:space="preserve">. Striking evidence of this challenge is the large number of physically impossible negative GPP and ER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GPP and ER as standard open-water methods do, but they retrieve estimates and their uncertainties of gas exchange, GPP, and ER parameters (e.g., the initial slope of the photosynthesis–irradiance curve), which reveal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data assimilation method for simultaneously determining gross primary production, ecosystem respiration, net ecosystem metabolism (NEM),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larger contributions of gas exchange expressed by dissolved oxygen.</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 the required inputs and many monitoring locations nationwide include the requisite data for applying EBASE (i.e., dissolved oxygen, water temperature, salinity, PAR, and wind speed).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both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setes because an analyst does not need to manually screen data that include missing values.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Alternative metabolic models could be used for informing priors, such as using the Odum method to inform the prior for the reareation coefficient,</w:t>
      </w:r>
      <w:r>
        <w:t xml:space="preserve"> </w:t>
      </w:r>
      <m:oMath>
        <m:r>
          <m:t>K</m:t>
        </m:r>
      </m:oMath>
      <w:r>
        <w:t xml:space="preserve">, for the BASE method. Initial application of BASE to estuarine data demonstrated that unstable and unrealistic metabolic rates were returned with uninformed priors unless the</w:t>
      </w:r>
      <w:r>
        <w:t xml:space="preserve"> </w:t>
      </w:r>
      <m:oMath>
        <m:r>
          <m:t>K</m:t>
        </m:r>
      </m:oMath>
      <w:r>
        <w:t xml:space="preserve"> </w:t>
      </w:r>
      <w:r>
        <w:t xml:space="preserve">parameter was constrained.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synthetic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caad8eab-1bbf-4455-9abe-5018ccb08515"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aad8eab-1bbf-4455-9abe-5018ccb08515"/>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a8aa5a0-7157-4b2c-afe5-8aeddb1d7709"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a8aa5a0-7157-4b2c-afe5-8aeddb1d7709"/>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54" w:name="references"/>
    <w:p>
      <w:pPr>
        <w:pStyle w:val="Heading2"/>
      </w:pPr>
      <w:r>
        <w:t xml:space="preserve">References</w:t>
      </w:r>
    </w:p>
    <w:bookmarkStart w:id="15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5">
        <w:r>
          <w:rPr>
            <w:rStyle w:val="Hyperlink"/>
          </w:rPr>
          <w:t xml:space="preserve">10.1007/bf02803563</w:t>
        </w:r>
      </w:hyperlink>
    </w:p>
    <w:bookmarkEnd w:id="86"/>
    <w:bookmarkStart w:id="88"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7">
        <w:r>
          <w:rPr>
            <w:rStyle w:val="Hyperlink"/>
          </w:rPr>
          <w:t xml:space="preserve">10.1146/annurev-marine-120709-142723</w:t>
        </w:r>
      </w:hyperlink>
    </w:p>
    <w:bookmarkEnd w:id="88"/>
    <w:bookmarkStart w:id="90"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9">
        <w:r>
          <w:rPr>
            <w:rStyle w:val="Hyperlink"/>
          </w:rPr>
          <w:t xml:space="preserve">10.1016/j.ecolmodel.2007.10.025</w:t>
        </w:r>
      </w:hyperlink>
    </w:p>
    <w:bookmarkEnd w:id="90"/>
    <w:bookmarkStart w:id="92"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1">
        <w:r>
          <w:rPr>
            <w:rStyle w:val="Hyperlink"/>
          </w:rPr>
          <w:t xml:space="preserve">10.5194/bg-11-2477-2014</w:t>
        </w:r>
      </w:hyperlink>
    </w:p>
    <w:bookmarkEnd w:id="92"/>
    <w:bookmarkStart w:id="94"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3">
        <w:r>
          <w:rPr>
            <w:rStyle w:val="Hyperlink"/>
          </w:rPr>
          <w:t xml:space="preserve">10.1029/2007jc004663</w:t>
        </w:r>
      </w:hyperlink>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2">
        <w:r>
          <w:rPr>
            <w:rStyle w:val="Hyperlink"/>
          </w:rPr>
          <w:t xml:space="preserve">10.1016/s0302-3524(80)80065-x</w:t>
        </w:r>
      </w:hyperlink>
    </w:p>
    <w:bookmarkEnd w:id="113"/>
    <w:bookmarkStart w:id="115" w:name="ref-kemp2011"/>
    <w:p>
      <w:pPr>
        <w:pStyle w:val="Bibliography"/>
      </w:pPr>
      <w:r>
        <w:t xml:space="preserve">Kemp, W. M., and J. M. Testa. 2011.</w:t>
      </w:r>
      <w:r>
        <w:t xml:space="preserve"> </w:t>
      </w:r>
      <w:hyperlink r:id="rId114">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5"/>
    <w:bookmarkStart w:id="117"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6">
        <w:r>
          <w:rPr>
            <w:rStyle w:val="Hyperlink"/>
          </w:rPr>
          <w:t xml:space="preserve">10.1016/0198-0149(81)90122-9</w:t>
        </w:r>
      </w:hyperlink>
    </w:p>
    <w:bookmarkEnd w:id="117"/>
    <w:bookmarkStart w:id="11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8">
        <w:r>
          <w:rPr>
            <w:rStyle w:val="Hyperlink"/>
          </w:rPr>
          <w:t xml:space="preserve">10.13031/2013.23153</w:t>
        </w:r>
      </w:hyperlink>
    </w:p>
    <w:bookmarkEnd w:id="119"/>
    <w:bookmarkStart w:id="12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0">
        <w:r>
          <w:rPr>
            <w:rStyle w:val="Hyperlink"/>
          </w:rPr>
          <w:t xml:space="preserve">10.1007/s12237-017-0328-9</w:t>
        </w:r>
      </w:hyperlink>
    </w:p>
    <w:bookmarkEnd w:id="121"/>
    <w:bookmarkStart w:id="12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2">
        <w:r>
          <w:rPr>
            <w:rStyle w:val="Hyperlink"/>
          </w:rPr>
          <w:t xml:space="preserve">10.1139/f01-082</w:t>
        </w:r>
      </w:hyperlink>
    </w:p>
    <w:bookmarkEnd w:id="123"/>
    <w:bookmarkStart w:id="12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4"/>
    <w:bookmarkStart w:id="126"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5">
        <w:r>
          <w:rPr>
            <w:rStyle w:val="Hyperlink"/>
          </w:rPr>
          <w:t xml:space="preserve">10.1002/2017gb005790</w:t>
        </w:r>
      </w:hyperlink>
    </w:p>
    <w:bookmarkEnd w:id="126"/>
    <w:bookmarkStart w:id="12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7">
        <w:r>
          <w:rPr>
            <w:rStyle w:val="Hyperlink"/>
          </w:rPr>
          <w:t xml:space="preserve">10.1016/0022-1694(70)90255-6</w:t>
        </w:r>
      </w:hyperlink>
    </w:p>
    <w:bookmarkEnd w:id="128"/>
    <w:bookmarkStart w:id="13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29">
        <w:r>
          <w:rPr>
            <w:rStyle w:val="Hyperlink"/>
          </w:rPr>
          <w:t xml:space="preserve">10.1007/s12237-013-9765-2</w:t>
        </w:r>
      </w:hyperlink>
    </w:p>
    <w:bookmarkEnd w:id="130"/>
    <w:bookmarkStart w:id="131"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1"/>
    <w:bookmarkStart w:id="132"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2"/>
    <w:bookmarkStart w:id="134" w:name="ref-RCT23"/>
    <w:p>
      <w:pPr>
        <w:pStyle w:val="Bibliography"/>
      </w:pPr>
      <w:r>
        <w:t xml:space="preserve">R Core Team. 2023.</w:t>
      </w:r>
      <w:r>
        <w:t xml:space="preserve"> </w:t>
      </w:r>
      <w:hyperlink r:id="rId133">
        <w:r>
          <w:rPr>
            <w:rStyle w:val="Hyperlink"/>
          </w:rPr>
          <w:t xml:space="preserve">R: A language and environment for statistical computing</w:t>
        </w:r>
      </w:hyperlink>
      <w:r>
        <w:t xml:space="preserve">, R Foundation for Statistical Computing.</w:t>
      </w:r>
    </w:p>
    <w:bookmarkEnd w:id="134"/>
    <w:bookmarkStart w:id="136"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5">
        <w:r>
          <w:rPr>
            <w:rStyle w:val="Hyperlink"/>
          </w:rPr>
          <w:t xml:space="preserve">10.1007/bf02782974</w:t>
        </w:r>
      </w:hyperlink>
    </w:p>
    <w:bookmarkEnd w:id="136"/>
    <w:bookmarkStart w:id="138"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7">
        <w:r>
          <w:rPr>
            <w:rStyle w:val="Hyperlink"/>
          </w:rPr>
          <w:t xml:space="preserve">10.4319/lo.2014.59.5.1666</w:t>
        </w:r>
      </w:hyperlink>
    </w:p>
    <w:bookmarkEnd w:id="138"/>
    <w:bookmarkStart w:id="140"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39">
        <w:r>
          <w:rPr>
            <w:rStyle w:val="Hyperlink"/>
          </w:rPr>
          <w:t xml:space="preserve">10.1002/ecs2.1867</w:t>
        </w:r>
      </w:hyperlink>
    </w:p>
    <w:bookmarkEnd w:id="140"/>
    <w:bookmarkStart w:id="142" w:name="ref-schubel1984"/>
    <w:p>
      <w:pPr>
        <w:pStyle w:val="Bibliography"/>
      </w:pPr>
      <w:r>
        <w:t xml:space="preserve">Schubel, J. R., and V. S. Kennedy. 1984.</w:t>
      </w:r>
      <w:r>
        <w:t xml:space="preserve"> </w:t>
      </w:r>
      <w:hyperlink r:id="rId141">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2"/>
    <w:bookmarkStart w:id="14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3">
        <w:r>
          <w:rPr>
            <w:rStyle w:val="Hyperlink"/>
          </w:rPr>
          <w:t xml:space="preserve">10.1007/s00027-011-0199-2</w:t>
        </w:r>
      </w:hyperlink>
    </w:p>
    <w:bookmarkEnd w:id="144"/>
    <w:bookmarkStart w:id="146"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5">
        <w:r>
          <w:rPr>
            <w:rStyle w:val="Hyperlink"/>
          </w:rPr>
          <w:t xml:space="preserve">10.1672/07-190.1</w:t>
        </w:r>
      </w:hyperlink>
    </w:p>
    <w:bookmarkEnd w:id="146"/>
    <w:bookmarkStart w:id="148"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7">
        <w:r>
          <w:rPr>
            <w:rStyle w:val="Hyperlink"/>
          </w:rPr>
          <w:t xml:space="preserve">10.4319/lom.2014.12.351</w:t>
        </w:r>
      </w:hyperlink>
    </w:p>
    <w:bookmarkEnd w:id="148"/>
    <w:bookmarkStart w:id="150"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49">
        <w:r>
          <w:rPr>
            <w:rStyle w:val="Hyperlink"/>
          </w:rPr>
          <w:t xml:space="preserve">10.1080/iw-6.4.883</w:t>
        </w:r>
      </w:hyperlink>
    </w:p>
    <w:bookmarkEnd w:id="150"/>
    <w:bookmarkStart w:id="152"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1">
        <w:r>
          <w:rPr>
            <w:rStyle w:val="Hyperlink"/>
          </w:rPr>
          <w:t xml:space="preserve">10.1038/nature11205</w:t>
        </w:r>
      </w:hyperlink>
    </w:p>
    <w:bookmarkEnd w:id="152"/>
    <w:bookmarkEnd w:id="153"/>
    <w:bookmarkEnd w:id="15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2023-05-15T21:19:19Z</dcterms:created>
  <dcterms:modified xsi:type="dcterms:W3CDTF">2023-05-15T21:19:19Z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