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1.png" ContentType="image/png"/>
  <Override PartName="/word/media/rId57.png" ContentType="image/png"/>
  <Override PartName="/word/media/rId49.png" ContentType="image/png"/>
  <Override PartName="/word/media/rId41.png" ContentType="image/png"/>
  <Override PartName="/word/media/rId53.png" ContentType="image/png"/>
  <Override PartName="/word/media/rId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EBASE</w:t>
      </w:r>
      <w:r>
        <w:t xml:space="preserve"> </w:t>
      </w:r>
      <w:r>
        <w:t xml:space="preserve">manuscript</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rPr>
          <w:iCs/>
          <w:i/>
        </w:rPr>
        <w:t xml:space="preserve">Key words</w:t>
      </w:r>
      <w:r>
        <w:t xml:space="preserve">:</w:t>
      </w:r>
    </w:p>
    <w:bookmarkEnd w:id="21"/>
    <w:bookmarkStart w:id="22" w:name="introduction"/>
    <w:p>
      <w:pPr>
        <w:pStyle w:val="Heading2"/>
      </w:pPr>
      <w:r>
        <w:t xml:space="preserve">1 Introduction</w:t>
      </w:r>
    </w:p>
    <w:p>
      <w:pPr>
        <w:numPr>
          <w:ilvl w:val="0"/>
          <w:numId w:val="1001"/>
        </w:numPr>
        <w:pStyle w:val="Compact"/>
      </w:pPr>
      <w:r>
        <w:t xml:space="preserve">Overview of metabolism - importance</w:t>
      </w:r>
    </w:p>
    <w:p>
      <w:pPr>
        <w:numPr>
          <w:ilvl w:val="0"/>
          <w:numId w:val="1001"/>
        </w:numPr>
        <w:pStyle w:val="Compact"/>
      </w:pPr>
      <w:r>
        <w:t xml:space="preserve">Existing methods: Odum/WtRegDO, BASE, references in</w:t>
      </w:r>
      <w:r>
        <w:t xml:space="preserve"> </w:t>
      </w:r>
      <w:r>
        <w:t xml:space="preserve">Grace et al. (2015)</w:t>
      </w:r>
      <w:r>
        <w:t xml:space="preserve">, applications to lakes and streams</w:t>
      </w:r>
    </w:p>
    <w:p>
      <w:pPr>
        <w:numPr>
          <w:ilvl w:val="0"/>
          <w:numId w:val="1001"/>
        </w:numPr>
        <w:pStyle w:val="Compact"/>
      </w:pPr>
      <w:r>
        <w:t xml:space="preserve">Applications to estuaries - challenges</w:t>
      </w:r>
    </w:p>
    <w:p>
      <w:pPr>
        <w:numPr>
          <w:ilvl w:val="0"/>
          <w:numId w:val="1001"/>
        </w:numPr>
        <w:pStyle w:val="Compact"/>
      </w:pPr>
      <w:r>
        <w:t xml:space="preserve">Goals and objectives</w:t>
      </w:r>
    </w:p>
    <w:bookmarkEnd w:id="22"/>
    <w:bookmarkStart w:id="33"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d>
            <m:dPr>
              <m:begChr m:val="["/>
              <m:endChr m:val="]"/>
              <m:sepChr m:val=""/>
              <m:grow/>
            </m:dPr>
            <m:e>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1</m:t>
              </m:r>
            </m:e>
          </m:d>
        </m:oMath>
      </m:oMathPara>
      <w:bookmarkEnd w:id="23"/>
    </w:p>
    <w:p>
      <w:pPr>
        <w:pStyle w:val="FirstParagraph"/>
      </w:pPr>
      <w:r>
        <w:t xml:space="preserve">where the terms in the square brackets are production (P), respiration (R), and gas exchange (D), respectively, modeled as a function of the change in dissolved oxygen (</w:t>
      </w:r>
      <m:oMath>
        <m:r>
          <m:t>d</m:t>
        </m:r>
        <m:r>
          <m:t>C</m:t>
        </m:r>
      </m:oMath>
      <w:r>
        <w:t xml:space="preserve">) per unit time (</w:t>
      </w:r>
      <m:oMath>
        <m:r>
          <m:t>d</m:t>
        </m:r>
        <m:r>
          <m:t>t</m:t>
        </m:r>
      </m:oMath>
      <w:r>
        <w:t xml:space="preserve">) of the input data. Production is modeled linearly as a function of surface irradiance (</w:t>
      </w:r>
      <m:oMath>
        <m:r>
          <m:t>P</m:t>
        </m:r>
        <m:r>
          <m:t>A</m:t>
        </m:r>
        <m:r>
          <m:t>R</m:t>
        </m:r>
      </m:oMath>
      <w:r>
        <w:t xml:space="preserve">, Watts m</w:t>
      </w:r>
      <m:oMath>
        <m:sSup>
          <m:e>
            <m:r>
              <m:t>​</m:t>
            </m:r>
          </m:e>
          <m:sup>
            <m:r>
              <m:rPr>
                <m:sty m:val="p"/>
              </m:rPr>
              <m:t>−</m:t>
            </m:r>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3</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(mmol m</w:t>
      </w:r>
      <m:oMath>
        <m:sSup>
          <m:e>
            <m:r>
              <m:t>​</m:t>
            </m:r>
          </m:e>
          <m:sup>
            <m:r>
              <m:rPr>
                <m:sty m:val="p"/>
              </m:rPr>
              <m:t>−</m:t>
            </m:r>
            <m:r>
              <m:t>3</m:t>
            </m:r>
          </m:sup>
        </m:sSup>
      </m:oMath>
      <w:r>
        <w:t xml:space="preserve">), and the saturation (or equilibrium) concentration,</w:t>
      </w:r>
      <w:r>
        <w:t xml:space="preserve"> </w:t>
      </w:r>
      <m:oMath>
        <m:sSub>
          <m:e>
            <m:r>
              <m:t>C</m:t>
            </m:r>
          </m:e>
          <m:sub>
            <m:r>
              <m:t>S</m:t>
            </m:r>
            <m:r>
              <m:t>a</m:t>
            </m:r>
            <m:r>
              <m:t>t</m:t>
            </m:r>
          </m:sub>
        </m:sSub>
      </m:oMath>
      <w:r>
        <w:t xml:space="preserve"> </w:t>
      </w:r>
      <w:r>
        <w:t xml:space="preserve">(mmol m</w:t>
      </w:r>
      <m:oMath>
        <m:sSup>
          <m:e>
            <m:r>
              <m:t>​</m:t>
            </m:r>
          </m:e>
          <m:sup>
            <m:r>
              <m:rPr>
                <m:sty m:val="p"/>
              </m:rPr>
              <m:t>−</m:t>
            </m:r>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 is modeled using wind speed squared at 10 meters above the water (</w:t>
      </w:r>
      <m:oMath>
        <m:sSubSup>
          <m:e>
            <m:r>
              <m:t>U</m:t>
            </m:r>
          </m:e>
          <m:sub>
            <m:r>
              <m:t>10</m:t>
            </m:r>
          </m:sub>
          <m:sup>
            <m:r>
              <m:t>2</m:t>
            </m:r>
          </m:sup>
        </m:sSubSup>
      </m:oMath>
      <w:r>
        <w:t xml:space="preserve">, m</w:t>
      </w:r>
      <m:oMath>
        <m:sSup>
          <m:e>
            <m:r>
              <m:t>​</m:t>
            </m:r>
          </m:e>
          <m:sup>
            <m:r>
              <m:t>2</m:t>
            </m:r>
          </m:sup>
        </m:sSup>
      </m:oMath>
      <w:r>
        <w:t xml:space="preserve"> </w:t>
      </w:r>
      <w:r>
        <w:t xml:space="preserve">s</w:t>
      </w:r>
      <m:oMath>
        <m:sSup>
          <m:e>
            <m:r>
              <m:t>​</m:t>
            </m:r>
          </m:e>
          <m:sup>
            <m:r>
              <m:rPr>
                <m:sty m:val="p"/>
              </m:rPr>
              <m:t>−</m:t>
            </m:r>
            <m:r>
              <m:t>2</m:t>
            </m:r>
          </m:sup>
        </m:sSup>
      </m:oMath>
      <w:r>
        <w:t xml:space="preserve">), water column depth (</w:t>
      </w:r>
      <m:oMath>
        <m:r>
          <m:t>H</m:t>
        </m:r>
      </m:oMath>
      <w:r>
        <w:t xml:space="preserve"> </w:t>
      </w:r>
      <w:r>
        <w:t xml:space="preserve">in meters, as a fixed parameter or time series from a pressure sensor), and the Schmidt number (</w:t>
      </w:r>
      <m:oMath>
        <m:r>
          <m:t>S</m:t>
        </m:r>
        <m:r>
          <m:t>c</m:t>
        </m:r>
      </m:oMath>
      <w:r>
        <w:t xml:space="preserve">) defined as the ratio of the kinematic viscosity of water to the molecular diffusivity of the gas for oxygen</w:t>
      </w:r>
      <w:r>
        <w:t xml:space="preserve"> </w:t>
      </w:r>
      <w:r>
        <w:t xml:space="preserve">(from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EBASE approach was based on several modifications to BAyesian Single-station Estimation (BASE) the mass balance equation described in</w:t>
      </w:r>
      <w:r>
        <w:t xml:space="preserve"> </w:t>
      </w:r>
      <w:r>
        <w:t xml:space="preserve">Grace et al. (2015)</w:t>
      </w:r>
      <w:r>
        <w:t xml:space="preserve">:</w:t>
      </w:r>
    </w:p>
    <w:p>
      <w:pPr>
        <w:pStyle w:val="BodyText"/>
      </w:pPr>
      <w:bookmarkStart w:id="24" w:name="eq-base"/>
      <m:oMathPara>
        <m:oMathParaPr>
          <m:jc m:val="center"/>
        </m:oMathParaPr>
        <m:oMath>
          <m:f>
            <m:fPr>
              <m:type m:val="bar"/>
            </m:fPr>
            <m:num>
              <m:r>
                <m:t>d</m:t>
              </m:r>
              <m:r>
                <m:t>C</m:t>
              </m:r>
            </m:num>
            <m:den>
              <m:r>
                <m:t>d</m:t>
              </m:r>
              <m:r>
                <m:t>t</m:t>
              </m:r>
            </m:den>
          </m:f>
          <m:r>
            <m:rPr>
              <m:sty m:val="p"/>
            </m:rPr>
            <m:t>=</m:t>
          </m:r>
          <m:r>
            <m:t>a</m:t>
          </m:r>
          <m:r>
            <m:t>P</m:t>
          </m:r>
          <m:r>
            <m:t>A</m:t>
          </m:r>
          <m:sSup>
            <m:e>
              <m:r>
                <m:t>R</m:t>
              </m:r>
            </m:e>
            <m:sup>
              <m:r>
                <m:t>p</m:t>
              </m:r>
            </m:sup>
          </m:sSup>
          <m:r>
            <m:rPr>
              <m:sty m:val="p"/>
            </m:rPr>
            <m:t>−</m:t>
          </m:r>
          <m:r>
            <m:t>r</m:t>
          </m:r>
          <m:sSup>
            <m:e>
              <m:r>
                <m:t>Θ</m:t>
              </m:r>
            </m:e>
            <m:sup>
              <m:r>
                <m:t>T</m:t>
              </m:r>
              <m:r>
                <m:rPr>
                  <m:sty m:val="p"/>
                </m:rPr>
                <m:t>−</m:t>
              </m:r>
              <m:acc>
                <m:accPr>
                  <m:chr m:val="‾"/>
                </m:accPr>
                <m:e>
                  <m:r>
                    <m:t>T</m:t>
                  </m:r>
                </m:e>
              </m:acc>
            </m:sup>
          </m:sSup>
          <m:r>
            <m:rPr>
              <m:sty m:val="p"/>
            </m:rPr>
            <m:t>+</m:t>
          </m:r>
          <m:d>
            <m:dPr>
              <m:begChr m:val="["/>
              <m:endChr m:val="]"/>
              <m:sepChr m:val=""/>
              <m:grow/>
            </m:dPr>
            <m:e>
              <m:r>
                <m:t>K</m:t>
              </m:r>
              <m:r>
                <m:rPr>
                  <m:sty m:val="p"/>
                </m:rPr>
                <m:t>⋅</m:t>
              </m:r>
              <m:sSup>
                <m:e>
                  <m:r>
                    <m:t>1.0241</m:t>
                  </m:r>
                </m:e>
                <m:sup>
                  <m:r>
                    <m:t>T</m:t>
                  </m:r>
                  <m:r>
                    <m:rPr>
                      <m:sty m:val="p"/>
                    </m:rPr>
                    <m:t>−</m:t>
                  </m:r>
                  <m:acc>
                    <m:accPr>
                      <m:chr m:val="‾"/>
                    </m:accPr>
                    <m:e>
                      <m:r>
                        <m:t>T</m:t>
                      </m:r>
                    </m:e>
                  </m:acc>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2</m:t>
              </m:r>
            </m:e>
          </m:d>
        </m:oMath>
      </m:oMathPara>
      <w:bookmarkEnd w:id="24"/>
    </w:p>
    <w:p>
      <w:pPr>
        <w:pStyle w:val="FirstParagraph"/>
      </w:pPr>
      <w:r>
        <w:t xml:space="preserve">where all parameters are defined as in</w:t>
      </w:r>
      <w:r>
        <w:t xml:space="preserve"> </w:t>
      </w:r>
      <w:hyperlink w:anchor="eq-ebase">
        <w:r>
          <w:rPr>
            <w:rStyle w:val="Hyperlink"/>
          </w:rPr>
          <w:t xml:space="preserve">Equation 1</w:t>
        </w:r>
      </w:hyperlink>
      <w:r>
        <w:t xml:space="preserve">, with the additional parameters</w:t>
      </w:r>
      <w:r>
        <w:t xml:space="preserve"> </w:t>
      </w:r>
      <m:oMath>
        <m:r>
          <m:t>p</m:t>
        </m:r>
      </m:oMath>
      <w:r>
        <w:t xml:space="preserve">,</w:t>
      </w:r>
      <w:r>
        <w:t xml:space="preserve"> </w:t>
      </w:r>
      <m:oMath>
        <m:r>
          <m:t>Θ</m:t>
        </m:r>
      </m:oMath>
      <w:r>
        <w:t xml:space="preserve">, and</w:t>
      </w:r>
      <w:r>
        <w:t xml:space="preserve"> </w:t>
      </w:r>
      <m:oMath>
        <m:r>
          <m:t>K</m:t>
        </m:r>
      </m:oMath>
      <w:r>
        <w:t xml:space="preserve"> </w:t>
      </w:r>
      <w:r>
        <w:t xml:space="preserve">(the rearation coefficient). The BASE approach provides options to estimate</w:t>
      </w:r>
      <w:r>
        <w:t xml:space="preserve"> </w:t>
      </w:r>
      <m:oMath>
        <m:r>
          <m:t>p</m:t>
        </m:r>
      </m:oMath>
      <w:r>
        <w:t xml:space="preserve"> </w:t>
      </w:r>
      <w:r>
        <w:t xml:space="preserve">and</w:t>
      </w:r>
      <w:r>
        <w:t xml:space="preserve"> </w:t>
      </w:r>
      <m:oMath>
        <m:r>
          <m:t>Θ</m:t>
        </m:r>
      </m:oMath>
      <w:r>
        <w:t xml:space="preserve"> </w:t>
      </w:r>
      <w:r>
        <w:t xml:space="preserve">from the data or to set as fixed values. A temperature dependency,</w:t>
      </w:r>
      <w:r>
        <w:t xml:space="preserve"> </w:t>
      </w:r>
      <m:oMath>
        <m:r>
          <m:t>T</m:t>
        </m:r>
      </m:oMath>
      <w:r>
        <w:t xml:space="preserve">, is also included where respiration and gas exchange vary with temperature. The changes to</w:t>
      </w:r>
      <w:r>
        <w:t xml:space="preserve"> </w:t>
      </w:r>
      <w:hyperlink w:anchor="eq-base">
        <w:r>
          <w:rPr>
            <w:rStyle w:val="Hyperlink"/>
          </w:rPr>
          <w:t xml:space="preserve">Equation 2</w:t>
        </w:r>
      </w:hyperlink>
      <w:r>
        <w:t xml:space="preserve"> </w:t>
      </w:r>
      <w:r>
        <w:t xml:space="preserve">for EBASE were necessary for estuarine application and included 1) a linear relationship of production to PAR (</w:t>
      </w:r>
      <m:oMath>
        <m:r>
          <m:t>a</m:t>
        </m:r>
        <m:r>
          <m:t>P</m:t>
        </m:r>
        <m:r>
          <m:t>A</m:t>
        </m:r>
        <m:r>
          <m:t>R</m:t>
        </m:r>
      </m:oMath>
      <w:r>
        <w:t xml:space="preserve">) by setting</w:t>
      </w:r>
      <w:r>
        <w:t xml:space="preserve"> </w:t>
      </w:r>
      <m:oMath>
        <m:r>
          <m:t>p</m:t>
        </m:r>
        <m:r>
          <m:rPr>
            <m:sty m:val="p"/>
          </m:rPr>
          <m:t>=</m:t>
        </m:r>
        <m:r>
          <m:t>1</m:t>
        </m:r>
      </m:oMath>
      <w:r>
        <w:t xml:space="preserve">; 2) constant respiration by removing the temperature dependency; and 3) use of a gas exchange parameterization commonly used in coastal or oceanic settings that depends on wind speed and temperature</w:t>
      </w:r>
      <w:r>
        <w:t xml:space="preserve"> </w:t>
      </w:r>
      <w:r>
        <w:t xml:space="preserve">(i.e., Grace et al. 2015 used a littoral parameterization)</w:t>
      </w:r>
      <w:r>
        <w:t xml:space="preserve">. The justification for these changes is as follows.</w:t>
      </w:r>
    </w:p>
    <w:bookmarkStart w:id="27" w:name="changes-to-base"/>
    <w:p>
      <w:pPr>
        <w:pStyle w:val="Heading3"/>
      </w:pPr>
      <w:r>
        <w:t xml:space="preserve">2.1 Changes to BASE</w:t>
      </w:r>
    </w:p>
    <w:p>
      <w:pPr>
        <w:pStyle w:val="FirstParagraph"/>
      </w:pPr>
      <w:r>
        <w:t xml:space="preserve">A common theory behind most gas exchange parameterizations for metabolism estimates is that the transfer of gases of relatively low solubility, like oxygen, is proportional to the concentration gradient in a thin film of water at the air–water interface. It is also assumed that the water at the top of the film is saturated with respect to the atmosphere, so that the concentration difference across the thin film can be approximated as the difference between oxygen concentration measured in the surface water layer,</w:t>
      </w:r>
      <w:r>
        <w:t xml:space="preserve"> </w:t>
      </w:r>
      <m:oMath>
        <m:r>
          <m:t>C</m:t>
        </m:r>
      </m:oMath>
      <w:r>
        <w:t xml:space="preserve">, and the saturation (or equilibrium) concentration</w:t>
      </w:r>
      <w:r>
        <w:t xml:space="preserve"> </w:t>
      </w:r>
      <m:oMath>
        <m:sSub>
          <m:e>
            <m:r>
              <m:t>C</m:t>
            </m:r>
          </m:e>
          <m:sub>
            <m:r>
              <m:t>S</m:t>
            </m:r>
            <m:r>
              <m:t>a</m:t>
            </m:r>
            <m:r>
              <m:t>t</m:t>
            </m:r>
          </m:sub>
        </m:sSub>
      </m:oMath>
      <w:r>
        <w:t xml:space="preserve">, which is usually calculated as a function of water temperature and salinity (the negative sign is needed because positive flux is set to be from water to air):</w:t>
      </w:r>
    </w:p>
    <w:p>
      <w:pPr>
        <w:pStyle w:val="BodyText"/>
      </w:pPr>
      <w:bookmarkStart w:id="25" w:name="eq-gasex"/>
      <m:oMathPara>
        <m:oMathParaPr>
          <m:jc m:val="center"/>
        </m:oMathParaPr>
        <m:oMath>
          <m:r>
            <m:t>D</m:t>
          </m:r>
          <m:r>
            <m:rPr>
              <m:sty m:val="p"/>
            </m:rPr>
            <m:t>=</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rPr>
              <m:sty m:val="p"/>
            </m:rPr>
            <m:t>.</m:t>
          </m:r>
          <m:r>
            <m:t>  </m:t>
          </m:r>
          <m:d>
            <m:dPr>
              <m:begChr m:val="("/>
              <m:endChr m:val=")"/>
              <m:sepChr m:val=""/>
              <m:grow/>
            </m:dPr>
            <m:e>
              <m:r>
                <m:t>3</m:t>
              </m:r>
            </m:e>
          </m:d>
        </m:oMath>
      </m:oMathPara>
      <w:bookmarkEnd w:id="25"/>
    </w:p>
    <w:p>
      <w:pPr>
        <w:pStyle w:val="FirstParagraph"/>
      </w:pPr>
      <w:r>
        <w:t xml:space="preserve">The gas transfer velocity,</w:t>
      </w:r>
      <w:r>
        <w:t xml:space="preserve"> </w:t>
      </w:r>
      <m:oMath>
        <m:sSub>
          <m:e>
            <m:r>
              <m:t>k</m:t>
            </m:r>
          </m:e>
          <m:sub>
            <m:r>
              <m:t>w</m:t>
            </m:r>
          </m:sub>
        </m:sSub>
      </m:oMath>
      <w:r>
        <w:t xml:space="preserve">, has dimensions of length over time and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w:t>
      </w:r>
      <w:r>
        <w:t xml:space="preserve"> </w:t>
      </w:r>
      <m:oMath>
        <m:sSub>
          <m:e>
            <m:r>
              <m:t>k</m:t>
            </m:r>
          </m:e>
          <m:sub>
            <m:r>
              <m:t>w</m:t>
            </m:r>
          </m:sub>
        </m:sSub>
      </m:oMath>
      <w:r>
        <w:t xml:space="preserve"> </w:t>
      </w:r>
      <w:r>
        <w:t xml:space="preserve">also increases with temperature because the film of water at the air-sea interface becomes more thin as the random motion of gas and water molecules increases at higher temperatures and transfer of molecules across the film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6"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4</m:t>
              </m:r>
            </m:e>
          </m:d>
        </m:oMath>
      </m:oMathPara>
      <w:bookmarkEnd w:id="26"/>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4</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the wind-based parameterization for gas exchange was used for EBASE</w:t>
      </w:r>
      <w:r>
        <w:t xml:space="preserve"> </w:t>
      </w:r>
      <w:r>
        <w:t xml:space="preserve">(Wanninkhof 2014)</w:t>
      </w:r>
      <w:r>
        <w:t xml:space="preserve">. Additionally,</w:t>
      </w:r>
      <w:r>
        <w:t xml:space="preserve"> </w:t>
      </w:r>
      <m:oMath>
        <m:sSub>
          <m:e>
            <m:r>
              <m:t>C</m:t>
            </m:r>
          </m:e>
          <m:sub>
            <m:r>
              <m:t>s</m:t>
            </m:r>
            <m:r>
              <m:t>a</m:t>
            </m:r>
            <m:r>
              <m:t>t</m:t>
            </m:r>
          </m:sub>
        </m:sSub>
      </m:oMath>
      <w:r>
        <w:t xml:space="preserve"> </w:t>
      </w:r>
      <w:r>
        <w:t xml:space="preserve">was calculated using only temperature and salinity, removing the need for barometric pressure used in BASE.</w:t>
      </w:r>
    </w:p>
    <w:p>
      <w:pPr>
        <w:pStyle w:val="BodyText"/>
      </w:pPr>
      <w:r>
        <w:t xml:space="preserve">The additional modifications to</w:t>
      </w:r>
      <w:r>
        <w:t xml:space="preserve"> </w:t>
      </w:r>
      <w:hyperlink w:anchor="eq-base">
        <w:r>
          <w:rPr>
            <w:rStyle w:val="Hyperlink"/>
          </w:rPr>
          <w:t xml:space="preserve">Equation 2</w:t>
        </w:r>
      </w:hyperlink>
      <w:r>
        <w:t xml:space="preserve"> </w:t>
      </w:r>
      <w:r>
        <w:t xml:space="preserve">for EBASE were removing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The BASE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and it is assumed that respiration is constant as in other methods</w:t>
      </w:r>
      <w:r>
        <w:t xml:space="preserve"> </w:t>
      </w:r>
      <w:r>
        <w:t xml:space="preserve">(Odum 1956; Murrell et al. 2018)</w:t>
      </w:r>
      <w:r>
        <w:t xml:space="preserve">. The</w:t>
      </w:r>
      <w:r>
        <w:t xml:space="preserve"> </w:t>
      </w:r>
      <m:oMath>
        <m:r>
          <m:t>p</m:t>
        </m:r>
      </m:oMath>
      <w:r>
        <w:t xml:space="preserve"> </w:t>
      </w:r>
      <w:r>
        <w:t xml:space="preserve">parameter, which is dimensionless, is also set to 1 as in</w:t>
      </w:r>
      <w:r>
        <w:t xml:space="preserve"> </w:t>
      </w:r>
      <w:r>
        <w:t xml:space="preserve">Holtgrieve et al. (2010)</w:t>
      </w:r>
      <w:r>
        <w:t xml:space="preserve">, such that a linear relationship of production to</w:t>
      </w:r>
      <w:r>
        <w:t xml:space="preserve"> </w:t>
      </w:r>
      <m:oMath>
        <m:r>
          <m:t>P</m:t>
        </m:r>
        <m:r>
          <m:t>A</m:t>
        </m:r>
        <m:r>
          <m:t>R</m:t>
        </m:r>
      </m:oMath>
      <w:r>
        <w:t xml:space="preserve"> </w:t>
      </w:r>
      <w:r>
        <w:t xml:space="preserve">was used. This removes the exponential dependence of production with increasing</w:t>
      </w:r>
      <w:r>
        <w:t xml:space="preserve"> </w:t>
      </w:r>
      <m:oMath>
        <m:r>
          <m:t>P</m:t>
        </m:r>
        <m:r>
          <m:t>A</m:t>
        </m:r>
        <m:r>
          <m:t>R</m:t>
        </m:r>
      </m:oMath>
      <w:r>
        <w:t xml:space="preserve">. Removing these components also improved model stability by creating more reasonable estimates for the other parameters.</w:t>
      </w:r>
    </w:p>
    <w:bookmarkEnd w:id="27"/>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2022; R Core Team 2022)</w:t>
      </w:r>
      <w:r>
        <w:t xml:space="preserve"> </w:t>
      </w:r>
      <w:r>
        <w:t xml:space="preserve">to estimate the unknown parameters using Markov Chain Monte Carlo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(mmol m</w:t>
      </w:r>
      <m:oMath>
        <m:sSup>
          <m:e>
            <m:r>
              <m:t>​</m:t>
            </m:r>
          </m:e>
          <m:sup>
            <m:r>
              <m:rPr>
                <m:sty m:val="p"/>
              </m:rPr>
              <m:t>−</m:t>
            </m:r>
          </m:sup>
        </m:sSup>
        <m:r>
          <m:t>2</m:t>
        </m:r>
      </m:oMath>
      <w:r>
        <w:t xml:space="preserve"> </w:t>
      </w:r>
      <w:r>
        <w:t xml:space="preserve">d</w:t>
      </w:r>
      <m:oMath>
        <m:sSup>
          <m:e>
            <m:r>
              <m:t>​</m:t>
            </m:r>
          </m:e>
          <m:sup>
            <m:r>
              <m:rPr>
                <m:sty m:val="p"/>
              </m:rPr>
              <m:t>−</m:t>
            </m:r>
            <m:r>
              <m:t>1</m:t>
            </m:r>
          </m:sup>
        </m:sSup>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(Wanninkhof 2014; Grace et al. 2015)</w:t>
      </w:r>
      <w:r>
        <w:t xml:space="preserve"> </w:t>
      </w:r>
      <w:r>
        <w:t xml:space="preserve">and standard deviations that were sufficiently large to allow the Bayesian routine to search an unconstrained parameter space.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8" w:name="eq-aprior"/>
      <m:oMathPara>
        <m:oMathParaPr>
          <m:jc m:val="center"/>
        </m:oMathParaPr>
        <m:oMath>
          <m:r>
            <m:t>a</m:t>
          </m:r>
          <m:r>
            <m:rPr>
              <m:sty m:val="p"/>
            </m:rPr>
            <m:t>∼</m:t>
          </m:r>
          <m:r>
            <m:t>N</m:t>
          </m:r>
          <m:d>
            <m:dPr>
              <m:begChr m:val="("/>
              <m:endChr m:val=")"/>
              <m:sepChr m:val=""/>
              <m:grow/>
            </m:dPr>
            <m:e>
              <m:r>
                <m:t>0.2</m:t>
              </m:r>
              <m:r>
                <m:rPr>
                  <m:sty m:val="p"/>
                </m:rPr>
                <m:t>,</m:t>
              </m:r>
              <m:r>
                <m:t>1</m:t>
              </m:r>
            </m:e>
          </m:d>
          <m:r>
            <m:t>T</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5</m:t>
              </m:r>
            </m:e>
          </m:d>
        </m:oMath>
      </m:oMathPara>
      <w:bookmarkEnd w:id="28"/>
    </w:p>
    <w:p>
      <w:pPr>
        <w:pStyle w:val="FirstParagraph"/>
      </w:pPr>
      <w:bookmarkStart w:id="29" w:name="eq-rprior"/>
      <m:oMathPara>
        <m:oMathParaPr>
          <m:jc m:val="center"/>
        </m:oMathParaPr>
        <m:oMath>
          <m:r>
            <m:t>r</m:t>
          </m:r>
          <m:r>
            <m:rPr>
              <m:sty m:val="p"/>
            </m:rPr>
            <m:t>∼</m:t>
          </m:r>
          <m:r>
            <m:t>N</m:t>
          </m:r>
          <m:d>
            <m:dPr>
              <m:begChr m:val="("/>
              <m:endChr m:val=")"/>
              <m:sepChr m:val=""/>
              <m:grow/>
            </m:dPr>
            <m:e>
              <m:r>
                <m:t>20</m:t>
              </m:r>
              <m:r>
                <m:rPr>
                  <m:sty m:val="p"/>
                </m:rPr>
                <m:t>,</m:t>
              </m:r>
              <m:r>
                <m:t>50</m:t>
              </m:r>
            </m:e>
          </m:d>
          <m:r>
            <m:t>T</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3</m:t>
              </m:r>
            </m:sup>
          </m:sSup>
          <m:r>
            <m:rPr>
              <m:sty m:val="p"/>
            </m:rPr>
            <m:t>/</m:t>
          </m:r>
          <m:r>
            <m:rPr>
              <m:nor/>
              <m:sty m:val="p"/>
            </m:rPr>
            <m:t>d</m:t>
          </m:r>
          <m:r>
            <m:t>  </m:t>
          </m:r>
          <m:d>
            <m:dPr>
              <m:begChr m:val="("/>
              <m:endChr m:val=")"/>
              <m:sepChr m:val=""/>
              <m:grow/>
            </m:dPr>
            <m:e>
              <m:r>
                <m:t>6</m:t>
              </m:r>
            </m:e>
          </m:d>
        </m:oMath>
      </m:oMathPara>
      <w:bookmarkEnd w:id="29"/>
    </w:p>
    <w:p>
      <w:pPr>
        <w:pStyle w:val="FirstParagraph"/>
      </w:pPr>
      <w:bookmarkStart w:id="30" w:name="eq-bprior"/>
      <m:oMathPara>
        <m:oMathParaPr>
          <m:jc m:val="center"/>
        </m:oMathParaPr>
        <m:oMath>
          <m:r>
            <m:t>b</m:t>
          </m:r>
          <m:r>
            <m:rPr>
              <m:sty m:val="p"/>
            </m:rPr>
            <m:t>∼</m:t>
          </m:r>
          <m:r>
            <m:t>N</m:t>
          </m:r>
          <m:d>
            <m:dPr>
              <m:begChr m:val="("/>
              <m:endChr m:val=")"/>
              <m:sepChr m:val=""/>
              <m:grow/>
            </m:dPr>
            <m:e>
              <m:r>
                <m:t>0.251</m:t>
              </m:r>
              <m:r>
                <m:rPr>
                  <m:sty m:val="p"/>
                </m:rPr>
                <m:t>,</m:t>
              </m:r>
              <m:r>
                <m:t>0.1</m:t>
              </m:r>
            </m:e>
          </m:d>
          <m:r>
            <m:t>T</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7</m:t>
              </m:r>
            </m:e>
          </m:d>
        </m:oMath>
      </m:oMathPara>
      <w:bookmarkEnd w:id="30"/>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T</m:t>
        </m:r>
        <m:d>
          <m:dPr>
            <m:begChr m:val="("/>
            <m:endChr m:val=")"/>
            <m:sepChr m:val=""/>
            <m:grow/>
          </m:dPr>
          <m:e>
            <m:r>
              <m:t>γ</m:t>
            </m:r>
            <m:r>
              <m:rPr>
                <m:sty m:val="p"/>
              </m:rPr>
              <m:t>,</m:t>
            </m:r>
            <m:r>
              <m:t>δ</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T</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 (~twice the default mean). Initial development of EBASE showed that using an undefined upper limit of</w:t>
      </w:r>
      <w:r>
        <w:t xml:space="preserve"> </w:t>
      </w:r>
      <m:oMath>
        <m:r>
          <m:t>b</m:t>
        </m:r>
      </m:oMath>
      <w:r>
        <w:t xml:space="preserve"> </w:t>
      </w:r>
      <w:r>
        <w:t xml:space="preserve">led to unstable and unreasonable parameter estimates. Examples of the prior distributions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2022)</w:t>
      </w:r>
      <w:r>
        <w:t xml:space="preserve">. A detailed web page (</w:t>
      </w:r>
      <w:hyperlink r:id="rId31">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2"/>
    <w:bookmarkEnd w:id="33"/>
    <w:bookmarkStart w:id="37" w:name="assessment"/>
    <w:p>
      <w:pPr>
        <w:pStyle w:val="Heading2"/>
      </w:pPr>
      <w:r>
        <w:t xml:space="preserve">3 Assessment</w:t>
      </w:r>
    </w:p>
    <w:bookmarkStart w:id="35"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2012 observations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 minute observations of water temperature and salinity. Continuous meteorological observations from the nearby East Bay station (29.7909</w:t>
      </w:r>
      <m:oMath>
        <m:sSup>
          <m:e>
            <m:r>
              <m:t>​</m:t>
            </m:r>
          </m:e>
          <m:sup>
            <m:r>
              <m:rPr>
                <m:sty m:val="p"/>
              </m:rPr>
              <m:t>∘</m:t>
            </m:r>
          </m:sup>
        </m:sSup>
      </m:oMath>
      <w:r>
        <w:t xml:space="preserve"> </w:t>
      </w:r>
      <w:r>
        <w:t xml:space="preserve">N, –84.8834</w:t>
      </w:r>
      <m:oMath>
        <m:sSup>
          <m:e>
            <m:r>
              <m:t>​</m:t>
            </m:r>
          </m:e>
          <m:sup>
            <m:r>
              <m:rPr>
                <m:sty m:val="p"/>
              </m:rPr>
              <m:t>∘</m:t>
            </m:r>
          </m:sup>
        </m:sSup>
      </m:oMath>
      <w:r>
        <w:t xml:space="preserve"> </w:t>
      </w:r>
      <w:r>
        <w:t xml:space="preserve">W, ~10km north of Cat Point) were combined with the water quality data at the same time step and included air temperature, wind speed, and PAR. Missing observations in the water quality and meteorological data were filled using autoregressive modelling of the actual parameters versus time to create a complete dataset from January 1st to December 31st. A synthetic oxygen time series was then generated using the inputs from Apalachicola Bay (</w:t>
      </w:r>
      <w:hyperlink w:anchor="fig-synapa">
        <w:r>
          <w:rPr>
            <w:rStyle w:val="Hyperlink"/>
          </w:rPr>
          <w:t xml:space="preserve">Figure 2</w:t>
        </w:r>
      </w:hyperlink>
      <w:r>
        <w:t xml:space="preserve">a) and</w:t>
      </w:r>
      <w:r>
        <w:t xml:space="preserve"> </w:t>
      </w:r>
      <w:hyperlink w:anchor="eq-ebase">
        <w:r>
          <w:rPr>
            <w:rStyle w:val="Hyperlink"/>
          </w:rPr>
          <w:t xml:space="preserve">Equation 1</w:t>
        </w:r>
      </w:hyperlink>
      <w:r>
        <w:t xml:space="preserve"> </w:t>
      </w:r>
      <w:r>
        <w:t xml:space="preserve">as a forward calculating model with user-defined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seven,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and standard deviations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deviations were assessed as changes approximately equal to two orders of magnitude of the means and standard deviations of the known parameters of the synthetic time series. The only exception was the</w:t>
      </w:r>
      <w:r>
        <w:t xml:space="preserve"> </w:t>
      </w:r>
      <m:oMath>
        <m:r>
          <m:t>b</m:t>
        </m:r>
      </m:oMath>
      <w:r>
        <w:t xml:space="preserve"> </w:t>
      </w:r>
      <w:r>
        <w:t xml:space="preserve">parameter where the low values created priors with a distribution close to zero and the high values were equivalent to a uniform prior distribution in the range of 0 to 0.504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w:t>
      </w:r>
      <w:r>
        <w:t xml:space="preserve">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one, seven, and thirty days were compared for the synthetic one-year time series. Each optimization period was also evaluated for every unique combination of prior distributions, totaling 192 (64 times the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one, seven, and thirty days. The results are shown using Nash-Sutcliffe Efficiency (NSE) values</w:t>
      </w:r>
      <w:r>
        <w:t xml:space="preserve"> </w:t>
      </w:r>
      <w:r>
        <w:t xml:space="preserve">(Nash and Sutcliffe 1970; Moriasi et al. 2007)</w:t>
      </w:r>
      <w:r>
        <w:t xml:space="preserve">:</w:t>
      </w:r>
    </w:p>
    <w:p>
      <w:pPr>
        <w:pStyle w:val="BodyText"/>
      </w:pPr>
      <w:bookmarkStart w:id="34"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8</m:t>
              </m:r>
            </m:e>
          </m:d>
        </m:oMath>
      </m:oMathPara>
      <w:bookmarkEnd w:id="34"/>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metabolic parameter, each unique combination of priors, and each optimization period.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one day,</w:t>
      </w:r>
      <w:r>
        <w:t xml:space="preserve"> </w:t>
      </w:r>
      <m:oMath>
        <m:r>
          <m:t>n</m:t>
        </m:r>
        <m:r>
          <m:rPr>
            <m:sty m:val="p"/>
          </m:rPr>
          <m:t>≈</m:t>
        </m:r>
        <m:r>
          <m:t>52</m:t>
        </m:r>
      </m:oMath>
      <w:r>
        <w:t xml:space="preserve"> </w:t>
      </w:r>
      <w:r>
        <w:t xml:space="preserve">for seven days, and</w:t>
      </w:r>
      <w:r>
        <w:t xml:space="preserve"> </w:t>
      </w:r>
      <m:oMath>
        <m:r>
          <m:t>n</m:t>
        </m:r>
        <m:r>
          <m:rPr>
            <m:sty m:val="p"/>
          </m:rPr>
          <m:t>≈</m:t>
        </m:r>
        <m:r>
          <m:t>12</m:t>
        </m:r>
      </m:oMath>
      <w:r>
        <w:t xml:space="preserve"> </w:t>
      </w:r>
      <w:r>
        <w:t xml:space="preserve">for 30 days. All metabolic estimates were averaged within the number of days for each optimization period prior to calculating NSE values, if appropriate.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reproduce the dissolved oxygen time series. The only models where the NSE values were less than zero for dissolved oxygen were those where</w:t>
      </w:r>
      <w:r>
        <w:t xml:space="preserve"> </w:t>
      </w:r>
      <m:oMath>
        <m:r>
          <m:t>ρ</m:t>
        </m:r>
      </m:oMath>
      <w:r>
        <w:t xml:space="preserve"> </w:t>
      </w:r>
      <w:r>
        <w:t xml:space="preserve">of the</w:t>
      </w:r>
      <w:r>
        <w:t xml:space="preserve"> </w:t>
      </w:r>
      <m:oMath>
        <m:r>
          <m:t>r</m:t>
        </m:r>
      </m:oMath>
      <w:r>
        <w:t xml:space="preserve"> </w:t>
      </w:r>
      <w:r>
        <w:t xml:space="preserve">parameter was low. However, substantial variation in NSE values was observed among all other parameters. Not considering dissolved oxygen, gas exchange (</w:t>
      </w:r>
      <m:oMath>
        <m:r>
          <m:t>D</m:t>
        </m:r>
      </m:oMath>
      <w:r>
        <w:t xml:space="preserve">) was estimated with the highest NSE, with a median value across all optimization periods and priors slightly larger than zero (median NSE = 0.03). Conversely, the</w:t>
      </w:r>
      <w:r>
        <w:t xml:space="preserve"> </w:t>
      </w:r>
      <m:oMath>
        <m:r>
          <m:t>a</m:t>
        </m:r>
      </m:oMath>
      <w:r>
        <w:t xml:space="preserve"> </w:t>
      </w:r>
      <w:r>
        <w:t xml:space="preserve">parameter was reproduced the most poorly, with a median value across all optimization periods and priors less than zero (median NSE = -5.75). By optimization period, median NSE values across all parameters decreased slightly as the number of days used for model optimization increased (1 day = -2.17, 7 days = -3.01, 30 days = -3.28). The top three ranked models were identical for the seven and thirty day models and similar for models using the one day optimization period. Median NSE values across parameters for the top model in each optimization period were also similar (1 day = 0.76, 7 days = 0.55, 30 days = 0.77). For the seven day and thirty day optimization periods, the NSE values for all parameters were greater than zero for the top models, where two of the parameters in the top model for the one day optimization period has NSE &lt; 0. Most parameters regardless of optimization period or priors had NSE &lt; 0 (74%). As such, the prior combinations that produced the highest NSE values across all parameters were those where the</w:t>
      </w:r>
      <w:r>
        <w:t xml:space="preserve"> </w:t>
      </w:r>
      <m:oMath>
        <m:r>
          <m:t>ρ</m:t>
        </m:r>
      </m:oMath>
      <w:r>
        <w:t xml:space="preserve"> </w:t>
      </w:r>
      <w:r>
        <w:t xml:space="preserve">values were high for each prior distribution, regardless of the values for</w:t>
      </w:r>
      <w:r>
        <w:t xml:space="preserve"> </w:t>
      </w:r>
      <m:oMath>
        <m:r>
          <m:t>μ</m:t>
        </m:r>
      </m:oMath>
      <w:r>
        <w:t xml:space="preserve">, i.e., those with sufficient flexibility to search a larger parameter space regardless of</w:t>
      </w:r>
      <w:r>
        <w:t xml:space="preserve"> </w:t>
      </w:r>
      <m:oMath>
        <m:r>
          <m:t>μ</m:t>
        </m:r>
      </m:oMath>
      <w:r>
        <w:t xml:space="preserve"> </w:t>
      </w:r>
      <w:r>
        <w:t xml:space="preserve">produced metabolic parameter estimates most similar to the known values from the synthetic time series.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parameters. Median NSE values across all models and each optimization period for the different subsets of the prior combinations are shown. For example, the bottom left panel with the x-axis value for the</w:t>
      </w:r>
      <w:r>
        <w:t xml:space="preserve"> </w:t>
      </w:r>
      <m:oMath>
        <m:r>
          <m:t>a</m:t>
        </m:r>
      </m:oMath>
      <w:r>
        <w:t xml:space="preserve"> </w:t>
      </w:r>
      <w:r>
        <w:t xml:space="preserve">parameter shows the median NSE values for all models using a one-day optimization period where the</w:t>
      </w:r>
      <w:r>
        <w:t xml:space="preserve"> </w:t>
      </w:r>
      <m:oMath>
        <m:r>
          <m:t>ρ</m:t>
        </m:r>
      </m:oMath>
      <w:r>
        <w:t xml:space="preserve"> </w:t>
      </w:r>
      <w:r>
        <w:t xml:space="preserve">value for the</w:t>
      </w:r>
      <w:r>
        <w:t xml:space="preserve"> </w:t>
      </w:r>
      <m:oMath>
        <m:r>
          <m:t>a</m:t>
        </m:r>
      </m:oMath>
      <w:r>
        <w:t xml:space="preserve"> </w:t>
      </w:r>
      <w:r>
        <w:t xml:space="preserve">prior distribution was low or high. The size of the points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ρ</m:t>
        </m:r>
      </m:oMath>
      <w:r>
        <w:t xml:space="preserve"> </w:t>
      </w:r>
      <w:r>
        <w:t xml:space="preserve">values. Although most most of the median value are less than zero, indicating a poor ability of EBASE to reproduce the parameters, patterns emerge as to which characteristics of the prior lead to robust estimates. For example, large differences in the median NSE values are observed for the low and high values of</w:t>
      </w:r>
      <w:r>
        <w:t xml:space="preserve"> </w:t>
      </w:r>
      <m:oMath>
        <m:r>
          <m:t>ρ</m:t>
        </m:r>
      </m:oMath>
      <w:r>
        <w:t xml:space="preserve"> </w:t>
      </w:r>
      <w:r>
        <w:t xml:space="preserve">for the</w:t>
      </w:r>
      <w:r>
        <w:t xml:space="preserve"> </w:t>
      </w:r>
      <m:oMath>
        <m:r>
          <m:t>a</m:t>
        </m:r>
      </m:oMath>
      <w:r>
        <w:t xml:space="preserve"> </w:t>
      </w:r>
      <w:r>
        <w:t xml:space="preserve">and</w:t>
      </w:r>
      <w:r>
        <w:t xml:space="preserve"> </w:t>
      </w:r>
      <m:oMath>
        <m:r>
          <m:t>r</m:t>
        </m:r>
      </m:oMath>
      <w:r>
        <w:t xml:space="preserve"> </w:t>
      </w:r>
      <w:r>
        <w:t xml:space="preserve">parameters, with positive median NSE values and smaller IQR values using a high value. A similar, but smaller effect is seen for the</w:t>
      </w:r>
      <w:r>
        <w:t xml:space="preserve"> </w:t>
      </w:r>
      <m:oMath>
        <m:r>
          <m:t>ρ</m:t>
        </m:r>
      </m:oMath>
      <w:r>
        <w:t xml:space="preserve"> </w:t>
      </w:r>
      <w:r>
        <w:t xml:space="preserve">value of the prior for the</w:t>
      </w:r>
      <w:r>
        <w:t xml:space="preserve"> </w:t>
      </w:r>
      <m:oMath>
        <m:r>
          <m:t>b</m:t>
        </m:r>
      </m:oMath>
      <w:r>
        <w:t xml:space="preserve"> </w:t>
      </w:r>
      <w:r>
        <w:t xml:space="preserve">parameter. A conclusion similar to that for</w:t>
      </w:r>
      <w:r>
        <w:t xml:space="preserve"> </w:t>
      </w:r>
      <w:hyperlink w:anchor="fig-priorcomp">
        <w:r>
          <w:rPr>
            <w:rStyle w:val="Hyperlink"/>
          </w:rPr>
          <w:t xml:space="preserve">Figure 3</w:t>
        </w:r>
      </w:hyperlink>
      <w:r>
        <w:t xml:space="preserve"> </w:t>
      </w:r>
      <w:r>
        <w:t xml:space="preserve">is that large standard deviations in the prior distributions lead to more accurate estimates of metabolic parameters. Conversely, model results are less senstive to low or high values for</w:t>
      </w:r>
      <w:r>
        <w:t xml:space="preserve"> </w:t>
      </w:r>
      <m:oMath>
        <m:r>
          <m:t>μ</m:t>
        </m:r>
      </m:oMath>
      <w:r>
        <w:t xml:space="preserve"> </w:t>
      </w:r>
      <w:r>
        <w:t xml:space="preserve">as the spread between median NSE values is less than those for</w:t>
      </w:r>
      <w:r>
        <w:t xml:space="preserve"> </w:t>
      </w:r>
      <m:oMath>
        <m:r>
          <m:t>ρ</m:t>
        </m:r>
      </m:oMath>
      <w:r>
        <w:t xml:space="preserve">. This suggests that EBASE model sensitivity is most influenced by</w:t>
      </w:r>
      <w:r>
        <w:t xml:space="preserve"> </w:t>
      </w:r>
      <m:oMath>
        <m:r>
          <m:t>ρ</m:t>
        </m:r>
      </m:oMath>
      <w:r>
        <w:t xml:space="preserve"> </w:t>
      </w:r>
      <w:r>
        <w:t xml:space="preserve">of the prior distributions, i.e., larger values produce more accurate and less variable estimates regardless of</w:t>
      </w:r>
      <w:r>
        <w:t xml:space="preserve"> </w:t>
      </w:r>
      <m:oMath>
        <m:r>
          <m:t>μ</m:t>
        </m:r>
      </m:oMath>
      <w:r>
        <w:t xml:space="preserve">.</w:t>
      </w:r>
    </w:p>
    <w:p>
      <w:pPr>
        <w:pStyle w:val="BodyText"/>
      </w:pPr>
      <w:r>
        <w:t xml:space="preserve">The actual model results for the best and worst performing combinations of prior distributions for the one day, seven day, and thirty day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median NSE values across all parameter estimates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parameters estimates were similar to the synthetic time series, although more variation in the EBASE results were of course observed with the one day optimization period. However, the</w:t>
      </w:r>
      <w:r>
        <w:t xml:space="preserve"> </w:t>
      </w:r>
      <m:oMath>
        <m:r>
          <m:t>b</m:t>
        </m:r>
      </m:oMath>
      <w:r>
        <w:t xml:space="preserve"> </w:t>
      </w:r>
      <w:r>
        <w:t xml:space="preserve">parameter was estimated with high variability for the one and seven day optimization periods (</w:t>
      </w:r>
      <w:hyperlink w:anchor="fig-optex">
        <w:r>
          <w:rPr>
            <w:rStyle w:val="Hyperlink"/>
          </w:rPr>
          <w:t xml:space="preserve">Figure 5</w:t>
        </w:r>
      </w:hyperlink>
      <w:r>
        <w:t xml:space="preserve"> </w:t>
      </w:r>
      <w:r>
        <w:t xml:space="preserve">a, c, bottom row) and with a large positive bias for the 30 day optimization period (</w:t>
      </w:r>
      <w:hyperlink w:anchor="fig-optex">
        <w:r>
          <w:rPr>
            <w:rStyle w:val="Hyperlink"/>
          </w:rPr>
          <w:t xml:space="preserve">Figure 5</w:t>
        </w:r>
      </w:hyperlink>
      <w:r>
        <w:t xml:space="preserve"> </w:t>
      </w:r>
      <w:r>
        <w:t xml:space="preserve">e, bottom row). These results were not unexpected because it was impossible to evaluate NSE estimates using a fixed value in the synthetic results and the accuracy was not considered in identifying the best performing model. Results using EBASE default priors (medium values for</w:t>
      </w:r>
      <w:r>
        <w:t xml:space="preserve"> </w:t>
      </w:r>
      <m:oMath>
        <m:r>
          <m:t>μ</m:t>
        </m:r>
      </m:oMath>
      <w:r>
        <w:t xml:space="preserve">, high values for</w:t>
      </w:r>
      <w:r>
        <w:t xml:space="preserve"> </w:t>
      </w:r>
      <m:oMath>
        <m:r>
          <m:t>ρ</m:t>
        </m:r>
      </m:oMath>
      <w:r>
        <w:t xml:space="preserve">) showed that the</w:t>
      </w:r>
      <w:r>
        <w:t xml:space="preserve"> </w:t>
      </w:r>
      <m:oMath>
        <m:r>
          <m:t>b</m:t>
        </m:r>
      </m:oMath>
      <w:r>
        <w:t xml:space="preserve"> </w:t>
      </w:r>
      <w:r>
        <w:t xml:space="preserve">parameter can be estimated with reasonable accuracy, although still with considerable variability. Finally,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using low or high values for</w:t>
      </w:r>
      <w:r>
        <w:t xml:space="preserve"> </w:t>
      </w:r>
      <m:oMath>
        <m:r>
          <m:t>μ</m:t>
        </m:r>
      </m:oMath>
      <w:r>
        <w:t xml:space="preserve"> </w:t>
      </w:r>
      <w:r>
        <w:t xml:space="preserve">combined with low values for</w:t>
      </w:r>
      <w:r>
        <w:t xml:space="preserve"> </w:t>
      </w:r>
      <m:oMath>
        <m:r>
          <m:t>ρ</m:t>
        </m:r>
      </m:oMath>
      <w:r>
        <w:t xml:space="preserve">.</w:t>
      </w:r>
    </w:p>
    <w:bookmarkEnd w:id="35"/>
    <w:bookmarkStart w:id="36" w:name="ebase-comparison-with-real-observations"/>
    <w:p>
      <w:pPr>
        <w:pStyle w:val="Heading3"/>
      </w:pPr>
      <w:r>
        <w:t xml:space="preserve">3.2 EBASE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 year continuous time series described above for water quality and weather data from Apalachicola Bay was used to compare metabolic estimates from EBASE, 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described in</w:t>
      </w:r>
      <w:r>
        <w:t xml:space="preserve"> </w:t>
      </w:r>
      <w:r>
        <w:t xml:space="preserve">Thébault et al. (2008)</w:t>
      </w:r>
      <w:r>
        <w:t xml:space="preserve">. For better comparison with the EBASE methods, the gas exchange parmaterization in the Odum method was modified to use the</w:t>
      </w:r>
      <w:r>
        <w:t xml:space="preserve"> </w:t>
      </w:r>
      <w:r>
        <w:t xml:space="preserve">Wanninkhof (2014)</w:t>
      </w:r>
      <w:r>
        <w:t xml:space="preserve"> </w:t>
      </w:r>
      <w:r>
        <w:t xml:space="preserve">approach</w:t>
      </w:r>
      <w:r>
        <w:t xml:space="preserve"> </w:t>
      </w:r>
      <w:r>
        <w:t xml:space="preserve">(as available in the WtRegDO R package, Beck 2021)</w:t>
      </w:r>
      <w:r>
        <w:t xml:space="preserve">. The input data were provided to each method after converting the units as required (e.g., BASE requires PAR as</w:t>
      </w:r>
      <w:r>
        <w:t xml:space="preserve"> </w:t>
      </w:r>
      <m:oMath>
        <m:r>
          <m:t>μ</m:t>
        </m:r>
      </m:oMath>
      <w:r>
        <w:t xml:space="preserve">mol/m</w:t>
      </w:r>
      <m:oMath>
        <m:sSup>
          <m:e>
            <m:r>
              <m:t>​</m:t>
            </m:r>
          </m:e>
          <m:sup>
            <m:r>
              <m:t>2</m:t>
            </m:r>
          </m:sup>
        </m:sSup>
      </m:oMath>
      <w:r>
        <w:t xml:space="preserve">/s). Water column depth at Cat Point is approximately 1.8 m and all daily metabolic estimates returned by each method were converted to volumetric rates by dividing by the depth (i.e.,</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Each comparison also evaluated metabolic estimates using the observed dissolved oxygen time series and a detided time series using weighted regression</w:t>
      </w:r>
      <w:r>
        <w:t xml:space="preserve"> </w:t>
      </w:r>
      <w:r>
        <w:t xml:space="preserve">(Beck et al. 2015; available from Beck 2021)</w:t>
      </w:r>
      <w:r>
        <w:t xml:space="preserve">. The latter comparison provided an assessment of metabolic rates that are expected to be minimally influenced by tidal advection. All metabolic estimates were obtained using the default settings for each of the three methods, with an exception that the prior distribution for the reaeration coefficient (</w:t>
      </w:r>
      <m:oMath>
        <m:r>
          <m:t>K</m:t>
        </m:r>
      </m:oMath>
      <w:r>
        <w:t xml:space="preserve">) in BASE was informed by results from the Odum output. Initial assessments indicated that unstable and inaccurate results for the time series are obtained from BASE using an uninformed prior distribution for</w:t>
      </w:r>
      <w:r>
        <w:t xml:space="preserve"> </w:t>
      </w:r>
      <m:oMath>
        <m:r>
          <m:t>K</m:t>
        </m:r>
      </m:oMath>
      <w:r>
        <w:t xml:space="preserve">. All other prior distributions for BASE and EBASE were set as the software default. A one day model optimization period was used for EBASE for comparability with BASE.</w:t>
      </w:r>
    </w:p>
    <w:p>
      <w:pPr>
        <w:pStyle w:val="BodyText"/>
      </w:pPr>
      <w:r>
        <w:t xml:space="preserve">The common set of metabolic parameters returned by the Odum, BASE, and EBASE methods are net ecosystem metabolism, gross production, respiration, and gas exchange. Pairwise comparisons of the daily estimates returned by each method were evaluated using simple summary statistics, including Pearson correlation coefficients and linear regression fits to evaluate potential biases in each method. For the latter analysis, differences in intercept estimates less than or greater than zero suggested a bias in magnitude, whereas differences in slope estimates less than or greater than one suggested a bias that depended on relative value of each observation (e.g., bias may differ between lower or higher values). Comparisons of the intercept and slope estimates to zero and one, respectively, were based on confidence intervals from the standard errors of each. Results were assessed separately for estimates based on the observed or detided dissolved oxygen time series.</w:t>
      </w:r>
    </w:p>
    <w:p>
      <w:pPr>
        <w:pStyle w:val="BodyText"/>
      </w:pPr>
      <w:hyperlink w:anchor="fig-apacmpfig">
        <w:r>
          <w:rPr>
            <w:rStyle w:val="Hyperlink"/>
          </w:rPr>
          <w:t xml:space="preserve">Figure 6</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EBASE metabolic estimates with those from the Odum and BASE methods. Correlations for all estimates, regardless of method or the input time series, were positive and significantly correlated, as expected. The only exception was the comparison of respiration for the Odum and EBASE methods (</w:t>
      </w:r>
      <m:oMath>
        <m:r>
          <m:t>ρ</m:t>
        </m:r>
      </m:oMath>
      <w:r>
        <w:t xml:space="preserve"> </w:t>
      </w:r>
      <w:r>
        <w:t xml:space="preserve">= 0.11), where the former produced a much larger range of estimates. The intercept values were all significant, suggesting some level of bias when comparing estimates between the methods. Slope estimates were all significantly different from one for the comparisons using the observed dissolved oxygen time series as input, whereas only three of the eight comparisons were significantly different using the detided time series. This latter comparison suggests that detiding the time series produces more comparable estimates between methods. Similarly, the standard deviation (</w:t>
      </w:r>
      <m:oMath>
        <m:r>
          <m:t>ρ</m:t>
        </m:r>
      </m:oMath>
      <w:r>
        <w:t xml:space="preserve">) of the residuals of each regression comparison were generally lower in the detided results for all comparisons. Variation in the gas exchange estimates were also more similar comparing the Odum and EBASE methods that used the same formulation</w:t>
      </w:r>
      <w:r>
        <w:t xml:space="preserve"> </w:t>
      </w:r>
      <w:r>
        <w:t xml:space="preserve">(Wanninkhof 2014)</w:t>
      </w:r>
      <w:r>
        <w:t xml:space="preserve"> </w:t>
      </w:r>
      <w:r>
        <w:t xml:space="preserve">regardless of input time series.</w:t>
      </w:r>
    </w:p>
    <w:p>
      <w:pPr>
        <w:pStyle w:val="BodyText"/>
      </w:pPr>
      <w:r>
        <w:t xml:space="preserve">As noted in the previous paragraph, metabolic estimates between the methods were more similar for results using the detided dissolved oxygen time series (</w:t>
      </w:r>
      <w:hyperlink w:anchor="fig-apacmpfig">
        <w:r>
          <w:rPr>
            <w:rStyle w:val="Hyperlink"/>
          </w:rPr>
          <w:t xml:space="preserve">Figure 6</w:t>
        </w:r>
      </w:hyperlink>
      <w:r>
        <w:t xml:space="preserve">b) as compared to using the observed dissolved oxygen as input (</w:t>
      </w:r>
      <w:hyperlink w:anchor="fig-apacmpfig">
        <w:r>
          <w:rPr>
            <w:rStyle w:val="Hyperlink"/>
          </w:rPr>
          <w:t xml:space="preserve">Figure 6</w:t>
        </w:r>
      </w:hyperlink>
      <w:r>
        <w:t xml:space="preserve">a). This suggests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with estimates from the Odum method as negative values for production (P) and positive values for respiration (R), i.e.,</w:t>
      </w:r>
      <w:r>
        <w:t xml:space="preserve"> </w:t>
      </w:r>
      <w:r>
        <w:t xml:space="preserve">“</w:t>
      </w:r>
      <w:r>
        <w:t xml:space="preserve">anomalous</w:t>
      </w:r>
      <w:r>
        <w:t xml:space="preserve">”</w:t>
      </w:r>
      <w:r>
        <w:t xml:space="preserve"> </w:t>
      </w:r>
      <w:r>
        <w:t xml:space="preserve">values. The effects of tidal advection on estimates from EBASE and BASE are more subtle as anomalous values cannot be returned based on constraints in the mass-balance equations (e.g., it is impossible for respiration to be positive). However, the effects of tidal advection produced a wider range of estimates for NEM in EBASE and BASE compared to the Odum method (</w:t>
      </w:r>
      <w:hyperlink w:anchor="fig-apacmpfig">
        <w:r>
          <w:rPr>
            <w:rStyle w:val="Hyperlink"/>
          </w:rPr>
          <w:t xml:space="preserve">Figure 6</w:t>
        </w:r>
      </w:hyperlink>
      <w:r>
        <w:t xml:space="preserve">a), caused by greater variation in the production and respiration estimates. Overall, detiding the dissolved oxygen time series prior to estimating metabolic rates produces more stable (lower standard deviation) and smaller ranges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regardless of the method used.</w:t>
      </w:r>
    </w:p>
    <w:bookmarkEnd w:id="36"/>
    <w:bookmarkEnd w:id="37"/>
    <w:bookmarkStart w:id="38" w:name="discussion"/>
    <w:p>
      <w:pPr>
        <w:pStyle w:val="Heading2"/>
      </w:pPr>
      <w:r>
        <w:t xml:space="preserve">4 Discussion</w:t>
      </w:r>
    </w:p>
    <w:p>
      <w:pPr>
        <w:numPr>
          <w:ilvl w:val="0"/>
          <w:numId w:val="1002"/>
        </w:numPr>
        <w:pStyle w:val="Compact"/>
      </w:pPr>
      <w:r>
        <w:t xml:space="preserve">Describe how EBASE deals with gaps and flexibility of the model to accommodate diff optimization periods</w:t>
      </w:r>
    </w:p>
    <w:p>
      <w:pPr>
        <w:numPr>
          <w:ilvl w:val="0"/>
          <w:numId w:val="1002"/>
        </w:numPr>
        <w:pStyle w:val="Compact"/>
      </w:pPr>
      <w:r>
        <w:t xml:space="preserve">b is sketchy, how to improve? Either fix or develop JAGS model further to include additional data, e.g. tidal height.</w:t>
      </w:r>
    </w:p>
    <w:bookmarkEnd w:id="38"/>
    <w:bookmarkStart w:id="39" w:name="comments-and-recommendations"/>
    <w:p>
      <w:pPr>
        <w:pStyle w:val="Heading2"/>
      </w:pPr>
      <w:r>
        <w:t xml:space="preserve">5 Comments and Recommendations</w:t>
      </w:r>
    </w:p>
    <w:bookmarkEnd w:id="39"/>
    <w:bookmarkStart w:id="40" w:name="acknowledgments"/>
    <w:p>
      <w:pPr>
        <w:pStyle w:val="Heading2"/>
      </w:pPr>
      <w:r>
        <w:t xml:space="preserve">Acknowledgments</w:t>
      </w:r>
    </w:p>
    <w:p>
      <w:r>
        <w:br w:type="page"/>
      </w:r>
    </w:p>
    <w:bookmarkEnd w:id="40"/>
    <w:bookmarkStart w:id="65"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4" w:name="fig-priorplot"/>
          <w:p>
            <w:pPr>
              <w:pStyle w:val="Figure"/>
              <w:jc w:val="center"/>
            </w:pPr>
            <w:r>
              <w:drawing>
                <wp:inline>
                  <wp:extent cx="5943600" cy="2228850"/>
                  <wp:effectExtent b="0" l="0" r="0" t="0"/>
                  <wp:docPr descr="" title="" id="42" name="Picture"/>
                  <a:graphic>
                    <a:graphicData uri="http://schemas.openxmlformats.org/drawingml/2006/picture">
                      <pic:pic>
                        <pic:nvPicPr>
                          <pic:cNvPr descr="figs/priorplot.png" id="43" name="Picture"/>
                          <pic:cNvPicPr>
                            <a:picLocks noChangeArrowheads="1" noChangeAspect="1"/>
                          </pic:cNvPicPr>
                        </pic:nvPicPr>
                        <pic:blipFill>
                          <a:blip r:embed="rId41"/>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used in EBASE. All priors are normal distributions and truncated to positive values. The</w:t>
            </w:r>
            <w:r>
              <w:t xml:space="preserve"> </w:t>
            </w:r>
            <m:oMath>
              <m:r>
                <m:t>b</m:t>
              </m:r>
            </m:oMath>
            <w:r>
              <w:t xml:space="preserve"> </w:t>
            </w:r>
            <w:r>
              <w:t xml:space="preserve">parameter is also truncated to a maximum of 0.504.</w:t>
            </w:r>
          </w:p>
          <w:bookmarkEnd w:id="44"/>
        </w:tc>
      </w:tr>
    </w:tbl>
    <w:p>
      <w:r>
        <w:br w:type="page"/>
      </w:r>
    </w:p>
    <w:tbl>
      <w:tblPr>
        <w:tblStyle w:val="Table"/>
        <w:tblW w:type="pct" w:w="5000"/>
        <w:tblLook w:firstRow="0" w:lastRow="0" w:firstColumn="0" w:lastColumn="0" w:noHBand="0" w:noVBand="0" w:val="0000"/>
      </w:tblPr>
      <w:tblGrid>
        <w:gridCol w:w="7920"/>
      </w:tblGrid>
      <w:tr>
        <w:tc>
          <w:tcPr/>
          <w:bookmarkStart w:id="48" w:name="fig-synapa"/>
          <w:p>
            <w:pPr>
              <w:pStyle w:val="Figure"/>
              <w:jc w:val="center"/>
            </w:pPr>
            <w:r>
              <w:drawing>
                <wp:inline>
                  <wp:extent cx="5943600" cy="5943600"/>
                  <wp:effectExtent b="0" l="0" r="0" t="0"/>
                  <wp:docPr descr="" title="" id="46" name="Picture"/>
                  <a:graphic>
                    <a:graphicData uri="http://schemas.openxmlformats.org/drawingml/2006/picture">
                      <pic:pic>
                        <pic:nvPicPr>
                          <pic:cNvPr descr="figs/synapa.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production (P), respiration (R), and gas exchange (D). The</w:t>
            </w:r>
            <w:r>
              <w:t xml:space="preserve"> </w:t>
            </w:r>
            <m:oMath>
              <m:r>
                <m:t>a</m:t>
              </m:r>
            </m:oMath>
            <w:r>
              <w:t xml:space="preserve"> </w:t>
            </w:r>
            <w:r>
              <w:t xml:space="preserve">parameter is shown as an areal value for comparison with the metabolic results. The</w:t>
            </w:r>
            <w:r>
              <w:t xml:space="preserve"> </w:t>
            </w:r>
            <m:oMath>
              <m:r>
                <m:t>b</m:t>
              </m:r>
            </m:oMath>
            <w:r>
              <w:t xml:space="preserve"> </w:t>
            </w:r>
            <w:r>
              <w:t xml:space="preserve">parameter is also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and is not shown.</w:t>
            </w:r>
          </w:p>
          <w:bookmarkEnd w:id="48"/>
        </w:tc>
      </w:tr>
    </w:tbl>
    <w:p>
      <w:r>
        <w:br w:type="page"/>
      </w:r>
    </w:p>
    <w:tbl>
      <w:tblPr>
        <w:tblStyle w:val="Table"/>
        <w:tblW w:type="pct" w:w="5000"/>
        <w:tblLook w:firstRow="0" w:lastRow="0" w:firstColumn="0" w:lastColumn="0" w:noHBand="0" w:noVBand="0" w:val="0000"/>
      </w:tblPr>
      <w:tblGrid>
        <w:gridCol w:w="7920"/>
      </w:tblGrid>
      <w:tr>
        <w:tc>
          <w:tcPr/>
          <w:bookmarkStart w:id="52" w:name="fig-priorcomp"/>
          <w:p>
            <w:pPr>
              <w:pStyle w:val="Figure"/>
              <w:jc w:val="center"/>
            </w:pPr>
            <w:r>
              <w:drawing>
                <wp:inline>
                  <wp:extent cx="5497394" cy="5497394"/>
                  <wp:effectExtent b="0" l="0" r="0" t="0"/>
                  <wp:docPr descr="" title="" id="50" name="Picture"/>
                  <a:graphic>
                    <a:graphicData uri="http://schemas.openxmlformats.org/drawingml/2006/picture">
                      <pic:pic>
                        <pic:nvPicPr>
                          <pic:cNvPr descr="figs/priorcomp.png" id="51" name="Picture"/>
                          <pic:cNvPicPr>
                            <a:picLocks noChangeArrowheads="1" noChangeAspect="1"/>
                          </pic:cNvPicPr>
                        </pic:nvPicPr>
                        <pic:blipFill>
                          <a:blip r:embed="rId49"/>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combinations of prior distributions and optimization period. The means and standard deviations are evaluated as low (L) or high (H) values (see text for details) and the optimization period is one day, seven days, or thirty days. The metabolic results for dissolved oxygen (DO), production (P), respiration (R), gas exchange (D), and the</w:t>
            </w:r>
            <w:r>
              <w:t xml:space="preserve"> </w:t>
            </w:r>
            <m:oMath>
              <m:r>
                <m:t>a</m:t>
              </m:r>
            </m:oMath>
            <w:r>
              <w:t xml:space="preserve"> </w:t>
            </w:r>
            <w:r>
              <w:t xml:space="preserve">parameter are evaluated based on Nash-Sutcliffe Efficiency (NSE) values between the EBASE results and synthetic values. NSE values from zero to one (green) indicate EBASE has recovered the synthetic parameters with values closer to 1 being a better approximation, whereas negative values indicate the mean of the synthetic data is a better predictor than EBASE. The color scale for NSE is also exponentially transformed to minimize the influence of large negative values on the visual display. The</w:t>
            </w:r>
            <w:r>
              <w:t xml:space="preserve"> </w:t>
            </w:r>
            <m:oMath>
              <m:r>
                <m:t>b</m:t>
              </m:r>
            </m:oMath>
            <w:r>
              <w:t xml:space="preserve"> </w:t>
            </w:r>
            <w:r>
              <w:t xml:space="preserve">parameter is a fixed constant and was not evaluated. Rankings of each combination as the median NSE value across all parameters in a row are shown on the right, with the top three as black/bold and bottom three as black/italic.</w:t>
            </w:r>
          </w:p>
          <w:bookmarkEnd w:id="52"/>
        </w:tc>
      </w:tr>
    </w:tbl>
    <w:p>
      <w:r>
        <w:br w:type="page"/>
      </w:r>
    </w:p>
    <w:tbl>
      <w:tblPr>
        <w:tblStyle w:val="Table"/>
        <w:tblW w:type="pct" w:w="5000"/>
        <w:tblLook w:firstRow="0" w:lastRow="0" w:firstColumn="0" w:lastColumn="0" w:noHBand="0" w:noVBand="0" w:val="0000"/>
      </w:tblPr>
      <w:tblGrid>
        <w:gridCol w:w="7920"/>
      </w:tblGrid>
      <w:tr>
        <w:tc>
          <w:tcPr/>
          <w:bookmarkStart w:id="56" w:name="fig-priorsumcomp"/>
          <w:p>
            <w:pPr>
              <w:pStyle w:val="Figure"/>
              <w:jc w:val="center"/>
            </w:pPr>
            <w:r>
              <w:drawing>
                <wp:inline>
                  <wp:extent cx="5497394" cy="4581162"/>
                  <wp:effectExtent b="0" l="0" r="0" t="0"/>
                  <wp:docPr descr="" title="" id="54" name="Picture"/>
                  <a:graphic>
                    <a:graphicData uri="http://schemas.openxmlformats.org/drawingml/2006/picture">
                      <pic:pic>
                        <pic:nvPicPr>
                          <pic:cNvPr descr="figs/priorsumcomp.png" id="55" name="Picture"/>
                          <pic:cNvPicPr>
                            <a:picLocks noChangeArrowheads="1" noChangeAspect="1"/>
                          </pic:cNvPicPr>
                        </pic:nvPicPr>
                        <pic:blipFill>
                          <a:blip r:embed="rId53"/>
                          <a:stretch>
                            <a:fillRect/>
                          </a:stretch>
                        </pic:blipFill>
                        <pic:spPr bwMode="auto">
                          <a:xfrm>
                            <a:off x="0" y="0"/>
                            <a:ext cx="5497394" cy="45811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median Nash-Sutcliffe Efficiency values across all parameters for the comparisons of EBASE and synthetic model outputs separated by different combinations of prior values. Each result on the x-axis represents the median values for which the combination prior applies, e.g., all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one day optimization period. Point size represents the inter-quartile range of median NSE values for each result.</w:t>
            </w:r>
          </w:p>
          <w:bookmarkEnd w:id="56"/>
        </w:tc>
      </w:tr>
    </w:tbl>
    <w:p>
      <w:r>
        <w:br w:type="page"/>
      </w:r>
    </w:p>
    <w:tbl>
      <w:tblPr>
        <w:tblStyle w:val="Table"/>
        <w:tblW w:type="pct" w:w="5000"/>
        <w:tblLook w:firstRow="0" w:lastRow="0" w:firstColumn="0" w:lastColumn="0" w:noHBand="0" w:noVBand="0" w:val="0000"/>
      </w:tblPr>
      <w:tblGrid>
        <w:gridCol w:w="7920"/>
      </w:tblGrid>
      <w:tr>
        <w:tc>
          <w:tcPr/>
          <w:bookmarkStart w:id="60" w:name="fig-optex"/>
          <w:p>
            <w:pPr>
              <w:pStyle w:val="Figure"/>
              <w:jc w:val="center"/>
            </w:pPr>
            <w:r>
              <w:drawing>
                <wp:inline>
                  <wp:extent cx="5943600" cy="5745480"/>
                  <wp:effectExtent b="0" l="0" r="0" t="0"/>
                  <wp:docPr descr="" title="" id="58" name="Picture"/>
                  <a:graphic>
                    <a:graphicData uri="http://schemas.openxmlformats.org/drawingml/2006/picture">
                      <pic:pic>
                        <pic:nvPicPr>
                          <pic:cNvPr descr="figs/optex.png" id="59" name="Picture"/>
                          <pic:cNvPicPr>
                            <a:picLocks noChangeArrowheads="1" noChangeAspect="1"/>
                          </pic:cNvPicPr>
                        </pic:nvPicPr>
                        <pic:blipFill>
                          <a:blip r:embed="rId57"/>
                          <a:stretch>
                            <a:fillRect/>
                          </a:stretch>
                        </pic:blipFill>
                        <pic:spPr bwMode="auto">
                          <a:xfrm>
                            <a:off x="0" y="0"/>
                            <a:ext cx="5943600" cy="57454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seven day (c, d), and thirty day (e, f) optimization periods are based on the EBASE results with prior distributions that produced the highest and lowest median Nash-Sutcliffe Efficenciy 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60"/>
        </w:tc>
      </w:tr>
    </w:tbl>
    <w:p>
      <w:r>
        <w:br w:type="page"/>
      </w:r>
    </w:p>
    <w:tbl>
      <w:tblPr>
        <w:tblStyle w:val="Table"/>
        <w:tblW w:type="pct" w:w="5000"/>
        <w:tblLook w:firstRow="0" w:lastRow="0" w:firstColumn="0" w:lastColumn="0" w:noHBand="0" w:noVBand="0" w:val="0000"/>
      </w:tblPr>
      <w:tblGrid>
        <w:gridCol w:w="7920"/>
      </w:tblGrid>
      <w:tr>
        <w:tc>
          <w:tcPr/>
          <w:bookmarkStart w:id="64" w:name="fig-apacmpfig"/>
          <w:p>
            <w:pPr>
              <w:pStyle w:val="Figure"/>
              <w:jc w:val="center"/>
            </w:pPr>
            <w:r>
              <w:drawing>
                <wp:inline>
                  <wp:extent cx="5943600" cy="6686550"/>
                  <wp:effectExtent b="0" l="0" r="0" t="0"/>
                  <wp:docPr descr="" title="" id="62" name="Picture"/>
                  <a:graphic>
                    <a:graphicData uri="http://schemas.openxmlformats.org/drawingml/2006/picture">
                      <pic:pic>
                        <pic:nvPicPr>
                          <pic:cNvPr descr="figs/apacmpfig.png" id="63" name="Picture"/>
                          <pic:cNvPicPr>
                            <a:picLocks noChangeArrowheads="1" noChangeAspect="1"/>
                          </pic:cNvPicPr>
                        </pic:nvPicPr>
                        <pic:blipFill>
                          <a:blip r:embed="rId61"/>
                          <a:stretch>
                            <a:fillRect/>
                          </a:stretch>
                        </pic:blipFill>
                        <pic:spPr bwMode="auto">
                          <a:xfrm>
                            <a:off x="0" y="0"/>
                            <a:ext cx="5943600" cy="668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Comparisons of daily metabolic estimates from the Odum, BASE, and EBASE methods for one year of continuous monitoring data at Apalachicola Bay. Results for net ecosystem metabolism (NEM), gross production (P), respiration (R), and gas exchange (D) are compared using the (a) observed and (b) detided dissolved oxygen time series as input to each model. All values are volumetric as mmol O</w:t>
            </w:r>
            <m:oMath>
              <m:sSub>
                <m:e>
                  <m:r>
                    <m:t>​</m:t>
                  </m:r>
                </m:e>
                <m:sub>
                  <m:r>
                    <m:t>2</m:t>
                  </m:r>
                </m:sub>
              </m:sSub>
            </m:oMath>
            <w:r>
              <w:t xml:space="preserve"> </w:t>
            </w:r>
            <w:r>
              <w:t xml:space="preserve">m</w:t>
            </w:r>
            <m:oMath>
              <m:sSup>
                <m:e>
                  <m:r>
                    <m:t>​</m:t>
                  </m:r>
                </m:e>
                <m:sup>
                  <m:r>
                    <m:t>3</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64"/>
        </w:tc>
      </w:tr>
    </w:tbl>
    <w:p>
      <w:r>
        <w:br w:type="page"/>
      </w:r>
    </w:p>
    <w:bookmarkEnd w:id="65"/>
    <w:bookmarkStart w:id="66"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56179b3e-1210-4146-b29f-736f42d63868" w:name="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6179b3e-1210-4146-b29f-736f42d63868"/>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mg </m:t>
              </m:r>
              <m:sSup>
                <m:e>
                  <m:r>
                    <m:rPr>
                      <m:nor/>
                    </m:rPr>
                    <m:t>L</m:t>
                  </m:r>
                </m:e>
                <m:sup>
                  <m:r>
                    <m:t>−1</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Watts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R,</m:t>
              </m:r>
              <m:r>
                <m:rPr>
                  <m:nor/>
                </m:rPr>
                <m:t> </m:t>
              </m:r>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mmol </m:t>
              </m:r>
              <m:sSup>
                <m:e>
                  <m:r>
                    <m:rPr>
                      <m:nor/>
                    </m:rPr>
                    <m:t>m</m:t>
                  </m:r>
                </m:e>
                <m:sup>
                  <m:r>
                    <m:t>−3</m:t>
                  </m:r>
                </m:sup>
              </m:sSup>
              <m:r>
                <m:rPr>
                  <m:nor/>
                </m:rPr>
                <m:t> </m:t>
              </m:r>
              <m:sSup>
                <m:e>
                  <m:r>
                    <m:rPr>
                      <m:nor/>
                    </m:rPr>
                    <m:t>d</m:t>
                  </m:r>
                </m:e>
                <m:sup>
                  <m:r>
                    <m:t>−1</m:t>
                  </m:r>
                </m:sup>
              </m:sSup>
              <m:r>
                <m:t>)</m:t>
              </m:r>
              <m:r>
                <m:rPr>
                  <m:sty m:val="p"/>
                </m:rPr>
                <m:t>/</m:t>
              </m:r>
              <m:r>
                <m:t>(</m:t>
              </m:r>
              <m:r>
                <m:rPr>
                  <m:nor/>
                </m:rPr>
                <m:t>Watts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29f12b8a-5fdb-44f6-926f-082915a6ed8e" w:name="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9f12b8a-5fdb-44f6-926f-082915a6ed8e"/>
      <w:r>
        <w:rPr>
          <w:rFonts/>
          <w:b w:val="true"/>
        </w:rPr>
        <w:t xml:space="preserve">: </w:t>
      </w:r>
      <w:r>
        <w:t xml:space="preserve">Summary statisics of daily metabolic estimates comparing Odum and BASE to EBASE for net ecosystem metabolism (NEM), gross production (P), respiration (R), and gas exchange (D).  Separate comparisons are made for estimates based on observed and detided dissolved oxygen.  Summary statistics include Pearson correlation coefficients and intercept, slope, and residual standard deviation of a linear fit between the same metabolic estimates obtained from each method. Significance of the p-values for the intercept and slope indicates if the estimate is different from zero or one, respectively.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37"/>
        <w:gridCol w:w="1337"/>
        <w:gridCol w:w="1337"/>
        <w:gridCol w:w="1337"/>
        <w:gridCol w:w="1337"/>
        <w:gridCol w:w="1337"/>
        <w:gridCol w:w="1337"/>
      </w:tblGrid>
      <w:tr>
        <w:trPr>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Comparison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ρ</m:t>
              </m:r>
            </m:oMath>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Intercept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Slope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σ</m:t>
              </m:r>
            </m:oMath>
          </w:p>
        </w:tc>
      </w:tr>
      <w:tr>
        <w:trPr>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Odum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26.26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43.69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54.12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6.14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BASE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-8.14**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15.12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29.48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36.93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7.12</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Odum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7.77</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10.73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15.72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6.66</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BASE v EBASE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5.91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3.95</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7.59</w:t>
            </w:r>
          </w:p>
        </w:tc>
      </w:tr>
      <w:tr>
        <w:trPr>
          <w:trHeight w:val="360"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5.60</w:t>
            </w:r>
          </w:p>
        </w:tc>
      </w:tr>
      <w:tr>
        <w:trPr>
          <w:trHeight w:val="360" w:hRule="auto"/>
        </w:trPr>
        footer 1
        <w:tc>
          <w:tcPr>
            <w:gridSpan w:val="7"/>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bookmarkEnd w:id="66"/>
    <w:bookmarkStart w:id="96" w:name="references"/>
    <w:p>
      <w:pPr>
        <w:pStyle w:val="Heading2"/>
      </w:pPr>
      <w:r>
        <w:t xml:space="preserve">References</w:t>
      </w:r>
    </w:p>
    <w:bookmarkStart w:id="95" w:name="refs"/>
    <w:bookmarkStart w:id="67" w:name="ref-Beck21"/>
    <w:p>
      <w:pPr>
        <w:pStyle w:val="Bibliography"/>
      </w:pPr>
      <w:r>
        <w:t xml:space="preserve">Beck, M. W. 2021. WtRegDO: Implement weighted regression on dissolved oxygen time series,.</w:t>
      </w:r>
    </w:p>
    <w:bookmarkEnd w:id="67"/>
    <w:bookmarkStart w:id="69"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68">
        <w:r>
          <w:rPr>
            <w:rStyle w:val="Hyperlink"/>
          </w:rPr>
          <w:t xml:space="preserve">10.1002/lom3.10062</w:t>
        </w:r>
      </w:hyperlink>
    </w:p>
    <w:bookmarkEnd w:id="69"/>
    <w:bookmarkStart w:id="70" w:name="ref-Beck22"/>
    <w:p>
      <w:pPr>
        <w:pStyle w:val="Bibliography"/>
      </w:pPr>
      <w:r>
        <w:t xml:space="preserve">Beck, M. W., M. Herrmann, J. Arriola, R. Najjar, and W. McGillis. 2022.</w:t>
      </w:r>
      <w:r>
        <w:t xml:space="preserve"> </w:t>
      </w:r>
      <w:r>
        <w:t xml:space="preserve">EBASE: Estuarine Bayesian Single-Station Estimation Method for Ecosystem Metabolism</w:t>
      </w:r>
      <w:r>
        <w:t xml:space="preserve">,.</w:t>
      </w:r>
    </w:p>
    <w:bookmarkEnd w:id="70"/>
    <w:bookmarkStart w:id="72"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1">
        <w:r>
          <w:rPr>
            <w:rStyle w:val="Hyperlink"/>
          </w:rPr>
          <w:t xml:space="preserve">10.4319/lo.1992.37.6.1307</w:t>
        </w:r>
      </w:hyperlink>
    </w:p>
    <w:bookmarkEnd w:id="72"/>
    <w:bookmarkStart w:id="74"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3">
        <w:r>
          <w:rPr>
            <w:rStyle w:val="Hyperlink"/>
          </w:rPr>
          <w:t xml:space="preserve">10.1002/lom3.10011</w:t>
        </w:r>
      </w:hyperlink>
    </w:p>
    <w:bookmarkEnd w:id="74"/>
    <w:bookmarkStart w:id="76"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5">
        <w:r>
          <w:rPr>
            <w:rStyle w:val="Hyperlink"/>
          </w:rPr>
          <w:t xml:space="preserve">10.1002/2016GL068727</w:t>
        </w:r>
      </w:hyperlink>
    </w:p>
    <w:bookmarkEnd w:id="76"/>
    <w:bookmarkStart w:id="78"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77">
        <w:r>
          <w:rPr>
            <w:rStyle w:val="Hyperlink"/>
          </w:rPr>
          <w:t xml:space="preserve">10.4319/lo.2010.55.3.1047</w:t>
        </w:r>
      </w:hyperlink>
    </w:p>
    <w:bookmarkEnd w:id="78"/>
    <w:bookmarkStart w:id="80"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79">
        <w:r>
          <w:rPr>
            <w:rStyle w:val="Hyperlink"/>
          </w:rPr>
          <w:t xml:space="preserve">10.1016/0198-0149(81)90122-9</w:t>
        </w:r>
      </w:hyperlink>
    </w:p>
    <w:bookmarkEnd w:id="80"/>
    <w:bookmarkStart w:id="82"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81">
        <w:r>
          <w:rPr>
            <w:rStyle w:val="Hyperlink"/>
          </w:rPr>
          <w:t xml:space="preserve">10.13031/2013.23153</w:t>
        </w:r>
      </w:hyperlink>
    </w:p>
    <w:bookmarkEnd w:id="82"/>
    <w:bookmarkStart w:id="84"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83">
        <w:r>
          <w:rPr>
            <w:rStyle w:val="Hyperlink"/>
          </w:rPr>
          <w:t xml:space="preserve">10.1007/s12237-017-0328-9</w:t>
        </w:r>
      </w:hyperlink>
    </w:p>
    <w:bookmarkEnd w:id="84"/>
    <w:bookmarkStart w:id="86"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85">
        <w:r>
          <w:rPr>
            <w:rStyle w:val="Hyperlink"/>
          </w:rPr>
          <w:t xml:space="preserve">10.1016/0022-1694(70)90255-6</w:t>
        </w:r>
      </w:hyperlink>
    </w:p>
    <w:bookmarkEnd w:id="86"/>
    <w:bookmarkStart w:id="87"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87"/>
    <w:bookmarkStart w:id="88"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88"/>
    <w:bookmarkStart w:id="90" w:name="ref-RCT22"/>
    <w:p>
      <w:pPr>
        <w:pStyle w:val="Bibliography"/>
      </w:pPr>
      <w:r>
        <w:t xml:space="preserve">R Core Team. 2022.</w:t>
      </w:r>
      <w:r>
        <w:t xml:space="preserve"> </w:t>
      </w:r>
      <w:hyperlink r:id="rId89">
        <w:r>
          <w:rPr>
            <w:rStyle w:val="Hyperlink"/>
          </w:rPr>
          <w:t xml:space="preserve">R: A language and environment for statistical computing</w:t>
        </w:r>
      </w:hyperlink>
      <w:r>
        <w:t xml:space="preserve">, R Foundation for Statistical Computing.</w:t>
      </w:r>
    </w:p>
    <w:bookmarkEnd w:id="90"/>
    <w:bookmarkStart w:id="92"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91">
        <w:r>
          <w:rPr>
            <w:rStyle w:val="Hyperlink"/>
          </w:rPr>
          <w:t xml:space="preserve">10.1672/07-190.1</w:t>
        </w:r>
      </w:hyperlink>
    </w:p>
    <w:bookmarkEnd w:id="92"/>
    <w:bookmarkStart w:id="94"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93">
        <w:r>
          <w:rPr>
            <w:rStyle w:val="Hyperlink"/>
          </w:rPr>
          <w:t xml:space="preserve">10.4319/lom.2014.12.351</w:t>
        </w:r>
      </w:hyperlink>
    </w:p>
    <w:bookmarkEnd w:id="94"/>
    <w:bookmarkEnd w:id="95"/>
    <w:bookmarkEnd w:id="96"/>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hyperlink" Id="rId75" Target="https://doi.org/10.1002/2016GL068727" TargetMode="External" /><Relationship Type="http://schemas.openxmlformats.org/officeDocument/2006/relationships/hyperlink" Id="rId73" Target="https://doi.org/10.1002/lom3.10011" TargetMode="External" /><Relationship Type="http://schemas.openxmlformats.org/officeDocument/2006/relationships/hyperlink" Id="rId68" Target="https://doi.org/10.1002/lom3.10062" TargetMode="External" /><Relationship Type="http://schemas.openxmlformats.org/officeDocument/2006/relationships/hyperlink" Id="rId83" Target="https://doi.org/10.1007/s12237-017-0328-9" TargetMode="External" /><Relationship Type="http://schemas.openxmlformats.org/officeDocument/2006/relationships/hyperlink" Id="rId85" Target="https://doi.org/10.1016/0022-1694(70)90255-6" TargetMode="External" /><Relationship Type="http://schemas.openxmlformats.org/officeDocument/2006/relationships/hyperlink" Id="rId79" Target="https://doi.org/10.1016/0198-0149(81)90122-9" TargetMode="External" /><Relationship Type="http://schemas.openxmlformats.org/officeDocument/2006/relationships/hyperlink" Id="rId81" Target="https://doi.org/10.13031/2013.23153" TargetMode="External" /><Relationship Type="http://schemas.openxmlformats.org/officeDocument/2006/relationships/hyperlink" Id="rId91" Target="https://doi.org/10.1672/07-190.1" TargetMode="External" /><Relationship Type="http://schemas.openxmlformats.org/officeDocument/2006/relationships/hyperlink" Id="rId71" Target="https://doi.org/10.4319/lo.1992.37.6.1307" TargetMode="External" /><Relationship Type="http://schemas.openxmlformats.org/officeDocument/2006/relationships/hyperlink" Id="rId77" Target="https://doi.org/10.4319/lo.2010.55.3.1047" TargetMode="External" /><Relationship Type="http://schemas.openxmlformats.org/officeDocument/2006/relationships/hyperlink" Id="rId93"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89"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5" Target="https://doi.org/10.1002/2016GL068727" TargetMode="External" /><Relationship Type="http://schemas.openxmlformats.org/officeDocument/2006/relationships/hyperlink" Id="rId73" Target="https://doi.org/10.1002/lom3.10011" TargetMode="External" /><Relationship Type="http://schemas.openxmlformats.org/officeDocument/2006/relationships/hyperlink" Id="rId68" Target="https://doi.org/10.1002/lom3.10062" TargetMode="External" /><Relationship Type="http://schemas.openxmlformats.org/officeDocument/2006/relationships/hyperlink" Id="rId83" Target="https://doi.org/10.1007/s12237-017-0328-9" TargetMode="External" /><Relationship Type="http://schemas.openxmlformats.org/officeDocument/2006/relationships/hyperlink" Id="rId85" Target="https://doi.org/10.1016/0022-1694(70)90255-6" TargetMode="External" /><Relationship Type="http://schemas.openxmlformats.org/officeDocument/2006/relationships/hyperlink" Id="rId79" Target="https://doi.org/10.1016/0198-0149(81)90122-9" TargetMode="External" /><Relationship Type="http://schemas.openxmlformats.org/officeDocument/2006/relationships/hyperlink" Id="rId81" Target="https://doi.org/10.13031/2013.23153" TargetMode="External" /><Relationship Type="http://schemas.openxmlformats.org/officeDocument/2006/relationships/hyperlink" Id="rId91" Target="https://doi.org/10.1672/07-190.1" TargetMode="External" /><Relationship Type="http://schemas.openxmlformats.org/officeDocument/2006/relationships/hyperlink" Id="rId71" Target="https://doi.org/10.4319/lo.1992.37.6.1307" TargetMode="External" /><Relationship Type="http://schemas.openxmlformats.org/officeDocument/2006/relationships/hyperlink" Id="rId77" Target="https://doi.org/10.4319/lo.2010.55.3.1047" TargetMode="External" /><Relationship Type="http://schemas.openxmlformats.org/officeDocument/2006/relationships/hyperlink" Id="rId93"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89"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EBASE manuscript</dc:title>
  <dc:creator>Marcus W Beck1,✉, Jill M Arriola2, Maria Hermann2, and Raymond G Najjar2</dc:creator>
  <cp:keywords/>
  <dcterms:created xsi:type="dcterms:W3CDTF">2023-03-27T20:51:26Z</dcterms:created>
  <dcterms:modified xsi:type="dcterms:W3CDTF">2023-03-27T20:51:26Z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