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7.png" ContentType="image/png"/>
  <Override PartName="/word/media/rId55.png" ContentType="image/png"/>
  <Override PartName="/word/media/rId51.png" ContentType="image/png"/>
  <Override PartName="/word/media/rId43.png" ContentType="image/png"/>
  <Override PartName="/word/media/rId47.png" ContentType="image/png"/>
  <Override PartName="/word/media/rId59.png" ContentType="image/png"/>
  <Override PartName="/word/media/rId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39" w:name="assessment"/>
    <w:p>
      <w:pPr>
        <w:pStyle w:val="Heading2"/>
      </w:pPr>
      <w:r>
        <w:t xml:space="preserve">3 Assessment</w:t>
      </w:r>
    </w:p>
    <w:bookmarkStart w:id="37"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These assessments evaluated if 1) EBASE estimates similar values for the known parameters used to create the synthetic time series, and 2) how the estimated values change with different model configurations. The synthetic time series used inputs from one year (2021) of continuous data from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 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3.1.1 Recovery of model parameters</w:t>
      </w:r>
    </w:p>
    <w:bookmarkEnd w:id="34"/>
    <w:bookmarkStart w:id="36" w:name="sensitivity-to-priors"/>
    <w:p>
      <w:pPr>
        <w:pStyle w:val="Heading4"/>
      </w:pPr>
      <w:r>
        <w:t xml:space="preserve">3.1.2 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6"/>
    <w:bookmarkEnd w:id="37"/>
    <w:bookmarkStart w:id="38"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8"/>
    <w:bookmarkEnd w:id="39"/>
    <w:bookmarkStart w:id="40"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0"/>
    <w:bookmarkStart w:id="41"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1"/>
    <w:bookmarkStart w:id="42"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2"/>
    <w:bookmarkStart w:id="71"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6" w:name="fig-priorplot"/>
          <w:p>
            <w:pPr>
              <w:jc w:val="center"/>
            </w:pPr>
            <w:r>
              <w:drawing>
                <wp:inline>
                  <wp:extent cx="5943600" cy="2286000"/>
                  <wp:effectExtent b="0" l="0" r="0" t="0"/>
                  <wp:docPr descr="" title="" id="44" name="Picture"/>
                  <a:graphic>
                    <a:graphicData uri="http://schemas.openxmlformats.org/drawingml/2006/picture">
                      <pic:pic>
                        <pic:nvPicPr>
                          <pic:cNvPr descr="figs/priorplot.png" id="45" name="Picture"/>
                          <pic:cNvPicPr>
                            <a:picLocks noChangeArrowheads="1" noChangeAspect="1"/>
                          </pic:cNvPicPr>
                        </pic:nvPicPr>
                        <pic:blipFill>
                          <a:blip r:embed="rId43"/>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synapa"/>
          <w:p>
            <w:pPr>
              <w:jc w:val="center"/>
            </w:pPr>
            <w:r>
              <w:drawing>
                <wp:inline>
                  <wp:extent cx="5943600" cy="5943600"/>
                  <wp:effectExtent b="0" l="0" r="0" t="0"/>
                  <wp:docPr descr="" title="" id="48" name="Picture"/>
                  <a:graphic>
                    <a:graphicData uri="http://schemas.openxmlformats.org/drawingml/2006/picture">
                      <pic:pic>
                        <pic:nvPicPr>
                          <pic:cNvPr descr="figs/synapa.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priorcomp"/>
          <w:p>
            <w:pPr>
              <w:jc w:val="center"/>
            </w:pPr>
            <w:r>
              <w:drawing>
                <wp:inline>
                  <wp:extent cx="5497394" cy="3664929"/>
                  <wp:effectExtent b="0" l="0" r="0" t="0"/>
                  <wp:docPr descr="" title="" id="52" name="Picture"/>
                  <a:graphic>
                    <a:graphicData uri="http://schemas.openxmlformats.org/drawingml/2006/picture">
                      <pic:pic>
                        <pic:nvPicPr>
                          <pic:cNvPr descr="figs/priorcomp.png" id="53" name="Picture"/>
                          <pic:cNvPicPr>
                            <a:picLocks noChangeArrowheads="1" noChangeAspect="1"/>
                          </pic:cNvPicPr>
                        </pic:nvPicPr>
                        <pic:blipFill>
                          <a:blip r:embed="rId51"/>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8" w:name="fig-optex"/>
          <w:p>
            <w:pPr>
              <w:jc w:val="center"/>
            </w:pPr>
            <w:r>
              <w:drawing>
                <wp:inline>
                  <wp:extent cx="5943600" cy="5283200"/>
                  <wp:effectExtent b="0" l="0" r="0" t="0"/>
                  <wp:docPr descr="" title="" id="56" name="Picture"/>
                  <a:graphic>
                    <a:graphicData uri="http://schemas.openxmlformats.org/drawingml/2006/picture">
                      <pic:pic>
                        <pic:nvPicPr>
                          <pic:cNvPr descr="figs/optex.png" id="57"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2" w:name="fig-synapanos"/>
          <w:p>
            <w:pPr>
              <w:jc w:val="center"/>
            </w:pPr>
            <w:r>
              <w:drawing>
                <wp:inline>
                  <wp:extent cx="5943600" cy="4457700"/>
                  <wp:effectExtent b="0" l="0" r="0" t="0"/>
                  <wp:docPr descr="" title="" id="60" name="Picture"/>
                  <a:graphic>
                    <a:graphicData uri="http://schemas.openxmlformats.org/drawingml/2006/picture">
                      <pic:pic>
                        <pic:nvPicPr>
                          <pic:cNvPr descr="figs/synapanos.png" id="61" name="Picture"/>
                          <pic:cNvPicPr>
                            <a:picLocks noChangeArrowheads="1" noChangeAspect="1"/>
                          </pic:cNvPicPr>
                        </pic:nvPicPr>
                        <pic:blipFill>
                          <a:blip r:embed="rId5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6" w:name="fig-synapanoscmp"/>
          <w:p>
            <w:pPr>
              <w:jc w:val="center"/>
            </w:pPr>
            <w:r>
              <w:drawing>
                <wp:inline>
                  <wp:extent cx="5943600" cy="4669971"/>
                  <wp:effectExtent b="0" l="0" r="0" t="0"/>
                  <wp:docPr descr="" title="" id="64" name="Picture"/>
                  <a:graphic>
                    <a:graphicData uri="http://schemas.openxmlformats.org/drawingml/2006/picture">
                      <pic:pic>
                        <pic:nvPicPr>
                          <pic:cNvPr descr="figs/synapanoscmp.png" id="65" name="Picture"/>
                          <pic:cNvPicPr>
                            <a:picLocks noChangeArrowheads="1" noChangeAspect="1"/>
                          </pic:cNvPicPr>
                        </pic:nvPicPr>
                        <pic:blipFill>
                          <a:blip r:embed="rId63"/>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0" w:name="fig-apacmpfig"/>
          <w:p>
            <w:pPr>
              <w:jc w:val="center"/>
            </w:pPr>
            <w:r>
              <w:drawing>
                <wp:inline>
                  <wp:extent cx="3206813" cy="6413627"/>
                  <wp:effectExtent b="0" l="0" r="0" t="0"/>
                  <wp:docPr descr="" title="" id="68" name="Picture"/>
                  <a:graphic>
                    <a:graphicData uri="http://schemas.openxmlformats.org/drawingml/2006/picture">
                      <pic:pic>
                        <pic:nvPicPr>
                          <pic:cNvPr descr="figs/apacmpfig.png" id="69" name="Picture"/>
                          <pic:cNvPicPr>
                            <a:picLocks noChangeArrowheads="1" noChangeAspect="1"/>
                          </pic:cNvPicPr>
                        </pic:nvPicPr>
                        <pic:blipFill>
                          <a:blip r:embed="rId67"/>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70"/>
        </w:tc>
      </w:tr>
    </w:tbl>
    <w:p>
      <w:r>
        <w:br w:type="page"/>
      </w:r>
    </w:p>
    <w:bookmarkEnd w:id="71"/>
    <w:bookmarkStart w:id="73" w:name="tables"/>
    <w:p>
      <w:pPr>
        <w:pStyle w:val="Heading2"/>
      </w:pPr>
      <w:r>
        <w:t xml:space="preserve">Tables</w:t>
      </w:r>
    </w:p>
    <w:bookmarkStart w:id="72"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2"/>
    <w:p>
      <w:r>
        <w:br w:type="page"/>
      </w:r>
    </w:p>
    <w:bookmarkEnd w:id="73"/>
    <w:bookmarkStart w:id="161" w:name="references"/>
    <w:p>
      <w:pPr>
        <w:pStyle w:val="Heading2"/>
      </w:pPr>
      <w:r>
        <w:t xml:space="preserve">References</w:t>
      </w:r>
    </w:p>
    <w:bookmarkStart w:id="160"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3">
        <w:r>
          <w:rPr>
            <w:rStyle w:val="Hyperlink"/>
          </w:rPr>
          <w:t xml:space="preserve">10.13031/2013.23153</w:t>
        </w:r>
      </w:hyperlink>
    </w:p>
    <w:bookmarkEnd w:id="124"/>
    <w:bookmarkStart w:id="126"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5">
        <w:r>
          <w:rPr>
            <w:rStyle w:val="Hyperlink"/>
          </w:rPr>
          <w:t xml:space="preserve">10.1007/s12237-017-0328-9</w:t>
        </w:r>
      </w:hyperlink>
    </w:p>
    <w:bookmarkEnd w:id="126"/>
    <w:bookmarkStart w:id="128"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7">
        <w:r>
          <w:rPr>
            <w:rStyle w:val="Hyperlink"/>
          </w:rPr>
          <w:t xml:space="preserve">10.1139/f01-082</w:t>
        </w:r>
      </w:hyperlink>
    </w:p>
    <w:bookmarkEnd w:id="128"/>
    <w:bookmarkStart w:id="129"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9"/>
    <w:bookmarkStart w:id="131"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0">
        <w:r>
          <w:rPr>
            <w:rStyle w:val="Hyperlink"/>
          </w:rPr>
          <w:t xml:space="preserve">10.1002/2017gb005790</w:t>
        </w:r>
      </w:hyperlink>
    </w:p>
    <w:bookmarkEnd w:id="131"/>
    <w:bookmarkStart w:id="133"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2">
        <w:r>
          <w:rPr>
            <w:rStyle w:val="Hyperlink"/>
          </w:rPr>
          <w:t xml:space="preserve">10.1016/0022-1694(70)90255-6</w:t>
        </w:r>
      </w:hyperlink>
    </w:p>
    <w:bookmarkEnd w:id="133"/>
    <w:bookmarkStart w:id="135"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4">
        <w:r>
          <w:rPr>
            <w:rStyle w:val="Hyperlink"/>
          </w:rPr>
          <w:t xml:space="preserve">10.1007/s12237-013-9765-2</w:t>
        </w:r>
      </w:hyperlink>
    </w:p>
    <w:bookmarkEnd w:id="135"/>
    <w:bookmarkStart w:id="136"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6"/>
    <w:bookmarkStart w:id="137"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7"/>
    <w:bookmarkStart w:id="139" w:name="ref-RCT23"/>
    <w:p>
      <w:pPr>
        <w:pStyle w:val="Bibliography"/>
      </w:pPr>
      <w:r>
        <w:t xml:space="preserve">R Core Team. 2023.</w:t>
      </w:r>
      <w:r>
        <w:t xml:space="preserve"> </w:t>
      </w:r>
      <w:hyperlink r:id="rId138">
        <w:r>
          <w:rPr>
            <w:rStyle w:val="Hyperlink"/>
          </w:rPr>
          <w:t xml:space="preserve">R: A language and environment for statistical computing</w:t>
        </w:r>
      </w:hyperlink>
      <w:r>
        <w:t xml:space="preserve">, R Foundation for Statistical Computing.</w:t>
      </w:r>
    </w:p>
    <w:bookmarkEnd w:id="139"/>
    <w:bookmarkStart w:id="141"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40">
        <w:r>
          <w:rPr>
            <w:rStyle w:val="Hyperlink"/>
          </w:rPr>
          <w:t xml:space="preserve">10.1899/12-058.1</w:t>
        </w:r>
      </w:hyperlink>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armiento2013"/>
    <w:p>
      <w:pPr>
        <w:pStyle w:val="Bibliography"/>
      </w:pPr>
      <w:r>
        <w:t xml:space="preserve">Sarmiento, J. L., and N. Gruber. 2013. Ocean biogeochemical dynamics.doi:</w:t>
      </w:r>
      <w:hyperlink r:id="rId144">
        <w:r>
          <w:rPr>
            <w:rStyle w:val="Hyperlink"/>
          </w:rPr>
          <w:t xml:space="preserve">10.2307/j.ctt3fgxqx</w:t>
        </w:r>
      </w:hyperlink>
    </w:p>
    <w:bookmarkEnd w:id="145"/>
    <w:bookmarkStart w:id="147" w:name="ref-schubel1984"/>
    <w:p>
      <w:pPr>
        <w:pStyle w:val="Bibliography"/>
      </w:pPr>
      <w:r>
        <w:t xml:space="preserve">Schubel, J. R., and V. S. Kennedy. 1984.</w:t>
      </w:r>
      <w:r>
        <w:t xml:space="preserve"> </w:t>
      </w:r>
      <w:hyperlink r:id="rId146">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7"/>
    <w:bookmarkStart w:id="149"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8">
        <w:r>
          <w:rPr>
            <w:rStyle w:val="Hyperlink"/>
          </w:rPr>
          <w:t xml:space="preserve">10.1007/s00027-011-0199-2</w:t>
        </w:r>
      </w:hyperlink>
    </w:p>
    <w:bookmarkEnd w:id="149"/>
    <w:bookmarkStart w:id="151"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50">
        <w:r>
          <w:rPr>
            <w:rStyle w:val="Hyperlink"/>
          </w:rPr>
          <w:t xml:space="preserve">10.1007/s12237-019-00526-0</w:t>
        </w:r>
      </w:hyperlink>
    </w:p>
    <w:bookmarkEnd w:id="151"/>
    <w:bookmarkStart w:id="153"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2">
        <w:r>
          <w:rPr>
            <w:rStyle w:val="Hyperlink"/>
          </w:rPr>
          <w:t xml:space="preserve">10.1672/07-190.1</w:t>
        </w:r>
      </w:hyperlink>
    </w:p>
    <w:bookmarkEnd w:id="153"/>
    <w:bookmarkStart w:id="155"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4">
        <w:r>
          <w:rPr>
            <w:rStyle w:val="Hyperlink"/>
          </w:rPr>
          <w:t xml:space="preserve">10.4319/lom.2014.12.351</w:t>
        </w:r>
      </w:hyperlink>
    </w:p>
    <w:bookmarkEnd w:id="155"/>
    <w:bookmarkStart w:id="157"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6">
        <w:r>
          <w:rPr>
            <w:rStyle w:val="Hyperlink"/>
          </w:rPr>
          <w:t xml:space="preserve">10.1080/iw-6.4.883</w:t>
        </w:r>
      </w:hyperlink>
    </w:p>
    <w:bookmarkEnd w:id="157"/>
    <w:bookmarkStart w:id="159"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8">
        <w:r>
          <w:rPr>
            <w:rStyle w:val="Hyperlink"/>
          </w:rPr>
          <w:t xml:space="preserve">10.1038/nature11205</w:t>
        </w:r>
      </w:hyperlink>
    </w:p>
    <w:bookmarkEnd w:id="159"/>
    <w:bookmarkEnd w:id="160"/>
    <w:bookmarkEnd w:id="16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hyperlink" Id="rId105" Target="https://doi.org/10.1002/2016GL068727" TargetMode="External" /><Relationship Type="http://schemas.openxmlformats.org/officeDocument/2006/relationships/hyperlink" Id="rId130"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8" Target="https://doi.org/10.1007/s00027-011-0199-2" TargetMode="External" /><Relationship Type="http://schemas.openxmlformats.org/officeDocument/2006/relationships/hyperlink" Id="rId134" Target="https://doi.org/10.1007/s12237-013-9765-2" TargetMode="External" /><Relationship Type="http://schemas.openxmlformats.org/officeDocument/2006/relationships/hyperlink" Id="rId125" Target="https://doi.org/10.1007/s12237-017-0328-9" TargetMode="External" /><Relationship Type="http://schemas.openxmlformats.org/officeDocument/2006/relationships/hyperlink" Id="rId150" Target="https://doi.org/10.1007/s12237-019-00526-0" TargetMode="External" /><Relationship Type="http://schemas.openxmlformats.org/officeDocument/2006/relationships/hyperlink" Id="rId132" Target="https://doi.org/10.1016/0022-1694(70)90255-6"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6"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8"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6"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7"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3" Target="https://doi.org/10.13031/2013.23153" TargetMode="External" /><Relationship Type="http://schemas.openxmlformats.org/officeDocument/2006/relationships/hyperlink" Id="rId152" Target="https://doi.org/10.1672/07-190.1" TargetMode="External" /><Relationship Type="http://schemas.openxmlformats.org/officeDocument/2006/relationships/hyperlink" Id="rId140" Target="https://doi.org/10.1899/12-058.1" TargetMode="External" /><Relationship Type="http://schemas.openxmlformats.org/officeDocument/2006/relationships/hyperlink" Id="rId144" Target="https://doi.org/10.2307/j.ctt3fgxqx"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4"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38"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0"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8" Target="https://doi.org/10.1007/s00027-011-0199-2" TargetMode="External" /><Relationship Type="http://schemas.openxmlformats.org/officeDocument/2006/relationships/hyperlink" Id="rId134" Target="https://doi.org/10.1007/s12237-013-9765-2" TargetMode="External" /><Relationship Type="http://schemas.openxmlformats.org/officeDocument/2006/relationships/hyperlink" Id="rId125" Target="https://doi.org/10.1007/s12237-017-0328-9" TargetMode="External" /><Relationship Type="http://schemas.openxmlformats.org/officeDocument/2006/relationships/hyperlink" Id="rId150" Target="https://doi.org/10.1007/s12237-019-00526-0" TargetMode="External" /><Relationship Type="http://schemas.openxmlformats.org/officeDocument/2006/relationships/hyperlink" Id="rId132" Target="https://doi.org/10.1016/0022-1694(70)90255-6"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6"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8"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6"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7"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3" Target="https://doi.org/10.13031/2013.23153" TargetMode="External" /><Relationship Type="http://schemas.openxmlformats.org/officeDocument/2006/relationships/hyperlink" Id="rId152" Target="https://doi.org/10.1672/07-190.1" TargetMode="External" /><Relationship Type="http://schemas.openxmlformats.org/officeDocument/2006/relationships/hyperlink" Id="rId140" Target="https://doi.org/10.1899/12-058.1" TargetMode="External" /><Relationship Type="http://schemas.openxmlformats.org/officeDocument/2006/relationships/hyperlink" Id="rId144" Target="https://doi.org/10.2307/j.ctt3fgxqx"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4"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38"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2023-10-16T21:27:59Z</dcterms:created>
  <dcterms:modified xsi:type="dcterms:W3CDTF">2023-10-16T21:27:59Z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