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8.png" ContentType="image/png"/>
  <Override PartName="/word/media/rId56.png" ContentType="image/png"/>
  <Override PartName="/word/media/rId48.png" ContentType="image/png"/>
  <Override PartName="/word/media/rId40.png" ContentType="image/png"/>
  <Override PartName="/word/media/rId52.png" ContentType="image/png"/>
  <Override PartName="/word/media/rId44.png" ContentType="image/png"/>
  <Override PartName="/word/media/rId60.png" ContentType="image/png"/>
  <Override PartName="/word/media/rId6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models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using an integration formula appropriate for estuarine systems and using a Bayesian framework where critical model parameters are fit as a function of the data as informed by a set of prior distributions. This approach can also vary the time period over which critical model parameters are estimated. We demonstrate that EBASE can reproduce known metabolic parameters from a synthetic time series created with continuous monitoring data from the Apalachicola estuarine reserve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 Bayesian, dissolved oxygen, ecosystem metabolism, estuary, gas exchange, open source</w:t>
      </w:r>
    </w:p>
    <w:bookmarkEnd w:id="21"/>
    <w:bookmarkStart w:id="22" w:name="introduction"/>
    <w:p>
      <w:pPr>
        <w:pStyle w:val="Heading2"/>
      </w:pPr>
      <w:r>
        <w:t xml:space="preserve">1 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(11.7</w:t>
      </w:r>
      <w:r>
        <w:t xml:space="preserve"> </w:t>
      </w:r>
      <m:oMath>
        <m:r>
          <m:rPr>
            <m:sty m:val="p"/>
          </m:rPr>
          <m:t>±</m:t>
        </m:r>
      </m:oMath>
      <w:r>
        <w:t xml:space="preserve"> </w:t>
      </w:r>
      <w:r>
        <w:t xml:space="preserve">3.0 Tg C yr</w:t>
      </w:r>
      <m:oMath>
        <m:sSup>
          <m:e>
            <m:r>
              <m:t>​</m:t>
            </m:r>
          </m:e>
          <m:sup>
            <m:r>
              <m:rPr>
                <m:sty m:val="p"/>
              </m:rPr>
              <m:t>−</m:t>
            </m:r>
            <m:r>
              <m:t>1</m:t>
            </m:r>
          </m:sup>
        </m:sSup>
      </m:oMath>
      <w:r>
        <w:t xml:space="preserve">, best estimate</w:t>
      </w:r>
      <w:r>
        <w:t xml:space="preserve"> </w:t>
      </w:r>
      <m:oMath>
        <m:r>
          <m:rPr>
            <m:sty m:val="p"/>
          </m:rPr>
          <m:t>±</m:t>
        </m:r>
      </m:oMath>
      <w:r>
        <w:t xml:space="preserve"> </w:t>
      </w:r>
      <w:r>
        <w:t xml:space="preserve">2 standard errors) and heterotrophic respiration (13.2</w:t>
      </w:r>
      <w:r>
        <w:t xml:space="preserve"> </w:t>
      </w:r>
      <m:oMath>
        <m:r>
          <m:rPr>
            <m:sty m:val="p"/>
          </m:rPr>
          <m:t>±</m:t>
        </m:r>
      </m:oMath>
      <w:r>
        <w:t xml:space="preserve"> </w:t>
      </w:r>
      <w:r>
        <w:t xml:space="preserve">3.1 Tg C yr</w:t>
      </w:r>
      <m:oMath>
        <m:sSup>
          <m:e>
            <m:r>
              <m:t>​</m:t>
            </m:r>
          </m:e>
          <m:sup>
            <m:r>
              <m:rPr>
                <m:sty m:val="p"/>
              </m:rPr>
              <m:t>–</m:t>
            </m:r>
            <m:r>
              <m:t>1</m:t>
            </m:r>
          </m:sup>
        </m:sSup>
      </m:oMath>
      <w:r>
        <w:t xml:space="preserve">) far exceed inputs from upland sources (5.6</w:t>
      </w:r>
      <w:r>
        <w:t xml:space="preserve"> </w:t>
      </w:r>
      <m:oMath>
        <m:r>
          <m:rPr>
            <m:sty m:val="p"/>
          </m:rPr>
          <m:t>±</m:t>
        </m:r>
      </m:oMath>
      <w:r>
        <w:t xml:space="preserve"> </w:t>
      </w:r>
      <w:r>
        <w:t xml:space="preserve">1.2 Tg C yr</w:t>
      </w:r>
      <m:oMath>
        <m:sSup>
          <m:e>
            <m:r>
              <m:t>​</m:t>
            </m:r>
          </m:e>
          <m:sup>
            <m:r>
              <m:rPr>
                <m:sty m:val="p"/>
              </m:rPr>
              <m:t>−</m:t>
            </m:r>
            <m:r>
              <m:t>1</m:t>
            </m:r>
          </m:sup>
        </m:sSup>
      </m:oMath>
      <w:r>
        <w:t xml:space="preserve">) and outputs to the atmosphere (4.2</w:t>
      </w:r>
      <w:r>
        <w:t xml:space="preserve"> </w:t>
      </w:r>
      <m:oMath>
        <m:r>
          <m:rPr>
            <m:sty m:val="p"/>
          </m:rPr>
          <m:t>±</m:t>
        </m:r>
      </m:oMath>
      <w:r>
        <w:t xml:space="preserve"> </w:t>
      </w:r>
      <w:r>
        <w:t xml:space="preserve">1.7 Tg C yr</w:t>
      </w:r>
      <m:oMath>
        <m:sSup>
          <m:e>
            <m:r>
              <m:t>​</m:t>
            </m:r>
          </m:e>
          <m:sup>
            <m:r>
              <m:rPr>
                <m:sty m:val="p"/>
              </m:rPr>
              <m:t>–</m:t>
            </m:r>
            <m:r>
              <m:t>1</m:t>
            </m:r>
          </m:sup>
        </m:sSup>
      </m:oMath>
      <w:r>
        <w:t xml:space="preserve">) and ocean (2.9</w:t>
      </w:r>
      <w:r>
        <w:t xml:space="preserve"> </w:t>
      </w:r>
      <m:oMath>
        <m:r>
          <m:rPr>
            <m:sty m:val="p"/>
          </m:rPr>
          <m:t>±</m:t>
        </m:r>
      </m:oMath>
      <w:r>
        <w:t xml:space="preserve"> </w:t>
      </w:r>
      <w:r>
        <w:t xml:space="preserve">2.3 Tg C yr</w:t>
      </w:r>
      <m:oMath>
        <m:sSup>
          <m:e>
            <m:r>
              <m:t>​</m:t>
            </m:r>
          </m:e>
          <m:sup>
            <m:r>
              <m:rPr>
                <m:sty m:val="p"/>
              </m:rPr>
              <m:t>–</m:t>
            </m:r>
            <m:r>
              <m:t>1</m:t>
            </m:r>
          </m:sup>
        </m:sSup>
      </m:oMath>
      <w:r>
        <w:t xml:space="preserve">).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the sediments, and the ocean.</w:t>
      </w:r>
    </w:p>
    <w:p>
      <w:pPr>
        <w:pStyle w:val="BodyText"/>
      </w:pPr>
      <w:r>
        <w:t xml:space="preserve">Methods for estimating metabolism in aquatic environments are numerous and include open-water techniques, bottle-based incubations, ecosystem budgets, oxygen isotopes, and use of inert gases</w:t>
      </w:r>
      <w:r>
        <w:t xml:space="preserve"> </w:t>
      </w:r>
      <w:r>
        <w:t xml:space="preserve">(Kemp and Testa 2011; Staehr et al. 2011)</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(P) and ecosystem respiration (R)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accounting for changing spectral light quality with depth, and choosing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 and R.</w:t>
      </w:r>
      <w:r>
        <w:t xml:space="preserve"> </w:t>
      </w:r>
      <w:r>
        <w:t xml:space="preserve">Cloern et al. (2014)</w:t>
      </w:r>
      <w:r>
        <w:t xml:space="preserve"> </w:t>
      </w:r>
      <w:r>
        <w:t xml:space="preserve">found that annual phytoplankton primary production can vary 10-fold within an estuary and up to 5-fold from year-to-year.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 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approach exploits the diel cycle of dissolved oxygen and allows the simultaneous determination of whole-system gross primary production (net primary production</w:t>
      </w:r>
      <w:r>
        <w:t xml:space="preserve"> </w:t>
      </w:r>
      <m:oMath>
        <m:r>
          <m:rPr>
            <m:sty m:val="p"/>
          </m:rPr>
          <m:t>+</m:t>
        </m:r>
      </m:oMath>
      <w:r>
        <w:t xml:space="preserve"> </w:t>
      </w:r>
      <w:r>
        <w:t xml:space="preserve">autotrophic respiration), ecosystem respiration (heterotrophic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Thus, the approach can be broadly applied where data are available, although it is not without limitations. In particular, tidal advection can violate assumptions of the method that the measurements are from the same parcel of water with a continuous metabolic history</w:t>
      </w:r>
      <w:r>
        <w:t xml:space="preserve"> </w:t>
      </w:r>
      <w:r>
        <w:t xml:space="preserve">(Kemp and Boynton 1980)</w:t>
      </w:r>
      <w:r>
        <w:t xml:space="preserve">. Striking evidence of this challenge is the large number of physically impossible negative P and R estimates in the open-water analysis of 28 3-year time series by</w:t>
      </w:r>
      <w:r>
        <w:t xml:space="preserve"> </w:t>
      </w:r>
      <w:r>
        <w:t xml:space="preserve">Caffrey (2003)</w:t>
      </w:r>
      <w:r>
        <w:t xml:space="preserve">. The computed rates were negative 23% of the time, on average, and as high as 69% for individual sites. Estimating gas exchange using the open-water method in estuaries has also been challenging. Most approaches estimate gas exchange using empirical formula dependent on wind speed and temperature or held at a constant value</w:t>
      </w:r>
      <w:r>
        <w:t xml:space="preserve"> </w:t>
      </w:r>
      <w:r>
        <w:t xml:space="preserve">(e.g., Caffrey 2004; Russell and Montagna 2007; Nagel et al. 2009; Beck et al. 2015; Murrell et al. 2018)</w:t>
      </w:r>
      <w:r>
        <w:t xml:space="preserve">. Gas exchange is a first-order process in the estuarine dissolved oxygen budget and, therefore, inaccurate estimations based on empirical formulae or fixed values can lead to poorly constrained errors that influence interpretation of results.</w:t>
      </w:r>
    </w:p>
    <w:p>
      <w:pPr>
        <w:pStyle w:val="BodyText"/>
      </w:pPr>
      <w:r>
        <w:t xml:space="preserve">A unified model to explain the large variability of metabolic rates within and across estuaries is clearly lacking as a critical tool for understanding metabolic processes. Bayesian techniques have not been fully explored in estuarine applications despite their potential to address the above</w:t>
      </w:r>
      <w:r>
        <w:t xml:space="preserve"> </w:t>
      </w:r>
      <w:r>
        <w:t xml:space="preserve">(although see Ciavatta et al. 2008)</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ecosystem respiration, net ecosystem metabolism, and the gas exchange (D)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EBASE is compared to metabolic estimates using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2"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t>  </m:t>
          </m:r>
          <m:d>
            <m:dPr>
              <m:begChr m:val="("/>
              <m:endChr m:val=")"/>
              <m:sepChr m:val=""/>
              <m:grow/>
            </m:dPr>
            <m:e>
              <m:r>
                <m:t>1</m:t>
              </m:r>
            </m:e>
          </m:d>
        </m:oMath>
      </m:oMathPara>
      <w:bookmarkEnd w:id="23"/>
    </w:p>
    <w:p>
      <w:pPr>
        <w:pStyle w:val="FirstParagraph"/>
      </w:pPr>
      <w:r>
        <w:t xml:space="preserve">The parameter</w:t>
      </w:r>
      <w:r>
        <w:t xml:space="preserve"> </w:t>
      </w:r>
      <m:oMath>
        <m:sSub>
          <m:e>
            <m:r>
              <m:t>k</m:t>
            </m:r>
          </m:e>
          <m:sub>
            <m:r>
              <m:t>w</m:t>
            </m:r>
          </m:sub>
        </m:sSub>
      </m:oMath>
      <w:r>
        <w:t xml:space="preserve"> </w:t>
      </w:r>
      <w:r>
        <w:t xml:space="preserve">is the gas transfer velocity defined as:</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For</w:t>
      </w:r>
      <w:r>
        <w:t xml:space="preserve"> </w:t>
      </w:r>
      <w:hyperlink w:anchor="eq-ebase">
        <w:r>
          <w:rPr>
            <w:rStyle w:val="Hyperlink"/>
          </w:rPr>
          <w:t xml:space="preserve">Equation 1</w:t>
        </w:r>
      </w:hyperlink>
      <w:r>
        <w:t xml:space="preserve">, the terms on the right side of the equation are gross primary production (</w:t>
      </w:r>
      <m:oMath>
        <m:r>
          <m:t>P</m:t>
        </m:r>
      </m:oMath>
      <w:r>
        <w:t xml:space="preserve">,</w:t>
      </w:r>
      <w:r>
        <w:t xml:space="preserve"> </w:t>
      </w:r>
      <m:oMath>
        <m:r>
          <m:t>a</m:t>
        </m:r>
        <m:r>
          <m:t>P</m:t>
        </m:r>
        <m:r>
          <m:t>A</m:t>
        </m:r>
        <m:r>
          <m:t>R</m:t>
        </m:r>
      </m:oMath>
      <w:r>
        <w:t xml:space="preserve">), ecosystem respiration (</w:t>
      </w:r>
      <m:oMath>
        <m:r>
          <m:t>R</m:t>
        </m:r>
      </m:oMath>
      <w:r>
        <w:t xml:space="preserve">), and gas exchange (</w:t>
      </w:r>
      <m:oMath>
        <m:r>
          <m:t>D</m:t>
        </m:r>
      </m:oMath>
      <w:r>
        <w:t xml:space="preserve">, remainder), respectively, processes that result in the change in dissolved oxygen (</w:t>
      </w:r>
      <m:oMath>
        <m:r>
          <m:t>d</m:t>
        </m:r>
        <m:r>
          <m:t>C</m:t>
        </m:r>
      </m:oMath>
      <w:r>
        <w:t xml:space="preserve">) per unit time (</w:t>
      </w:r>
      <m:oMath>
        <m:r>
          <m:t>d</m:t>
        </m:r>
        <m:r>
          <m:t>t</m:t>
        </m:r>
      </m:oMath>
      <w:r>
        <w:t xml:space="preserve">);</w:t>
      </w:r>
      <w:r>
        <w:t xml:space="preserve"> </w:t>
      </w:r>
      <m:oMath>
        <m:r>
          <m:t>H</m:t>
        </m:r>
      </m:oMath>
      <w:r>
        <w:t xml:space="preserve"> </w:t>
      </w:r>
      <w:r>
        <w:t xml:space="preserve">is the water depth. Production is modeled linearly as a function of surface irradiance (PAR,</w:t>
      </w:r>
      <w:r>
        <w:t xml:space="preserve"> </w:t>
      </w:r>
      <m:oMath>
        <m:r>
          <m:rPr>
            <m:nor/>
            <m:sty m:val="p"/>
          </m:rPr>
          <m:t>W</m:t>
        </m:r>
        <m:r>
          <m:rPr>
            <m:sty m:val="p"/>
          </m:rPr>
          <m:t>/</m:t>
        </m:r>
        <m:sSup>
          <m:e>
            <m:r>
              <m:rPr>
                <m:nor/>
                <m:sty m:val="p"/>
              </m:rPr>
              <m:t>m</m:t>
            </m:r>
          </m:e>
          <m:sup>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w:t>
      </w:r>
      <m:oMath>
        <m:r>
          <m:rPr>
            <m:nor/>
            <m:sty m:val="p"/>
          </m:rPr>
          <m:t>mmol</m:t>
        </m:r>
        <m:r>
          <m:rPr>
            <m:sty m:val="p"/>
          </m:rPr>
          <m:t>/</m:t>
        </m:r>
        <m:sSup>
          <m:e>
            <m:r>
              <m:rPr>
                <m:nor/>
                <m:sty m:val="p"/>
              </m:rPr>
              <m:t>m</m:t>
            </m:r>
          </m:e>
          <m:sup>
            <m:r>
              <m:t>3</m:t>
            </m:r>
          </m:sup>
        </m:sSup>
      </m:oMath>
      <w:r>
        <w:t xml:space="preserve">) , and the saturation (or equilibrium) concentration,</w:t>
      </w:r>
      <w:r>
        <w:t xml:space="preserve"> </w:t>
      </w:r>
      <m:oMath>
        <m:sSub>
          <m:e>
            <m:r>
              <m:t>C</m:t>
            </m:r>
          </m:e>
          <m:sub>
            <m:r>
              <m:t>S</m:t>
            </m:r>
            <m:r>
              <m:t>a</m:t>
            </m:r>
            <m:r>
              <m:t>t</m:t>
            </m:r>
          </m:sub>
        </m:sSub>
      </m:oMath>
      <w:r>
        <w:t xml:space="preserve"> </w:t>
      </w:r>
      <w:r>
        <w:t xml:space="preserve">(</w:t>
      </w:r>
      <m:oMath>
        <m:r>
          <m:rPr>
            <m:nor/>
            <m:sty m:val="p"/>
          </m:rPr>
          <m:t>mmol</m:t>
        </m:r>
        <m:r>
          <m:rPr>
            <m:sty m:val="p"/>
          </m:rPr>
          <m:t>/</m:t>
        </m:r>
        <m:sSup>
          <m:e>
            <m:r>
              <m:rPr>
                <m:nor/>
                <m:sty m:val="p"/>
              </m:rPr>
              <m:t>m</m:t>
            </m:r>
          </m:e>
          <m:sup>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w:t>
      </w:r>
      <w:r>
        <w:t xml:space="preserve"> </w:t>
      </w:r>
      <m:oMath>
        <m:sSub>
          <m:e>
            <m:r>
              <m:t>k</m:t>
            </m:r>
          </m:e>
          <m:sub>
            <m:r>
              <m:t>w</m:t>
            </m:r>
          </m:sub>
        </m:sSub>
      </m:oMath>
      <w:r>
        <w:t xml:space="preserve"> </w:t>
      </w:r>
      <w:r>
        <w:t xml:space="preserve">in</w:t>
      </w:r>
      <w:r>
        <w:t xml:space="preserve"> </w:t>
      </w:r>
      <w:hyperlink w:anchor="eq-kw">
        <w:r>
          <w:rPr>
            <w:rStyle w:val="Hyperlink"/>
          </w:rPr>
          <w:t xml:space="preserve">Equation 2</w:t>
        </w:r>
      </w:hyperlink>
      <w:r>
        <w:t xml:space="preserve">, is modeled using wind speed squared at 10 meters above the water (</w:t>
      </w:r>
      <m:oMath>
        <m:sSubSup>
          <m:e>
            <m:r>
              <m:t>U</m:t>
            </m:r>
          </m:e>
          <m:sub>
            <m:r>
              <m:t>10</m:t>
            </m:r>
          </m:sub>
          <m:sup>
            <m:r>
              <m:t>2</m:t>
            </m:r>
          </m:sup>
        </m:sSubSup>
      </m:oMath>
      <w:r>
        <w:t xml:space="preserve">,</w:t>
      </w:r>
      <w:r>
        <w:t xml:space="preserve"> </w:t>
      </w:r>
      <m:oMath>
        <m:sSup>
          <m:e>
            <m:r>
              <m:rPr>
                <m:nor/>
                <m:sty m:val="p"/>
              </m:rPr>
              <m:t>m</m:t>
            </m:r>
          </m:e>
          <m:sup>
            <m:r>
              <m:t>2</m:t>
            </m:r>
          </m:sup>
        </m:sSup>
        <m:r>
          <m:rPr>
            <m:sty m:val="p"/>
          </m:rPr>
          <m:t>/</m:t>
        </m:r>
        <m:sSup>
          <m:e>
            <m:r>
              <m:rPr>
                <m:nor/>
                <m:sty m:val="p"/>
              </m:rPr>
              <m:t>s</m:t>
            </m:r>
          </m:e>
          <m:sup>
            <m:r>
              <m:t>2</m:t>
            </m:r>
          </m:sup>
        </m:sSup>
      </m:oMath>
      <w:r>
        <w:t xml:space="preserve">) and the Schmidt number (</w:t>
      </w:r>
      <m:oMath>
        <m:r>
          <m:t>S</m:t>
        </m:r>
        <m:r>
          <m:t>c</m:t>
        </m:r>
      </m:oMath>
      <w:r>
        <w:t xml:space="preserve">), which is the ratio of the kinematic viscosity of water to the molecular diffusivity of oxygen in water</w:t>
      </w:r>
      <w:r>
        <w:t xml:space="preserve"> </w:t>
      </w:r>
      <w:r>
        <w:t xml:space="preserve">(</w:t>
      </w:r>
      <m:oMath>
        <m:sSub>
          <m:e>
            <m:r>
              <m:t>S</m:t>
            </m:r>
          </m:e>
          <m:sub>
            <m:r>
              <m:t>c</m:t>
            </m:r>
          </m:sub>
        </m:sSub>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bookmarkStart w:id="26" w:name="sec-basemodif"/>
    <w:p>
      <w:pPr>
        <w:pStyle w:val="Heading3"/>
      </w:pPr>
      <w:r>
        <w:t xml:space="preserve">2.1 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 fetch and suspended solids have also been considered for estuarine systems</w:t>
      </w:r>
      <w:r>
        <w:t xml:space="preserve"> </w:t>
      </w:r>
      <w:r>
        <w:t xml:space="preserve">(Borges and Abril 2011)</w:t>
      </w:r>
      <w:r>
        <w:t xml:space="preserve">.</w:t>
      </w:r>
      <w:r>
        <w:t xml:space="preserve"> </w:t>
      </w:r>
      <m:oMath>
        <m:sSub>
          <m:e>
            <m:r>
              <m:t>k</m:t>
            </m:r>
          </m:e>
          <m:sub>
            <m:r>
              <m:t>w</m:t>
            </m:r>
          </m:sub>
        </m:sSub>
      </m:oMath>
      <w:r>
        <w:t xml:space="preserve"> </w:t>
      </w:r>
      <w:r>
        <w:t xml:space="preserve">also increases with temperature because the film of water at the air-sea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and the lack of availability of other possible drivers of the transfer velocity in coastal systems (e.g., currents, fetch, suspended solids, and wave height), the wind-based parameterization for gas exchange was used for EBASE</w:t>
      </w:r>
      <w:r>
        <w:t xml:space="preserve"> </w:t>
      </w:r>
      <w:r>
        <w:t xml:space="preserve">(Wanninkhof 2014)</w:t>
      </w:r>
      <w:r>
        <w:t xml:space="preserve">. However, this parameterization is largely based on open-ocean data and so we allow</w:t>
      </w:r>
      <w:r>
        <w:t xml:space="preserve"> </w:t>
      </w:r>
      <m:oMath>
        <m:r>
          <m:t>b</m:t>
        </m:r>
      </m:oMath>
      <w:r>
        <w:t xml:space="preserve">, which was esimated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bookmarkEnd w:id="26"/>
    <w:bookmarkStart w:id="31"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2023; R Core Team 2023)</w:t>
      </w:r>
      <w:r>
        <w:t xml:space="preserve"> </w:t>
      </w:r>
      <w:r>
        <w:t xml:space="preserve">to estimate the unknown parameters using Markov Chain Monte Carlo (MCMC)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forward-in-time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 Specifically, the prior mean for</w:t>
      </w:r>
      <w:r>
        <w:t xml:space="preserve"> </w:t>
      </w:r>
      <m:oMath>
        <m:r>
          <m:t>R</m:t>
        </m:r>
      </m:oMath>
      <w:r>
        <w:t xml:space="preserve"> </w:t>
      </w:r>
      <w:r>
        <w:t xml:space="preserve">was chosen as 300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(~10</w:t>
      </w:r>
      <w:r>
        <w:t xml:space="preserve"> </w:t>
      </w:r>
      <m:oMath>
        <m:sSub>
          <m:e>
            <m:r>
              <m:rPr>
                <m:nor/>
                <m:sty m:val="p"/>
              </m:rPr>
              <m:t>g O</m:t>
            </m:r>
          </m:e>
          <m:sub>
            <m:r>
              <m:t>2</m:t>
            </m:r>
          </m:sub>
        </m:sSub>
        <m:r>
          <m:rPr>
            <m:sty m:val="p"/>
          </m:rPr>
          <m:t>/</m:t>
        </m:r>
        <m:sSup>
          <m:e>
            <m:r>
              <m:rPr>
                <m:nor/>
                <m:sty m:val="p"/>
              </m:rPr>
              <m:t>m</m:t>
            </m:r>
          </m:e>
          <m:sup>
            <m:r>
              <m:t>2</m:t>
            </m:r>
          </m:sup>
        </m:sSup>
        <m:r>
          <m:rPr>
            <m:sty m:val="p"/>
          </m:rPr>
          <m:t>/</m:t>
        </m:r>
        <m:r>
          <m:rPr>
            <m:nor/>
            <m:sty m:val="p"/>
          </m:rPr>
          <m:t>d</m:t>
        </m:r>
      </m:oMath>
      <w:r>
        <w:t xml:space="preserve">) using a national synthesis of metabolic rates for US estuaries</w:t>
      </w:r>
      <w:r>
        <w:t xml:space="preserve"> </w:t>
      </w:r>
      <w:r>
        <w:t xml:space="preserve">(Table 2 in Caffrey 2004)</w:t>
      </w:r>
      <w:r>
        <w:t xml:space="preserve">. Although</w:t>
      </w:r>
      <w:r>
        <w:t xml:space="preserve"> </w:t>
      </w:r>
      <w:r>
        <w:t xml:space="preserve">Caffrey (2004)</w:t>
      </w:r>
      <w:r>
        <w:t xml:space="preserve"> </w:t>
      </w:r>
      <w:r>
        <w:t xml:space="preserve">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rPr>
                <m:sty m:val="p"/>
              </m:rPr>
              <m:t>/</m:t>
            </m:r>
            <m:sSup>
              <m:e>
                <m:r>
                  <m:rPr>
                    <m:nor/>
                    <m:sty m:val="p"/>
                  </m:rPr>
                  <m:t>m</m:t>
                </m:r>
              </m:e>
              <m:sup>
                <m:r>
                  <m:t>2</m:t>
                </m:r>
              </m:sup>
            </m:sSup>
            <m:r>
              <m:rPr>
                <m:sty m:val="p"/>
              </m:rPr>
              <m:t>/</m:t>
            </m:r>
            <m:r>
              <m:rPr>
                <m:nor/>
                <m:sty m:val="p"/>
              </m:rPr>
              <m:t>d</m:t>
            </m:r>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t>W</m:t>
        </m:r>
        <m:r>
          <m:rPr>
            <m:sty m:val="p"/>
          </m:rPr>
          <m:t>/</m:t>
        </m:r>
        <m:sSup>
          <m:e>
            <m:r>
              <m:t>m</m:t>
            </m:r>
          </m:e>
          <m:sup>
            <m:r>
              <m:t>2</m:t>
            </m:r>
          </m:sup>
        </m:sSup>
      </m:oMath>
      <w:r>
        <w:t xml:space="preserve">, which is based on a global mean surface total shortwave radiation of 200</w:t>
      </w:r>
      <w:r>
        <w:t xml:space="preserve"> </w:t>
      </w:r>
      <m:oMath>
        <m:r>
          <m:rPr>
            <m:nor/>
            <m:sty m:val="p"/>
          </m:rPr>
          <m:t>W</m:t>
        </m:r>
        <m:r>
          <m:rPr>
            <m:sty m:val="p"/>
          </m:rPr>
          <m:t>/</m:t>
        </m:r>
        <m:sSup>
          <m:e>
            <m:r>
              <m:rPr>
                <m:nor/>
                <m:sty m:val="p"/>
              </m:rPr>
              <m:t>m</m:t>
            </m:r>
          </m:e>
          <m:sup>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w:t>
      </w:r>
      <w:r>
        <w:t xml:space="preserve"> </w:t>
      </w:r>
      <w:r>
        <w:t xml:space="preserve">Wanninkhof (2014)</w:t>
      </w:r>
      <w:r>
        <w:t xml:space="preserve">. 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which was rounded to 50% of the mean, or 150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For the prior standad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 Together,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7"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4</m:t>
              </m:r>
            </m:e>
          </m:d>
        </m:oMath>
      </m:oMathPara>
      <w:bookmarkEnd w:id="27"/>
    </w:p>
    <w:p>
      <w:pPr>
        <w:pStyle w:val="FirstParagraph"/>
      </w:pPr>
      <w:bookmarkStart w:id="28"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2</m:t>
              </m:r>
            </m:sup>
          </m:sSup>
          <m:r>
            <m:rPr>
              <m:sty m:val="p"/>
            </m:rPr>
            <m:t>/</m:t>
          </m:r>
          <m:r>
            <m:rPr>
              <m:nor/>
              <m:sty m:val="p"/>
            </m:rPr>
            <m:t>d</m:t>
          </m:r>
          <m:r>
            <m:t>  </m:t>
          </m:r>
          <m:d>
            <m:dPr>
              <m:begChr m:val="("/>
              <m:endChr m:val=")"/>
              <m:sepChr m:val=""/>
              <m:grow/>
            </m:dPr>
            <m:e>
              <m:r>
                <m:t>5</m:t>
              </m:r>
            </m:e>
          </m:d>
        </m:oMath>
      </m:oMathPara>
      <w:bookmarkEnd w:id="28"/>
    </w:p>
    <w:p>
      <w:pPr>
        <w:pStyle w:val="FirstParagraph"/>
      </w:pPr>
      <w:bookmarkStart w:id="29"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6</m:t>
              </m:r>
            </m:e>
          </m:d>
        </m:oMath>
      </m:oMathPara>
      <w:bookmarkEnd w:id="29"/>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Examples of the prior distributions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2023)</w:t>
      </w:r>
      <w:r>
        <w:t xml:space="preserve">. A detailed web page (</w:t>
      </w:r>
      <w:hyperlink r:id="rId30">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1"/>
    <w:bookmarkEnd w:id="32"/>
    <w:bookmarkStart w:id="36" w:name="assessment"/>
    <w:p>
      <w:pPr>
        <w:pStyle w:val="Heading2"/>
      </w:pPr>
      <w:r>
        <w:t xml:space="preserve">3 Assessment</w:t>
      </w:r>
    </w:p>
    <w:bookmarkStart w:id="34"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2021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were combined with the water quality data at the same time step and included air temperature, wind speed, and PAR. Missing observations in the water quality and meteorological data (5.1% and 3.4% of all observations in each dataset, respectively) were filled using autoregressive modelling of the actual parameters versus time to create a complete dataset from January 1st to December 31st.</w:t>
      </w:r>
    </w:p>
    <w:p>
      <w:pPr>
        <w:pStyle w:val="BodyText"/>
      </w:pPr>
      <w:r>
        <w:t xml:space="preserve">A synthetic oxygen time series was then generated using the inputs from Apalachicola Bay (</w:t>
      </w:r>
      <w:hyperlink w:anchor="fig-synapa">
        <w:r>
          <w:rPr>
            <w:rStyle w:val="Hyperlink"/>
          </w:rPr>
          <w:t xml:space="preserve">Figure 2</w:t>
        </w:r>
      </w:hyperlink>
      <w:r>
        <w:t xml:space="preserve">) and</w:t>
      </w:r>
      <w:r>
        <w:t xml:space="preserve"> </w:t>
      </w:r>
      <w:hyperlink w:anchor="eq-ebase">
        <w:r>
          <w:rPr>
            <w:rStyle w:val="Hyperlink"/>
          </w:rPr>
          <w:t xml:space="preserve">Equation 1</w:t>
        </w:r>
      </w:hyperlink>
      <w:r>
        <w:t xml:space="preserve"> </w:t>
      </w:r>
      <w:r>
        <w:t xml:space="preserve">as a forward calculating model with estimated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time series was estimated using the observed data described above, the separate metabolic components and their parameters in</w:t>
      </w:r>
      <w:r>
        <w:t xml:space="preserve"> </w:t>
      </w:r>
      <w:hyperlink w:anchor="eq-ebase">
        <w:r>
          <w:rPr>
            <w:rStyle w:val="Hyperlink"/>
          </w:rPr>
          <w:t xml:space="preserve">Equation 1</w:t>
        </w:r>
      </w:hyperlink>
      <w:r>
        <w:t xml:space="preserve">, and approximate metabolic rates from the Odum open-water method as implemented in the WtRegDO R package</w:t>
      </w:r>
      <w:r>
        <w:t xml:space="preserve"> </w:t>
      </w:r>
      <w:r>
        <w:t xml:space="preserve">(Beck 2021)</w:t>
      </w:r>
      <w:r>
        <w:t xml:space="preserve"> </w:t>
      </w:r>
      <w:r>
        <w:t xml:space="preserve">as an approximate estimate for back-calculation of the EBASE parameters. In short,</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as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were estimated using the Odum method and the separate synthetic components for EBASE were created by estimating the corresponding parameters, such that</w:t>
      </w:r>
      <w:r>
        <w:t xml:space="preserve"> </w:t>
      </w:r>
      <m:oMath>
        <m:r>
          <m:t>P</m:t>
        </m:r>
        <m:r>
          <m:rPr>
            <m:sty m:val="p"/>
          </m:rPr>
          <m:t>/</m:t>
        </m:r>
        <m:r>
          <m:t>P</m:t>
        </m:r>
        <m:r>
          <m:t>A</m:t>
        </m:r>
        <m:r>
          <m:t>R</m:t>
        </m:r>
        <m:r>
          <m:rPr>
            <m:sty m:val="p"/>
          </m:rPr>
          <m:t>=</m:t>
        </m:r>
        <m:r>
          <m:t>a</m:t>
        </m:r>
      </m:oMath>
      <w:r>
        <w:t xml:space="preserve">,</w:t>
      </w:r>
      <w:r>
        <w:t xml:space="preserve"> </w:t>
      </w:r>
      <m:oMath>
        <m:r>
          <m:t>R</m:t>
        </m:r>
      </m:oMath>
      <w:r>
        <w:t xml:space="preserve"> </w:t>
      </w:r>
      <w:r>
        <w:t xml:space="preserve">as is, and</w:t>
      </w:r>
      <w:r>
        <w:t xml:space="preserve"> </w:t>
      </w:r>
      <m:oMath>
        <m:r>
          <m:t>D</m:t>
        </m:r>
        <m:r>
          <m:rPr>
            <m:sty m:val="p"/>
          </m:rPr>
          <m:t>=</m:t>
        </m:r>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includes the</w:t>
      </w:r>
      <w:r>
        <w:t xml:space="preserve"> </w:t>
      </w:r>
      <m:oMath>
        <m:r>
          <m:t>b</m:t>
        </m:r>
      </m:oMath>
      <w:r>
        <w:t xml:space="preserve"> </w:t>
      </w:r>
      <w:r>
        <w:t xml:space="preserve">parameter. Daily estimates for each were created as the daily average for each parameter fit with a polynomial spline to create a smoothed output. The synthetic dissolved oxygen time series was then created as the integrated sum of the separate components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divided by water column depth.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seven,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set as the default values for all analyses given that there is minimal prior knowledge on expectations for this parameter. The default prior distribution is already uninformed and we have no appropriate expectations on methods for varying this parameter. Each unique combination of low and high values for the means and standard deviations of each parameter 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one, seven, and thirty days were compared for the synthetic one-year time series.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one, seven, and thirty days. The results are shown using Nash-Sutcliffe Efficiency (NSE) values</w:t>
      </w:r>
      <w:r>
        <w:t xml:space="preserve"> </w:t>
      </w:r>
      <w:r>
        <w:t xml:space="preserve">(Nash and Sutcliffe 1970; Moriasi et al. 2007)</w:t>
      </w:r>
      <w:r>
        <w:t xml:space="preserve">:</w:t>
      </w:r>
    </w:p>
    <w:p>
      <w:pPr>
        <w:pStyle w:val="BodyText"/>
      </w:pPr>
      <w:bookmarkStart w:id="33"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3"/>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metabolic parameter, each unique combination of priors, and each optimization period.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one day,</w:t>
      </w:r>
      <w:r>
        <w:t xml:space="preserve"> </w:t>
      </w:r>
      <m:oMath>
        <m:r>
          <m:t>n</m:t>
        </m:r>
        <m:r>
          <m:rPr>
            <m:sty m:val="p"/>
          </m:rPr>
          <m:t>≈</m:t>
        </m:r>
        <m:r>
          <m:t>52</m:t>
        </m:r>
      </m:oMath>
      <w:r>
        <w:t xml:space="preserve"> </w:t>
      </w:r>
      <w:r>
        <w:t xml:space="preserve">for seven days, and</w:t>
      </w:r>
      <w:r>
        <w:t xml:space="preserve"> </w:t>
      </w:r>
      <m:oMath>
        <m:r>
          <m:t>n</m:t>
        </m:r>
        <m:r>
          <m:rPr>
            <m:sty m:val="p"/>
          </m:rPr>
          <m:t>≈</m:t>
        </m:r>
        <m:r>
          <m:t>12</m:t>
        </m:r>
      </m:oMath>
      <w:r>
        <w:t xml:space="preserve"> </w:t>
      </w:r>
      <w:r>
        <w:t xml:space="preserve">for 30 days. All metabolic estimates were averaged within the number of days for each optimization period prior to calculating NSE values, if appropriate.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reproduce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R</m:t>
        </m:r>
      </m:oMath>
      <w:r>
        <w:t xml:space="preserve"> </w:t>
      </w:r>
      <w:r>
        <w:t xml:space="preserve">parameter was low. However, substantial variation in NSE values was observed among all other parameters. Not considering dissolved oxygen, gas exchange (</w:t>
      </w:r>
      <m:oMath>
        <m:r>
          <m:t>D</m:t>
        </m:r>
      </m:oMath>
      <w:r>
        <w:t xml:space="preserve">) was estimated with the highest NSE, with a median value across all optimization periods and priors slightly larger than zero (median NSE = 0.21). Conversely, the</w:t>
      </w:r>
      <w:r>
        <w:t xml:space="preserve"> </w:t>
      </w:r>
      <m:oMath>
        <m:r>
          <m:t>a</m:t>
        </m:r>
      </m:oMath>
      <w:r>
        <w:t xml:space="preserve"> </w:t>
      </w:r>
      <w:r>
        <w:t xml:space="preserve">parameter was reproduced the most poorly, with a median value across all optimization periods and priors less than zero (median NSE = -14.76). By optimization period, median NSE values across all parameters decreased slightly as the number of days used for model optimization increased (1 day = -3.04, 7 days = -2.4, 30 days = 0.09). The top three ranked models were identical for the seven and thirty day models and similar for models using the one day optimization period. Median NSE values across parameters for the top model in each optimization period were also similar (1 day = 0.4, 7 days = 0.19, 30 days = 0.75). For the seven day and thirty day optimization periods, the NSE values for all parameters were greater than zero for the top models, where two of the parameters in the top model for the one day optimization period has NSE &lt; 0. Most parameters regardless of optimization period or priors had NSE &lt; 0 (68%). As such, the prior combinations that produced the highest NSE values across all parameters were those where the</w:t>
      </w:r>
      <w:r>
        <w:t xml:space="preserve"> </w:t>
      </w:r>
      <m:oMath>
        <m:r>
          <m:t>σ</m:t>
        </m:r>
      </m:oMath>
      <w:r>
        <w:t xml:space="preserve"> </w:t>
      </w:r>
      <w:r>
        <w:t xml:space="preserve">values were high for each prior distribution, regardless of the values for</w:t>
      </w:r>
      <w:r>
        <w:t xml:space="preserve"> </w:t>
      </w:r>
      <m:oMath>
        <m:r>
          <m:t>μ</m:t>
        </m:r>
      </m:oMath>
      <w:r>
        <w:t xml:space="preserve">, i.e., those with sufficient flexibility to search a larger parameter space regardless of</w:t>
      </w:r>
      <w:r>
        <w:t xml:space="preserve"> </w:t>
      </w:r>
      <m:oMath>
        <m:r>
          <m:t>μ</m:t>
        </m:r>
      </m:oMath>
      <w:r>
        <w:t xml:space="preserve"> </w:t>
      </w:r>
      <w:r>
        <w:t xml:space="preserve">produced metabolic parameter estimates most similar to the known values from the synthetic time series.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parameters. Median NSE values across all models, parameters, and each optimization period for the different subsets of the prior combinations are shown relative to the grand median NSE value across all comparisons. For example, the bottom left panel with the x-axis value for the</w:t>
      </w:r>
      <w:r>
        <w:t xml:space="preserve"> </w:t>
      </w:r>
      <m:oMath>
        <m:r>
          <m:t>a</m:t>
        </m:r>
      </m:oMath>
      <w:r>
        <w:t xml:space="preserve"> </w:t>
      </w:r>
      <w:r>
        <w:t xml:space="preserve">parameter shows the difference in the median NSE values for all models using a one-day optimization period where the</w:t>
      </w:r>
      <w:r>
        <w:t xml:space="preserve"> </w:t>
      </w:r>
      <m:oMath>
        <m:r>
          <m:t>σ</m:t>
        </m:r>
      </m:oMath>
      <w:r>
        <w:t xml:space="preserve"> </w:t>
      </w:r>
      <w:r>
        <w:t xml:space="preserve">value for the</w:t>
      </w:r>
      <w:r>
        <w:t xml:space="preserve"> </w:t>
      </w:r>
      <m:oMath>
        <m:r>
          <m:t>a</m:t>
        </m:r>
      </m:oMath>
      <w:r>
        <w:t xml:space="preserve"> </w:t>
      </w:r>
      <w:r>
        <w:t xml:space="preserve">prior distribution was low or high. The size of the points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σ</m:t>
        </m:r>
      </m:oMath>
      <w:r>
        <w:t xml:space="preserve"> </w:t>
      </w:r>
      <w:r>
        <w:t xml:space="preserve">values for each parameter. Positive values indicate relative performance greater than the overall median NSE values and negative values indicate relative performance worse than the overall median. Dissolved oxygen was generally modeled with high accuracy for all priors and it was excluded to not skew the assessment. The patterns suggest that EBASE results are more sensitive to changes in the</w:t>
      </w:r>
      <w:r>
        <w:t xml:space="preserve"> </w:t>
      </w:r>
      <m:oMath>
        <m:r>
          <m:t>σ</m:t>
        </m:r>
      </m:oMath>
      <w:r>
        <w:t xml:space="preserve"> </w:t>
      </w:r>
      <w:r>
        <w:t xml:space="preserve">parameter as shown by the larger spread in the median results compared to those for</w:t>
      </w:r>
      <w:r>
        <w:t xml:space="preserve"> </w:t>
      </w:r>
      <m:oMath>
        <m:r>
          <m:t>μ</m:t>
        </m:r>
      </m:oMath>
      <w:r>
        <w:t xml:space="preserve">. This result is especially true for the priors of the</w:t>
      </w:r>
      <w:r>
        <w:t xml:space="preserve"> </w:t>
      </w:r>
      <m:oMath>
        <m:r>
          <m:t>a</m:t>
        </m:r>
      </m:oMath>
      <w:r>
        <w:t xml:space="preserve"> </w:t>
      </w:r>
      <w:r>
        <w:t xml:space="preserve">and</w:t>
      </w:r>
      <w:r>
        <w:t xml:space="preserve"> </w:t>
      </w:r>
      <m:oMath>
        <m:r>
          <m:t>R</m:t>
        </m:r>
      </m:oMath>
      <w:r>
        <w:t xml:space="preserve"> </w:t>
      </w:r>
      <w:r>
        <w:t xml:space="preserve">parameters. Conversely, model results are less sensitive to low or high values for</w:t>
      </w:r>
      <w:r>
        <w:t xml:space="preserve"> </w:t>
      </w:r>
      <m:oMath>
        <m:r>
          <m:t>μ</m:t>
        </m:r>
      </m:oMath>
      <w:r>
        <w:t xml:space="preserve"> </w:t>
      </w:r>
      <w:r>
        <w:t xml:space="preserve">as the spread between median NSE values is less than those for</w:t>
      </w:r>
      <w:r>
        <w:t xml:space="preserve"> </w:t>
      </w:r>
      <m:oMath>
        <m:r>
          <m:t>σ</m:t>
        </m:r>
      </m:oMath>
      <w:r>
        <w:t xml:space="preserve">. This suggests that EBASE model sensitivity is most influenced by</w:t>
      </w:r>
      <w:r>
        <w:t xml:space="preserve"> </w:t>
      </w:r>
      <m:oMath>
        <m:r>
          <m:t>σ</m:t>
        </m:r>
      </m:oMath>
      <w:r>
        <w:t xml:space="preserve"> </w:t>
      </w:r>
      <w:r>
        <w:t xml:space="preserve">of the prior distributions, i.e., larger values produce more accurate and less variable estimates regardless of</w:t>
      </w:r>
      <w:r>
        <w:t xml:space="preserve"> </w:t>
      </w:r>
      <m:oMath>
        <m:r>
          <m:t>μ</m:t>
        </m:r>
      </m:oMath>
      <w:r>
        <w:t xml:space="preserve">. Patterns by optimization period were not apparent.</w:t>
      </w:r>
    </w:p>
    <w:p>
      <w:pPr>
        <w:pStyle w:val="BodyText"/>
      </w:pPr>
      <w:r>
        <w:t xml:space="preserve">The actual model results for the best and worst performing combinations of prior distributions for the one day, seven day, and thirty day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median NSE values across all parameter estimates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parameter estimates were similar to the synthetic time series, although more variation in the EBASE results were of course observed with the one day optimization period. However, the</w:t>
      </w:r>
      <w:r>
        <w:t xml:space="preserve"> </w:t>
      </w:r>
      <m:oMath>
        <m:r>
          <m:t>b</m:t>
        </m:r>
      </m:oMath>
      <w:r>
        <w:t xml:space="preserve"> </w:t>
      </w:r>
      <w:r>
        <w:t xml:space="preserve">parameter was estimated with high variability for the one and seven day optimization periods (</w:t>
      </w:r>
      <w:hyperlink w:anchor="fig-optex">
        <w:r>
          <w:rPr>
            <w:rStyle w:val="Hyperlink"/>
          </w:rPr>
          <w:t xml:space="preserve">Figure 5</w:t>
        </w:r>
      </w:hyperlink>
      <w:r>
        <w:t xml:space="preserve"> </w:t>
      </w:r>
      <w:r>
        <w:t xml:space="preserve">a, c, bottom row) and with a large positive bias for the 30 day optimization period (</w:t>
      </w:r>
      <w:hyperlink w:anchor="fig-optex">
        <w:r>
          <w:rPr>
            <w:rStyle w:val="Hyperlink"/>
          </w:rPr>
          <w:t xml:space="preserve">Figure 5</w:t>
        </w:r>
      </w:hyperlink>
      <w:r>
        <w:t xml:space="preserve"> </w:t>
      </w:r>
      <w:r>
        <w:t xml:space="preserve">e, bottom row). These results were not unexpected because it was impossible to evaluate NSE estimates using a fixed value in the synthetic results and the accuracy was not considered in identifying the best performing model. Finally,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using low or high values for</w:t>
      </w:r>
      <w:r>
        <w:t xml:space="preserve"> </w:t>
      </w:r>
      <m:oMath>
        <m:r>
          <m:t>μ</m:t>
        </m:r>
      </m:oMath>
      <w:r>
        <w:t xml:space="preserve"> </w:t>
      </w:r>
      <w:r>
        <w:t xml:space="preserve">combined with low values for</w:t>
      </w:r>
      <w:r>
        <w:t xml:space="preserve"> </w:t>
      </w:r>
      <m:oMath>
        <m:r>
          <m:t>σ</m:t>
        </m:r>
      </m:oMath>
      <w:r>
        <w:t xml:space="preserve">.</w:t>
      </w:r>
    </w:p>
    <w:p>
      <w:pPr>
        <w:pStyle w:val="BodyText"/>
      </w:pPr>
      <w:r>
        <w:t xml:space="preserve">As a final evaluation of EBASE to return known metabolic parameters, a second synthetic time series was created that added estimated effects of instrument and tidal noise to the original synthetic time series. The objective of the analysis is to develop an expectation of how metabolic estimates may change using in situ data with noise that may substantially mask a biological signal in dissolved oxygen measurements. The instrument and tidal noise were estimated using a weighted regression analysis</w:t>
      </w:r>
      <w:r>
        <w:t xml:space="preserve"> </w:t>
      </w:r>
      <w:r>
        <w:t xml:space="preserve">(Beck et al. 2015; Beck 2021)</w:t>
      </w:r>
      <w:r>
        <w:t xml:space="preserve"> </w:t>
      </w:r>
      <w:r>
        <w:t xml:space="preserve">on actual observed dissolved oxygen time series for Apalachicola Bay using data from 2021. This approach models dissolved oxygen as a function of time, salinity, and season using a moving window approach with weights of the independent variables appropriate for each time period within the windows. The results of this analysis return a predicted and detided dissolved oxygen time series. The instrument noise was estimated as the difference between the observed and predicted time series and the tidal noise was estimated as the difference between the predicted and detided time series. Both the instrument and tidal noise were added to the original synthetic time series above (</w:t>
      </w:r>
      <w:hyperlink w:anchor="fig-synapanos">
        <w:r>
          <w:rPr>
            <w:rStyle w:val="Hyperlink"/>
          </w:rPr>
          <w:t xml:space="preserve">Figure 6</w:t>
        </w:r>
      </w:hyperlink>
      <w:r>
        <w:t xml:space="preserve">). EBASE was then used with unconstrained priors (large</w:t>
      </w:r>
      <w:r>
        <w:t xml:space="preserve"> </w:t>
      </w:r>
      <m:oMath>
        <m:r>
          <m:t>σ</m:t>
        </m:r>
      </m:oMath>
      <w:r>
        <w:t xml:space="preserve">) on the synthetic time series with noise, then compared with results from the original synthetic time series.</w:t>
      </w:r>
    </w:p>
    <w:p>
      <w:pPr>
        <w:pStyle w:val="BodyText"/>
      </w:pPr>
      <w:hyperlink w:anchor="fig-synapanoscmp">
        <w:r>
          <w:rPr>
            <w:rStyle w:val="Hyperlink"/>
          </w:rPr>
          <w:t xml:space="preserve">Figure 7</w:t>
        </w:r>
      </w:hyperlink>
      <w:r>
        <w:t xml:space="preserve"> </w:t>
      </w:r>
      <w:r>
        <w:t xml:space="preserve">shows the comparison of the EBASE results for the synthetic time series with instrument and tidal noise to those from the original synthetic time series. Results for both time series produced similar dissolved oxygen estimates (top-left panel,</w:t>
      </w:r>
      <w:r>
        <w:t xml:space="preserve"> </w:t>
      </w:r>
      <w:hyperlink w:anchor="fig-synapanoscmp">
        <w:r>
          <w:rPr>
            <w:rStyle w:val="Hyperlink"/>
          </w:rPr>
          <w:t xml:space="preserve">Figure 7</w:t>
        </w:r>
      </w:hyperlink>
      <w:r>
        <w:t xml:space="preserve">), although notable differences were observed in the remaining parameters. In particular, gross primary production (P) and ecosystem respiration (R) were generally higher and more variable for results from the noisy time series, with differences in the former attributed to higher estimates in the</w:t>
      </w:r>
      <w:r>
        <w:t xml:space="preserve"> </w:t>
      </w:r>
      <m:oMath>
        <m:r>
          <m:t>a</m:t>
        </m:r>
      </m:oMath>
      <w:r>
        <w:t xml:space="preserve"> </w:t>
      </w:r>
      <w:r>
        <w:t xml:space="preserve">parameter. As for the previous results, the</w:t>
      </w:r>
      <w:r>
        <w:t xml:space="preserve"> </w:t>
      </w:r>
      <m:oMath>
        <m:r>
          <m:t>b</m:t>
        </m:r>
      </m:oMath>
      <w:r>
        <w:t xml:space="preserve"> </w:t>
      </w:r>
      <w:r>
        <w:t xml:space="preserve">parameter was estimated with low precision for both input time series, although results were centered around the true value of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Gas exchange (D) was similar between the input time series, suggesting that lack of precision in the</w:t>
      </w:r>
      <w:r>
        <w:t xml:space="preserve"> </w:t>
      </w:r>
      <m:oMath>
        <m:r>
          <m:t>b</m:t>
        </m:r>
      </m:oMath>
      <w:r>
        <w:t xml:space="preserve"> </w:t>
      </w:r>
      <w:r>
        <w:t xml:space="preserve">parameter had a minimal influence regardless of noise.</w:t>
      </w:r>
    </w:p>
    <w:bookmarkEnd w:id="34"/>
    <w:bookmarkStart w:id="35"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 based with metabolic rates estimated by fitting the model to the data, whereas the latter is strictly arithmetic based primarily on integration of the diel dissolved oxygen curve. Thus, potentially different results are expected between the approaches based on differences in formulation of the mass balance equations for metabolism, as well as alternative statistical approaches to estimating the parameters. Each comparison also evaluated differences in the metabolic estimates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were uninformed using the same large</w:t>
      </w:r>
      <w:r>
        <w:t xml:space="preserve"> </w:t>
      </w:r>
      <m:oMath>
        <m:r>
          <m:t>σ</m:t>
        </m:r>
      </m:oMath>
      <w:r>
        <w:t xml:space="preserve"> </w:t>
      </w:r>
      <w:r>
        <w:t xml:space="preserve">values from</w:t>
      </w:r>
      <w:r>
        <w:t xml:space="preserve"> </w:t>
      </w:r>
      <w:hyperlink w:anchor="sec-cmpmod">
        <w:r>
          <w:rPr>
            <w:rStyle w:val="Hyperlink"/>
          </w:rPr>
          <w:t xml:space="preserve">Section 3.1</w:t>
        </w:r>
      </w:hyperlink>
      <w:r>
        <w:t xml:space="preserve"> </w:t>
      </w:r>
      <w:r>
        <w:t xml:space="preserve">and moderate</w:t>
      </w:r>
      <w:r>
        <w:t xml:space="preserve"> </w:t>
      </w:r>
      <m:oMath>
        <m:r>
          <m:t>μ</m:t>
        </m:r>
      </m:oMath>
      <w:r>
        <w:t xml:space="preserve"> </w:t>
      </w:r>
      <w:r>
        <w:t xml:space="preserve">values (</w:t>
      </w:r>
      <m:oMath>
        <m:r>
          <m:t>μ</m:t>
        </m:r>
      </m:oMath>
      <w:r>
        <w:t xml:space="preserve"> </w:t>
      </w:r>
      <w:r>
        <w:t xml:space="preserve">= 0.2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t>
      </w:r>
      <w:r>
        <w:t xml:space="preserve">for</w:t>
      </w:r>
      <w:r>
        <w:t xml:space="preserve"> </w:t>
      </w:r>
      <m:oMath>
        <m:r>
          <m:t>a</m:t>
        </m:r>
      </m:oMath>
      <w:r>
        <w:t xml:space="preserve">,</w:t>
      </w:r>
      <w:r>
        <w:t xml:space="preserve"> </w:t>
      </w:r>
      <m:oMath>
        <m:r>
          <m:t>μ</m:t>
        </m:r>
      </m:oMath>
      <w:r>
        <w:t xml:space="preserve"> </w:t>
      </w:r>
      <w:r>
        <w:t xml:space="preserve">= 20</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w:t>
      </w:r>
      <w:r>
        <w:t xml:space="preserve">for</w:t>
      </w:r>
      <w:r>
        <w:t xml:space="preserve"> </w:t>
      </w:r>
      <m:oMath>
        <m:r>
          <m:t>R</m:t>
        </m:r>
      </m:oMath>
      <w:r>
        <w:t xml:space="preserve">,</w:t>
      </w:r>
      <w:r>
        <w:t xml:space="preserve"> </w:t>
      </w:r>
      <m:oMath>
        <m:r>
          <m:t>μ</m:t>
        </m:r>
      </m:oMath>
      <w:r>
        <w:t xml:space="preserve"> </w:t>
      </w:r>
      <w:r>
        <w:t xml:space="preserv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for</w:t>
      </w:r>
      <w:r>
        <w:t xml:space="preserve"> </w:t>
      </w:r>
      <m:oMath>
        <m:r>
          <m:t>b</m:t>
        </m:r>
      </m:oMath>
      <w:r>
        <w:t xml:space="preserve">). A one day model optimization period was used for EBASE for comparability with the Odum method.</w:t>
      </w:r>
    </w:p>
    <w:p>
      <w:pPr>
        <w:pStyle w:val="BodyText"/>
      </w:pPr>
      <w:r>
        <w:t xml:space="preserve">The common set of metabolic parameters returned by the EBASE and Odum methods are net ecosystem metabolism (NEM), gross primary production (P), ecosystem respiration (R), and gas exchange (D). Pairwise comparisons of the daily estimates returned by each method were evaluated using simple summary statistics, including Pearson correlation coefficients (</w:t>
      </w:r>
      <m:oMath>
        <m:r>
          <m:t>ρ</m:t>
        </m:r>
      </m:oMath>
      <w:r>
        <w:t xml:space="preserve">) and root mean square errors (RMSE) of the linear regression fit comparing the same metabolic parameter between methods. Results were assessed separately for estimates using the observed or detided dissolved oxygen time series.</w:t>
      </w:r>
    </w:p>
    <w:p>
      <w:pPr>
        <w:pStyle w:val="BodyText"/>
      </w:pP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for the metabolic results based on the detided dissolved oxygen time series. The only exception for the correlation estimates was gas exchange (D), which had a slightly weaker correlation using the detided results.</w:t>
      </w:r>
      <w:r>
        <w:t xml:space="preserve"> </w:t>
      </w:r>
      <w:hyperlink w:anchor="fig-apacmpfig">
        <w:r>
          <w:rPr>
            <w:rStyle w:val="Hyperlink"/>
          </w:rPr>
          <w:t xml:space="preserve">Figure 8</w:t>
        </w:r>
      </w:hyperlink>
      <w:r>
        <w:t xml:space="preserve"> </w:t>
      </w:r>
      <w:r>
        <w:t xml:space="preserve">shows that the Odum results for gas exchange were more variable than those for EBASE using the detided dissolved oxygen, where the latter often estimated gas exhange at much smaller values compared to the former. The RMSE values of each regression comparing the metabolic estimates between methods were generally lower in the detided results, excluding D which was higher with the detided dissolved oxygen relative to the observed.</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RMSE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5"/>
    <w:bookmarkEnd w:id="36"/>
    <w:bookmarkStart w:id="37" w:name="discussion"/>
    <w:p>
      <w:pPr>
        <w:pStyle w:val="Heading2"/>
      </w:pPr>
      <w:r>
        <w:t xml:space="preserve">4 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by 1) using a Bayesian framework that estimates the best fit of the model to the data with posterior probabilities describing the likelihood of the fit, and 2) modifying the underlying mass-balance model for dissolved oxygen with several components more appropriate for estuarine settings. First, the Bayesian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an exception was the ability of the model to estimate stable values for the</w:t>
      </w:r>
      <w:r>
        <w:t xml:space="preserve"> </w:t>
      </w:r>
      <m:oMath>
        <m:r>
          <m:t>b</m:t>
        </m:r>
      </m:oMath>
      <w:r>
        <w:t xml:space="preserve"> </w:t>
      </w:r>
      <w:r>
        <w:t xml:space="preserve">parameter, although the resulting estimate of gas exchange was similar to the known values. This result could be explained by the dominance of the relative processes that manifest signals in the dissolved oxygen time series. That is, estuarine dissolved oxygen at Apalachicola Bay may be dominated by production and respiration, and less so from gas exchange, such that the available data provided insufficient information for EBASE to estimate</w:t>
      </w:r>
      <w:r>
        <w:t xml:space="preserve"> </w:t>
      </w:r>
      <m:oMath>
        <m:r>
          <m:t>b</m:t>
        </m:r>
      </m:oMath>
      <w:r>
        <w:t xml:space="preserve">. This result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The second advantage of EBASE that makes the model more appropriate for estuarine settings included several modifications to the underlying mass-balance equation for dissolved oxygen (</w:t>
      </w:r>
      <w:hyperlink w:anchor="eq-ebase">
        <w:r>
          <w:rPr>
            <w:rStyle w:val="Hyperlink"/>
          </w:rPr>
          <w:t xml:space="preserve">Equation 1</w:t>
        </w:r>
      </w:hyperlink>
      <w:r>
        <w:t xml:space="preserve">). As described in</w:t>
      </w:r>
      <w:r>
        <w:t xml:space="preserve"> </w:t>
      </w:r>
      <w:hyperlink w:anchor="sec-basemodif">
        <w:r>
          <w:rPr>
            <w:rStyle w:val="Hyperlink"/>
          </w:rPr>
          <w:t xml:space="preserve">Section 2.1</w:t>
        </w:r>
      </w:hyperlink>
      <w:r>
        <w:t xml:space="preserve">, EBASE is an estuarine adaptation of BASE</w:t>
      </w:r>
      <w:r>
        <w:t xml:space="preserve"> </w:t>
      </w:r>
      <w:r>
        <w:t xml:space="preserve">(Grace et al. 2015)</w:t>
      </w:r>
      <w:r>
        <w:t xml:space="preserve"> </w:t>
      </w:r>
      <w:r>
        <w:t xml:space="preserve">that was developed for stream applications and many assumptions of the underlying model of the latter were inappropriate for the former. Specifically, EBASE was modified to address three primary concerns of using BASE in an estuarine setting. First, the estimation of gross primary production as a function of PAR assumed a linear relationship such that the increase of production per unit increase of PAR was consistent for any level of the latter. The BASE model includes an exponential parameter,</w:t>
      </w:r>
      <w:r>
        <w:t xml:space="preserve"> </w:t>
      </w:r>
      <m:oMath>
        <m:r>
          <m:t>p</m:t>
        </m:r>
      </m:oMath>
      <w:r>
        <w:t xml:space="preserve">, that defines a non-linear relationship between P and PAR (although it should be noted that BASE provides an option to set</w:t>
      </w:r>
      <w:r>
        <w:t xml:space="preserve"> </w:t>
      </w:r>
      <m:oMath>
        <m:r>
          <m:t>p</m:t>
        </m:r>
        <m:r>
          <m:rPr>
            <m:sty m:val="p"/>
          </m:rPr>
          <m:t>=</m:t>
        </m:r>
        <m:r>
          <m:t>1</m:t>
        </m:r>
      </m:oMath>
      <w:r>
        <w:t xml:space="preserve">).</w:t>
      </w:r>
      <w:r>
        <w:t xml:space="preserve"> </w:t>
      </w:r>
      <w:r>
        <w:t xml:space="preserve">Holtgrieve et al. (2010)</w:t>
      </w:r>
      <w:r>
        <w:t xml:space="preserve"> </w:t>
      </w:r>
      <w:r>
        <w:t xml:space="preserve">describes a simple linear photosynthesis-irradiance curve as appropriate for systems that are never light-saturated and this assumption likely holds true for estuaries that are commonly more turbid than open-ocean or freshwater locations. Second, EBASE removed the temperature-dependency of respiration and assumed that respiration did not change with water temperature, consistent with applications of the Odum method to other shallow estuaries</w:t>
      </w:r>
      <w:r>
        <w:t xml:space="preserve"> </w:t>
      </w:r>
      <w:r>
        <w:t xml:space="preserve">(Beck et al. 2015; Murrell et al. 2018)</w:t>
      </w:r>
      <w:r>
        <w:t xml:space="preserve">. This modification addresses recent work that suggests respiration in streams may be reduced during the night with lower temperatures as the respiration of labile autochthonous organic matter may contribute to changes in the dissolved oxygen time series</w:t>
      </w:r>
      <w:r>
        <w:t xml:space="preserve"> </w:t>
      </w:r>
      <w:r>
        <w:t xml:space="preserve">(Sadro et al. 2014; Schindler et al. 2017)</w:t>
      </w:r>
      <w:r>
        <w:t xml:space="preserve">. There is currently no justification for this assumption in estuaries. Finally, the gas exchange in EBASE used the parameterization in</w:t>
      </w:r>
      <w:r>
        <w:t xml:space="preserve"> </w:t>
      </w:r>
      <w:r>
        <w:t xml:space="preserve">Wanninkhof (2014)</w:t>
      </w:r>
      <w:r>
        <w:t xml:space="preserve"> </w:t>
      </w:r>
      <w:r>
        <w:t xml:space="preserve">that is primarily wind-based and developed for the open-ocean, which is clearly more appropriate than the prior formulation in BASE that includes a temperature and depth dependency for streams. Overall, these changes also reduced the required inputs and many monitoring locations nationwide include the requisite data for applying EBASE (i.e., dissolved oxygen, water temperature, salinity, PAR, and wind speed, as collected by the NERRS).</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over-estimates of metabolic rates with more variation than those without tidal influence. Our assessment of the synthetic time series with noise and use of the detided dissolved oyxgen time series from the observed data at Apalachicola Bay to estimate metabolism both demonstrated this bias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larger and more variable estimates are returned. A potential future approach for developing EBASE could be an explicit formulation of tidal advection in the model using a synoptic tidal height time series in the Bayesian framework. This has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EBASE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lengths, whereas the BASE method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quantified by the</w:t>
      </w:r>
      <w:r>
        <w:t xml:space="preserve"> </w:t>
      </w:r>
      <m:oMath>
        <m:r>
          <m:t>b</m:t>
        </m:r>
      </m:oMath>
      <w:r>
        <w:t xml:space="preserve"> </w:t>
      </w:r>
      <w:r>
        <w:t xml:space="preserve">parameter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suggests that results were similar for the 7 and 30 day optimization period. As such, using one week of data for each optimization period is likely appropriate for this location. For other locations, using one day is not recommended given the issues stated above (i.e., unstable results), whereas an optimization period longer than a month may miss important events in the time series that can affect the metabolic estimates and will likely produce parameters that are overly generalized.</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input used by EBASE. This allows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based,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the</w:t>
      </w:r>
      <w:r>
        <w:t xml:space="preserve"> </w:t>
      </w:r>
      <m:oMath>
        <m:r>
          <m:t>b</m:t>
        </m:r>
      </m:oMath>
      <w:r>
        <w:t xml:space="preserve"> </w:t>
      </w:r>
      <w:r>
        <w:t xml:space="preserve">parameter was still relatively unstable and unconstrained priors may not provide useful estimates in estuarine settings outside of the location evaluated herein. This may require further constraining the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appropriate expectation of the range of values for the reaeration coefficient,</w:t>
      </w:r>
      <w:r>
        <w:t xml:space="preserve"> </w:t>
      </w:r>
      <m:oMath>
        <m:r>
          <m:t>K</m:t>
        </m:r>
      </m:oMath>
      <w:r>
        <w:t xml:space="preserve">, which was then used to inform the prior distribution using the BASE method. More stable and realistic metabolic estimates were then returned by BASE, demonstrating the value of the Bayesian approach that can incorporate prior knowledge. A similar approach could be applied to create more accurate estimates from EBASE depending on location.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37"/>
    <w:bookmarkStart w:id="38" w:name="comments-and-recommendations"/>
    <w:p>
      <w:pPr>
        <w:pStyle w:val="Heading2"/>
      </w:pPr>
      <w:r>
        <w:t xml:space="preserve">5 Comments and Recommendations</w:t>
      </w:r>
    </w:p>
    <w:p>
      <w:pPr>
        <w:pStyle w:val="FirstParagraph"/>
      </w:pPr>
      <w:r>
        <w:t xml:space="preserve">The development of EBASE represents a new approach for estimating metabolic rates in estuarine settings that leverages existing methods by adapting theoretical components of the underlying mass-balance model using a Bayesian framework. Our results have demonstrated that unknown metabolic parameters can be estimated with reasonable certainty using uninformed prior distributions and EBASE could be a valuable approach to improve the understanding of critical ecosystem processes as the method can be readily applied to other settings. A notable limitation of EBASE was an inability to precisely recover the</w:t>
      </w:r>
      <w:r>
        <w:t xml:space="preserve"> </w:t>
      </w:r>
      <m:oMath>
        <m:r>
          <m:t>b</m:t>
        </m:r>
      </m:oMath>
      <w:r>
        <w:t xml:space="preserve"> </w:t>
      </w:r>
      <w:r>
        <w:t xml:space="preserve">parameter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38"/>
    <w:bookmarkStart w:id="39"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 Najjar, Maria Herrmann, and Kathleen Hill.</w:t>
      </w:r>
    </w:p>
    <w:p>
      <w:r>
        <w:br w:type="page"/>
      </w:r>
    </w:p>
    <w:bookmarkEnd w:id="39"/>
    <w:bookmarkStart w:id="72"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3" w:name="fig-priorplot"/>
          <w:p>
            <w:pPr>
              <w:pStyle w:val="Figure"/>
              <w:jc w:val="center"/>
            </w:pPr>
            <w:r>
              <w:drawing>
                <wp:inline>
                  <wp:extent cx="5943600" cy="2228850"/>
                  <wp:effectExtent b="0" l="0" r="0" t="0"/>
                  <wp:docPr descr="" title="" id="41" name="Picture"/>
                  <a:graphic>
                    <a:graphicData uri="http://schemas.openxmlformats.org/drawingml/2006/picture">
                      <pic:pic>
                        <pic:nvPicPr>
                          <pic:cNvPr descr="figs/priorplot.png" id="42" name="Picture"/>
                          <pic:cNvPicPr>
                            <a:picLocks noChangeArrowheads="1" noChangeAspect="1"/>
                          </pic:cNvPicPr>
                        </pic:nvPicPr>
                        <pic:blipFill>
                          <a:blip r:embed="rId40"/>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p>
          <w:bookmarkEnd w:id="43"/>
        </w:tc>
      </w:tr>
    </w:tbl>
    <w:p>
      <w:r>
        <w:br w:type="page"/>
      </w:r>
    </w:p>
    <w:tbl>
      <w:tblPr>
        <w:tblStyle w:val="Table"/>
        <w:tblW w:type="pct" w:w="5000"/>
        <w:tblLook w:firstRow="0" w:lastRow="0" w:firstColumn="0" w:lastColumn="0" w:noHBand="0" w:noVBand="0" w:val="0000"/>
      </w:tblPr>
      <w:tblGrid>
        <w:gridCol w:w="7920"/>
      </w:tblGrid>
      <w:tr>
        <w:tc>
          <w:tcPr/>
          <w:bookmarkStart w:id="47" w:name="fig-synapa"/>
          <w:p>
            <w:pPr>
              <w:pStyle w:val="Figure"/>
              <w:jc w:val="center"/>
            </w:pPr>
            <w:r>
              <w:drawing>
                <wp:inline>
                  <wp:extent cx="5943600" cy="5943600"/>
                  <wp:effectExtent b="0" l="0" r="0" t="0"/>
                  <wp:docPr descr="" title="" id="45" name="Picture"/>
                  <a:graphic>
                    <a:graphicData uri="http://schemas.openxmlformats.org/drawingml/2006/picture">
                      <pic:pic>
                        <pic:nvPicPr>
                          <pic:cNvPr descr="figs/synapa.png" id="46"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gross primary production (</w:t>
            </w:r>
            <m:oMath>
              <m:r>
                <m:t>P</m:t>
              </m:r>
            </m:oMath>
            <w:r>
              <w:t xml:space="preserve">), the negative of ecosystem respiration (</w:t>
            </w:r>
            <m:oMath>
              <m:r>
                <m:rPr>
                  <m:sty m:val="p"/>
                </m:rPr>
                <m:t>−</m:t>
              </m:r>
              <m:r>
                <m:t>R</m:t>
              </m:r>
            </m:oMath>
            <w:r>
              <w:t xml:space="preserve">), and gas exchange (</w:t>
            </w:r>
            <m:oMath>
              <m:r>
                <m:t>D</m:t>
              </m:r>
            </m:oMath>
            <w:r>
              <w:t xml:space="preserve">).</w:t>
            </w:r>
          </w:p>
          <w:bookmarkEnd w:id="47"/>
        </w:tc>
      </w:tr>
    </w:tbl>
    <w:p>
      <w:r>
        <w:br w:type="page"/>
      </w:r>
    </w:p>
    <w:tbl>
      <w:tblPr>
        <w:tblStyle w:val="Table"/>
        <w:tblW w:type="pct" w:w="5000"/>
        <w:tblLook w:firstRow="0" w:lastRow="0" w:firstColumn="0" w:lastColumn="0" w:noHBand="0" w:noVBand="0" w:val="0000"/>
      </w:tblPr>
      <w:tblGrid>
        <w:gridCol w:w="7920"/>
      </w:tblGrid>
      <w:tr>
        <w:tc>
          <w:tcPr/>
          <w:bookmarkStart w:id="51" w:name="fig-priorcomp"/>
          <w:p>
            <w:pPr>
              <w:pStyle w:val="Figure"/>
              <w:jc w:val="center"/>
            </w:pPr>
            <w:r>
              <w:drawing>
                <wp:inline>
                  <wp:extent cx="5497394" cy="3664929"/>
                  <wp:effectExtent b="0" l="0" r="0" t="0"/>
                  <wp:docPr descr="" title="" id="49" name="Picture"/>
                  <a:graphic>
                    <a:graphicData uri="http://schemas.openxmlformats.org/drawingml/2006/picture">
                      <pic:pic>
                        <pic:nvPicPr>
                          <pic:cNvPr descr="figs/priorcomp.png" id="50" name="Picture"/>
                          <pic:cNvPicPr>
                            <a:picLocks noChangeArrowheads="1" noChangeAspect="1"/>
                          </pic:cNvPicPr>
                        </pic:nvPicPr>
                        <pic:blipFill>
                          <a:blip r:embed="rId48"/>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one day, seven days, or thirty days. The metabolic results for dissolved oxygen (DO), gross primary production (P), ecosystem respiration (R), gas exchange (D), and the</w:t>
            </w:r>
            <w:r>
              <w:t xml:space="preserve"> </w:t>
            </w:r>
            <m:oMath>
              <m:r>
                <m:t>a</m:t>
              </m:r>
            </m:oMath>
            <w:r>
              <w:t xml:space="preserve"> </w:t>
            </w:r>
            <w:r>
              <w:t xml:space="preserve">parameter are evaluated based on Nash-Sutcliffe Efficiency (NSE) values between the EBASE results and synthetic values. NSE values from zero to one (green) indicate EBASE has recovered the synthetic parameters with values closer to 1 being a better approximation, whereas negative values indicate poor recovery. The color scale for NSE is also exponentially transformed to minimize the influence of large negative values on the visual display. The</w:t>
            </w:r>
            <w:r>
              <w:t xml:space="preserve"> </w:t>
            </w:r>
            <m:oMath>
              <m:r>
                <m:t>b</m:t>
              </m:r>
            </m:oMath>
            <w:r>
              <w:t xml:space="preserve"> </w:t>
            </w:r>
            <w:r>
              <w:t xml:space="preserve">parameter is a fixed constant and was not evaluated. Rankings of each combination as the median NSE value across all parameters in a row are shown on the right, with the top three as black/bold and bottom three as black/italic.</w:t>
            </w:r>
          </w:p>
          <w:bookmarkEnd w:id="51"/>
        </w:tc>
      </w:tr>
    </w:tbl>
    <w:p>
      <w:r>
        <w:br w:type="page"/>
      </w:r>
    </w:p>
    <w:tbl>
      <w:tblPr>
        <w:tblStyle w:val="Table"/>
        <w:tblW w:type="pct" w:w="5000"/>
        <w:tblLook w:firstRow="0" w:lastRow="0" w:firstColumn="0" w:lastColumn="0" w:noHBand="0" w:noVBand="0" w:val="0000"/>
      </w:tblPr>
      <w:tblGrid>
        <w:gridCol w:w="7920"/>
      </w:tblGrid>
      <w:tr>
        <w:tc>
          <w:tcPr/>
          <w:bookmarkStart w:id="55" w:name="fig-priorsumcomp"/>
          <w:p>
            <w:pPr>
              <w:pStyle w:val="Figure"/>
              <w:jc w:val="center"/>
            </w:pPr>
            <w:r>
              <w:drawing>
                <wp:inline>
                  <wp:extent cx="4581162" cy="3664929"/>
                  <wp:effectExtent b="0" l="0" r="0" t="0"/>
                  <wp:docPr descr="" title="" id="53" name="Picture"/>
                  <a:graphic>
                    <a:graphicData uri="http://schemas.openxmlformats.org/drawingml/2006/picture">
                      <pic:pic>
                        <pic:nvPicPr>
                          <pic:cNvPr descr="figs/priorsumcomp.png" id="54" name="Picture"/>
                          <pic:cNvPicPr>
                            <a:picLocks noChangeArrowheads="1" noChangeAspect="1"/>
                          </pic:cNvPicPr>
                        </pic:nvPicPr>
                        <pic:blipFill>
                          <a:blip r:embed="rId52"/>
                          <a:stretch>
                            <a:fillRect/>
                          </a:stretch>
                        </pic:blipFill>
                        <pic:spPr bwMode="auto">
                          <a:xfrm>
                            <a:off x="0" y="0"/>
                            <a:ext cx="4581162"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median Nash-Sutcliffe Efficiency (NSE) values across all parameters for the comparisons of EBASE and synthetic model outputs separated by different combinations of prior values. Summaries are shown relative to the difference from the grand median across all comparisons. Each result on the x-axis represents the median values for which the combination prior applies, e.g., all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one day optimization period. Point size represents the inter-quartile range of median NSE values for each result.</w:t>
            </w:r>
          </w:p>
          <w:bookmarkEnd w:id="55"/>
        </w:tc>
      </w:tr>
    </w:tbl>
    <w:p>
      <w:r>
        <w:br w:type="page"/>
      </w:r>
    </w:p>
    <w:tbl>
      <w:tblPr>
        <w:tblStyle w:val="Table"/>
        <w:tblW w:type="pct" w:w="5000"/>
        <w:tblLook w:firstRow="0" w:lastRow="0" w:firstColumn="0" w:lastColumn="0" w:noHBand="0" w:noVBand="0" w:val="0000"/>
      </w:tblPr>
      <w:tblGrid>
        <w:gridCol w:w="7920"/>
      </w:tblGrid>
      <w:tr>
        <w:tc>
          <w:tcPr/>
          <w:bookmarkStart w:id="59" w:name="fig-optex"/>
          <w:p>
            <w:pPr>
              <w:pStyle w:val="Figure"/>
              <w:jc w:val="center"/>
            </w:pPr>
            <w:r>
              <w:drawing>
                <wp:inline>
                  <wp:extent cx="5943600" cy="5745480"/>
                  <wp:effectExtent b="0" l="0" r="0" t="0"/>
                  <wp:docPr descr="" title="" id="57" name="Picture"/>
                  <a:graphic>
                    <a:graphicData uri="http://schemas.openxmlformats.org/drawingml/2006/picture">
                      <pic:pic>
                        <pic:nvPicPr>
                          <pic:cNvPr descr="figs/optex.png" id="58" name="Picture"/>
                          <pic:cNvPicPr>
                            <a:picLocks noChangeArrowheads="1" noChangeAspect="1"/>
                          </pic:cNvPicPr>
                        </pic:nvPicPr>
                        <pic:blipFill>
                          <a:blip r:embed="rId56"/>
                          <a:stretch>
                            <a:fillRect/>
                          </a:stretch>
                        </pic:blipFill>
                        <pic:spPr bwMode="auto">
                          <a:xfrm>
                            <a:off x="0" y="0"/>
                            <a:ext cx="5943600" cy="57454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seven day (c, d), and thirty day (e, f) optimization periods are based on the EBASE results with prior distributions that produced the highest and lowest median Nash-Sutcliffe Efficenciy 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59"/>
        </w:tc>
      </w:tr>
    </w:tbl>
    <w:p>
      <w:r>
        <w:br w:type="page"/>
      </w:r>
    </w:p>
    <w:tbl>
      <w:tblPr>
        <w:tblStyle w:val="Table"/>
        <w:tblW w:type="pct" w:w="5000"/>
        <w:tblLook w:firstRow="0" w:lastRow="0" w:firstColumn="0" w:lastColumn="0" w:noHBand="0" w:noVBand="0" w:val="0000"/>
      </w:tblPr>
      <w:tblGrid>
        <w:gridCol w:w="7920"/>
      </w:tblGrid>
      <w:tr>
        <w:tc>
          <w:tcPr/>
          <w:bookmarkStart w:id="63" w:name="fig-synapanos"/>
          <w:p>
            <w:pPr>
              <w:pStyle w:val="Figure"/>
              <w:jc w:val="center"/>
            </w:pPr>
            <w:r>
              <w:drawing>
                <wp:inline>
                  <wp:extent cx="5943600" cy="4457700"/>
                  <wp:effectExtent b="0" l="0" r="0" t="0"/>
                  <wp:docPr descr="" title="" id="61" name="Picture"/>
                  <a:graphic>
                    <a:graphicData uri="http://schemas.openxmlformats.org/drawingml/2006/picture">
                      <pic:pic>
                        <pic:nvPicPr>
                          <pic:cNvPr descr="figs/synapanos.png" id="62" name="Picture"/>
                          <pic:cNvPicPr>
                            <a:picLocks noChangeArrowheads="1" noChangeAspect="1"/>
                          </pic:cNvPicPr>
                        </pic:nvPicPr>
                        <pic:blipFill>
                          <a:blip r:embed="rId60"/>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and the synthetic time series with noise for evaluating the ability of EBASE to recover known metabolic parameters. The original synthetic time series and the same time series with instrument and tidal noise is shown in (a) and the estimated instrument and tidal noise is shown in (b).</w:t>
            </w:r>
          </w:p>
          <w:bookmarkEnd w:id="63"/>
        </w:tc>
      </w:tr>
    </w:tbl>
    <w:p>
      <w:r>
        <w:br w:type="page"/>
      </w:r>
    </w:p>
    <w:tbl>
      <w:tblPr>
        <w:tblStyle w:val="Table"/>
        <w:tblW w:type="pct" w:w="5000"/>
        <w:tblLook w:firstRow="0" w:lastRow="0" w:firstColumn="0" w:lastColumn="0" w:noHBand="0" w:noVBand="0" w:val="0000"/>
      </w:tblPr>
      <w:tblGrid>
        <w:gridCol w:w="7920"/>
      </w:tblGrid>
      <w:tr>
        <w:tc>
          <w:tcPr/>
          <w:bookmarkStart w:id="67" w:name="fig-synapanoscmp"/>
          <w:p>
            <w:pPr>
              <w:pStyle w:val="Figure"/>
              <w:jc w:val="center"/>
            </w:pPr>
            <w:r>
              <w:drawing>
                <wp:inline>
                  <wp:extent cx="5497394" cy="4352104"/>
                  <wp:effectExtent b="0" l="0" r="0" t="0"/>
                  <wp:docPr descr="" title="" id="65" name="Picture"/>
                  <a:graphic>
                    <a:graphicData uri="http://schemas.openxmlformats.org/drawingml/2006/picture">
                      <pic:pic>
                        <pic:nvPicPr>
                          <pic:cNvPr descr="figs/synapanoscmp.png" id="66" name="Picture"/>
                          <pic:cNvPicPr>
                            <a:picLocks noChangeArrowheads="1" noChangeAspect="1"/>
                          </pic:cNvPicPr>
                        </pic:nvPicPr>
                        <pic:blipFill>
                          <a:blip r:embed="rId64"/>
                          <a:stretch>
                            <a:fillRect/>
                          </a:stretch>
                        </pic:blipFill>
                        <pic:spPr bwMode="auto">
                          <a:xfrm>
                            <a:off x="0" y="0"/>
                            <a:ext cx="5497394" cy="43521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modelled dissolved oxygen and metabolic parameters from EBASE for a synthetic time series and a synthetic time series with instrument and tidal noise. Black lines show the 1:1 comparison and the red lines show the linear regression fit. See</w:t>
            </w:r>
            <w:r>
              <w:t xml:space="preserve"> </w:t>
            </w:r>
            <w:hyperlink w:anchor="fig-synapanos">
              <w:r>
                <w:rPr>
                  <w:rStyle w:val="Hyperlink"/>
                </w:rPr>
                <w:t xml:space="preserve">Figure 6</w:t>
              </w:r>
            </w:hyperlink>
            <w:r>
              <w:t xml:space="preserve"> </w:t>
            </w:r>
            <w:r>
              <w:t xml:space="preserve">for an example of the dissolved oxygen for both input time series.</w:t>
            </w:r>
          </w:p>
          <w:bookmarkEnd w:id="67"/>
        </w:tc>
      </w:tr>
    </w:tbl>
    <w:p>
      <w:r>
        <w:br w:type="page"/>
      </w:r>
    </w:p>
    <w:tbl>
      <w:tblPr>
        <w:tblStyle w:val="Table"/>
        <w:tblW w:type="pct" w:w="5000"/>
        <w:tblLook w:firstRow="0" w:lastRow="0" w:firstColumn="0" w:lastColumn="0" w:noHBand="0" w:noVBand="0" w:val="0000"/>
      </w:tblPr>
      <w:tblGrid>
        <w:gridCol w:w="7920"/>
      </w:tblGrid>
      <w:tr>
        <w:tc>
          <w:tcPr/>
          <w:bookmarkStart w:id="71" w:name="fig-apacmpfig"/>
          <w:p>
            <w:pPr>
              <w:pStyle w:val="Figure"/>
              <w:jc w:val="center"/>
            </w:pPr>
            <w:r>
              <w:drawing>
                <wp:inline>
                  <wp:extent cx="5943600" cy="3529012"/>
                  <wp:effectExtent b="0" l="0" r="0" t="0"/>
                  <wp:docPr descr="" title="" id="69" name="Picture"/>
                  <a:graphic>
                    <a:graphicData uri="http://schemas.openxmlformats.org/drawingml/2006/picture">
                      <pic:pic>
                        <pic:nvPicPr>
                          <pic:cNvPr descr="figs/apacmpfig.png" id="70" name="Picture"/>
                          <pic:cNvPicPr>
                            <a:picLocks noChangeArrowheads="1" noChangeAspect="1"/>
                          </pic:cNvPicPr>
                        </pic:nvPicPr>
                        <pic:blipFill>
                          <a:blip r:embed="rId68"/>
                          <a:stretch>
                            <a:fillRect/>
                          </a:stretch>
                        </pic:blipFill>
                        <pic:spPr bwMode="auto">
                          <a:xfrm>
                            <a:off x="0" y="0"/>
                            <a:ext cx="5943600" cy="35290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net ecosystem metabolism (NEM), gross primary production (P), ecosystem respiration (R), and gas exchange (D) are compared using the (a) observed and (b) detided dissolved oxygen time series as input to each model. All values are areal as mmol O</w:t>
            </w:r>
            <m:oMath>
              <m:sSub>
                <m:e>
                  <m:r>
                    <m:t>​</m:t>
                  </m:r>
                </m:e>
                <m:sub>
                  <m:r>
                    <m:t>2</m:t>
                  </m:r>
                </m:sub>
              </m:sSub>
            </m:oMath>
            <w:r>
              <w:t xml:space="preserve"> </w:t>
            </w:r>
            <w:r>
              <w:t xml:space="preserve">m</w:t>
            </w:r>
            <m:oMath>
              <m:sSup>
                <m:e>
                  <m:r>
                    <m:t>​</m:t>
                  </m:r>
                </m:e>
                <m:sup>
                  <m:r>
                    <m:t>2</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71"/>
        </w:tc>
      </w:tr>
    </w:tbl>
    <w:p>
      <w:r>
        <w:br w:type="page"/>
      </w:r>
    </w:p>
    <w:bookmarkEnd w:id="72"/>
    <w:bookmarkStart w:id="73"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e1e5e3bf-8f8f-4095-a49d-6144030e90cb" w:name="tbl-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1e5e3bf-8f8f-4095-a49d-6144030e90cb"/>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mg </m:t>
              </m:r>
              <m:sSup>
                <m:e>
                  <m:r>
                    <m:rPr>
                      <m:nor/>
                    </m:rPr>
                    <m:t>L</m:t>
                  </m:r>
                </m:e>
                <m:sup>
                  <m:r>
                    <m:t>−1</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Watts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mmol </m:t>
              </m:r>
              <m:sSup>
                <m:e>
                  <m:r>
                    <m:rPr>
                      <m:nor/>
                    </m:rPr>
                    <m:t>m</m:t>
                  </m:r>
                </m:e>
                <m:sup>
                  <m:r>
                    <m:t>−3</m:t>
                  </m:r>
                </m:sup>
              </m:sSup>
              <m:r>
                <m:rPr>
                  <m:nor/>
                </m:rPr>
                <m:t> </m:t>
              </m:r>
              <m:sSup>
                <m:e>
                  <m:r>
                    <m:rPr>
                      <m:nor/>
                    </m:rPr>
                    <m:t>d</m:t>
                  </m:r>
                </m:e>
                <m:sup>
                  <m:r>
                    <m:t>−1</m:t>
                  </m:r>
                </m:sup>
              </m:sSup>
              <m:r>
                <m:t>)</m:t>
              </m:r>
              <m:r>
                <m:rPr>
                  <m:sty m:val="p"/>
                </m:rPr>
                <m:t>/</m:t>
              </m:r>
              <m:r>
                <m:t>(</m:t>
              </m:r>
              <m:r>
                <m:rPr>
                  <m:nor/>
                </m:rPr>
                <m:t>Watts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12ee2f08-2bea-4819-af8e-0e079d29b9bb"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2ee2f08-2bea-4819-af8e-0e079d29b9bb"/>
      <w:r>
        <w:rPr>
          <w:rFonts/>
          <w:b w:val="true"/>
        </w:rPr>
        <w:t xml:space="preserve">: </w:t>
      </w:r>
      <w:r>
        <w:t xml:space="preserve">Summary statistics of daily metabolic estimates comparing the EBASE and Odum methods for net ecosystem metabolism (NEM), gross primary production (P), respiration (R), and gas exchange (D). Separate comparisons are made for estimates based on observed and detided dissolved oxygen. Summary statistics include Pearson correlation coefficients and root mean square error (RMSE) of a linear fit between the same metabolic estimates obtained from each method.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40"/>
        <w:gridCol w:w="2340"/>
        <w:gridCol w:w="2340"/>
        <w:gridCol w:w="23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RMSE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40.55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76.00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97.16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13.55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15.71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13.10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22.18</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15.11</w:t>
            </w:r>
          </w:p>
        </w:tc>
      </w:tr>
      <w:tr>
        <w:trPr>
          <w:trHeight w:val="360" w:hRule="auto"/>
        </w:trPr>
        footer 1
        <w:tc>
          <w:tcPr>
            <w:gridSpan w:val="4"/>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p>
      <w:r>
        <w:br w:type="page"/>
      </w:r>
    </w:p>
    <w:bookmarkEnd w:id="73"/>
    <w:bookmarkStart w:id="161" w:name="references"/>
    <w:p>
      <w:pPr>
        <w:pStyle w:val="Heading2"/>
      </w:pPr>
      <w:r>
        <w:t xml:space="preserve">References</w:t>
      </w:r>
    </w:p>
    <w:bookmarkStart w:id="160" w:name="refs"/>
    <w:bookmarkStart w:id="74" w:name="ref-Beck21"/>
    <w:p>
      <w:pPr>
        <w:pStyle w:val="Bibliography"/>
      </w:pPr>
      <w:r>
        <w:t xml:space="preserve">Beck, M. W. 2021. WtRegDO: Implement weighted regression on dissolved oxygen time series,.</w:t>
      </w:r>
    </w:p>
    <w:bookmarkEnd w:id="74"/>
    <w:bookmarkStart w:id="76"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5">
        <w:r>
          <w:rPr>
            <w:rStyle w:val="Hyperlink"/>
          </w:rPr>
          <w:t xml:space="preserve">10.1002/lom3.10062</w:t>
        </w:r>
      </w:hyperlink>
    </w:p>
    <w:bookmarkEnd w:id="76"/>
    <w:bookmarkStart w:id="77"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77"/>
    <w:bookmarkStart w:id="79" w:name="ref-Borges11"/>
    <w:p>
      <w:pPr>
        <w:pStyle w:val="Bibliography"/>
      </w:pPr>
      <w:r>
        <w:t xml:space="preserve">Borges, A. V., and G. Abril. 2011.</w:t>
      </w:r>
      <w:r>
        <w:t xml:space="preserve"> </w:t>
      </w:r>
      <w:hyperlink r:id="rId78">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79"/>
    <w:bookmarkStart w:id="81"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80">
        <w:r>
          <w:rPr>
            <w:rStyle w:val="Hyperlink"/>
          </w:rPr>
          <w:t xml:space="preserve">10.1016/s0304-3800(01)00328-3</w:t>
        </w:r>
      </w:hyperlink>
    </w:p>
    <w:bookmarkEnd w:id="81"/>
    <w:bookmarkStart w:id="83"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82">
        <w:r>
          <w:rPr>
            <w:rStyle w:val="Hyperlink"/>
          </w:rPr>
          <w:t xml:space="preserve">10.1038/s41598-017-05031-7</w:t>
        </w:r>
      </w:hyperlink>
    </w:p>
    <w:bookmarkEnd w:id="83"/>
    <w:bookmarkStart w:id="85" w:name="ref-caffrey2003"/>
    <w:p>
      <w:pPr>
        <w:pStyle w:val="Bibliography"/>
      </w:pPr>
      <w:r>
        <w:t xml:space="preserve">Caffrey, J. M. 2003.</w:t>
      </w:r>
      <w:r>
        <w:t xml:space="preserve"> </w:t>
      </w:r>
      <w:hyperlink r:id="rId84">
        <w:r>
          <w:rPr>
            <w:rStyle w:val="Hyperlink"/>
          </w:rPr>
          <w:t xml:space="preserve">Production, respiration and net ecosystem metabolism in u.s. estuaries</w:t>
        </w:r>
      </w:hyperlink>
      <w:r>
        <w:t xml:space="preserve">, p. 207–219.</w:t>
      </w:r>
      <w:r>
        <w:t xml:space="preserve"> </w:t>
      </w:r>
      <w:r>
        <w:rPr>
          <w:iCs/>
          <w:i/>
        </w:rPr>
        <w:t xml:space="preserve">In</w:t>
      </w:r>
      <w:r>
        <w:t xml:space="preserve"> </w:t>
      </w:r>
      <w:r>
        <w:t xml:space="preserve">Springer Netherlands.</w:t>
      </w:r>
    </w:p>
    <w:bookmarkEnd w:id="85"/>
    <w:bookmarkStart w:id="87"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86">
        <w:r>
          <w:rPr>
            <w:rStyle w:val="Hyperlink"/>
          </w:rPr>
          <w:t xml:space="preserve">10.1007/bf02803563</w:t>
        </w:r>
      </w:hyperlink>
    </w:p>
    <w:bookmarkEnd w:id="87"/>
    <w:bookmarkStart w:id="89"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88">
        <w:r>
          <w:rPr>
            <w:rStyle w:val="Hyperlink"/>
          </w:rPr>
          <w:t xml:space="preserve">10.1146/annurev-marine-120709-142723</w:t>
        </w:r>
      </w:hyperlink>
    </w:p>
    <w:bookmarkEnd w:id="89"/>
    <w:bookmarkStart w:id="91"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90">
        <w:r>
          <w:rPr>
            <w:rStyle w:val="Hyperlink"/>
          </w:rPr>
          <w:t xml:space="preserve">10.1016/j.ecolmodel.2007.10.025</w:t>
        </w:r>
      </w:hyperlink>
    </w:p>
    <w:bookmarkEnd w:id="91"/>
    <w:bookmarkStart w:id="93"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92">
        <w:r>
          <w:rPr>
            <w:rStyle w:val="Hyperlink"/>
          </w:rPr>
          <w:t xml:space="preserve">10.5194/bg-11-2477-2014</w:t>
        </w:r>
      </w:hyperlink>
    </w:p>
    <w:bookmarkEnd w:id="93"/>
    <w:bookmarkStart w:id="95"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94">
        <w:r>
          <w:rPr>
            <w:rStyle w:val="Hyperlink"/>
          </w:rPr>
          <w:t xml:space="preserve">10.1029/2007jc004663</w:t>
        </w:r>
      </w:hyperlink>
    </w:p>
    <w:bookmarkEnd w:id="95"/>
    <w:bookmarkStart w:id="97" w:name="ref-frew1997"/>
    <w:p>
      <w:pPr>
        <w:pStyle w:val="Bibliography"/>
      </w:pPr>
      <w:r>
        <w:t xml:space="preserve">Frew, N. M. 1997.</w:t>
      </w:r>
      <w:r>
        <w:t xml:space="preserve"> </w:t>
      </w:r>
      <w:hyperlink r:id="rId96">
        <w:r>
          <w:rPr>
            <w:rStyle w:val="Hyperlink"/>
          </w:rPr>
          <w:t xml:space="preserve">The role of organic films in air</w:t>
        </w:r>
        <w:r>
          <w:rPr>
            <w:rStyle w:val="Hyperlink"/>
          </w:rPr>
          <w:t xml:space="preserve">sea gas exchange</w:t>
        </w:r>
      </w:hyperlink>
      <w:r>
        <w:t xml:space="preserve">, p. 121–172.</w:t>
      </w:r>
      <w:r>
        <w:t xml:space="preserve"> </w:t>
      </w:r>
      <w:r>
        <w:rPr>
          <w:iCs/>
          <w:i/>
        </w:rPr>
        <w:t xml:space="preserve">In</w:t>
      </w:r>
      <w:r>
        <w:t xml:space="preserve"> </w:t>
      </w:r>
      <w:r>
        <w:t xml:space="preserve">Cambridge University Press.</w:t>
      </w:r>
    </w:p>
    <w:bookmarkEnd w:id="97"/>
    <w:bookmarkStart w:id="99"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98">
        <w:r>
          <w:rPr>
            <w:rStyle w:val="Hyperlink"/>
          </w:rPr>
          <w:t xml:space="preserve">10.4319/lo.1992.37.6.1307</w:t>
        </w:r>
      </w:hyperlink>
    </w:p>
    <w:bookmarkEnd w:id="99"/>
    <w:bookmarkStart w:id="101"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100">
        <w:r>
          <w:rPr>
            <w:rStyle w:val="Hyperlink"/>
          </w:rPr>
          <w:t xml:space="preserve">10.3354/meps301023</w:t>
        </w:r>
      </w:hyperlink>
    </w:p>
    <w:bookmarkEnd w:id="101"/>
    <w:bookmarkStart w:id="103"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102">
        <w:r>
          <w:rPr>
            <w:rStyle w:val="Hyperlink"/>
          </w:rPr>
          <w:t xml:space="preserve">10.1002/lom3.10011</w:t>
        </w:r>
      </w:hyperlink>
    </w:p>
    <w:bookmarkEnd w:id="103"/>
    <w:bookmarkStart w:id="104" w:name="ref-Hilborn13"/>
    <w:p>
      <w:pPr>
        <w:pStyle w:val="Bibliography"/>
      </w:pPr>
      <w:r>
        <w:t xml:space="preserve">Hilborn, R., and M. Mangel. 2013. The ecological detective: Confronting models with data, Princeton University Press.</w:t>
      </w:r>
    </w:p>
    <w:bookmarkEnd w:id="104"/>
    <w:bookmarkStart w:id="106"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105">
        <w:r>
          <w:rPr>
            <w:rStyle w:val="Hyperlink"/>
          </w:rPr>
          <w:t xml:space="preserve">10.1002/2016GL068727</w:t>
        </w:r>
      </w:hyperlink>
    </w:p>
    <w:bookmarkEnd w:id="106"/>
    <w:bookmarkStart w:id="108"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107">
        <w:r>
          <w:rPr>
            <w:rStyle w:val="Hyperlink"/>
          </w:rPr>
          <w:t xml:space="preserve">10.4319/lo.2013.58.6.2089</w:t>
        </w:r>
      </w:hyperlink>
    </w:p>
    <w:bookmarkEnd w:id="108"/>
    <w:bookmarkStart w:id="110"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109">
        <w:r>
          <w:rPr>
            <w:rStyle w:val="Hyperlink"/>
          </w:rPr>
          <w:t xml:space="preserve">10.4319/lo.2010.55.3.1047</w:t>
        </w:r>
      </w:hyperlink>
    </w:p>
    <w:bookmarkEnd w:id="110"/>
    <w:bookmarkStart w:id="112" w:name="ref-hopkinson2005"/>
    <w:p>
      <w:pPr>
        <w:pStyle w:val="Bibliography"/>
      </w:pPr>
      <w:r>
        <w:t xml:space="preserve">Hopkinson, C. S., and E. M. Smith. 2005.</w:t>
      </w:r>
      <w:r>
        <w:t xml:space="preserve"> </w:t>
      </w:r>
      <w:hyperlink r:id="rId111">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Oxford University Press.</w:t>
      </w:r>
    </w:p>
    <w:bookmarkEnd w:id="112"/>
    <w:bookmarkStart w:id="114"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113">
        <w:r>
          <w:rPr>
            <w:rStyle w:val="Hyperlink"/>
          </w:rPr>
          <w:t xml:space="preserve">10.1016/j.marchem.2005.03.008</w:t>
        </w:r>
      </w:hyperlink>
    </w:p>
    <w:bookmarkEnd w:id="114"/>
    <w:bookmarkStart w:id="116"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115">
        <w:r>
          <w:rPr>
            <w:rStyle w:val="Hyperlink"/>
          </w:rPr>
          <w:t xml:space="preserve">10.1016/j.agrformet.2003.10.001</w:t>
        </w:r>
      </w:hyperlink>
    </w:p>
    <w:bookmarkEnd w:id="116"/>
    <w:bookmarkStart w:id="118"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117">
        <w:r>
          <w:rPr>
            <w:rStyle w:val="Hyperlink"/>
          </w:rPr>
          <w:t xml:space="preserve">10.1016/s0302-3524(80)80065-x</w:t>
        </w:r>
      </w:hyperlink>
    </w:p>
    <w:bookmarkEnd w:id="118"/>
    <w:bookmarkStart w:id="120" w:name="ref-kemp2011"/>
    <w:p>
      <w:pPr>
        <w:pStyle w:val="Bibliography"/>
      </w:pPr>
      <w:r>
        <w:t xml:space="preserve">Kemp, W. M., and J. M. Testa. 2011.</w:t>
      </w:r>
      <w:r>
        <w:t xml:space="preserve"> </w:t>
      </w:r>
      <w:hyperlink r:id="rId119">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Elsevier.</w:t>
      </w:r>
    </w:p>
    <w:bookmarkEnd w:id="120"/>
    <w:bookmarkStart w:id="122"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121">
        <w:r>
          <w:rPr>
            <w:rStyle w:val="Hyperlink"/>
          </w:rPr>
          <w:t xml:space="preserve">10.1175/1520-0477(1997)078&lt;0197:eagmeb&gt;2.0.co;2</w:t>
        </w:r>
      </w:hyperlink>
    </w:p>
    <w:bookmarkEnd w:id="122"/>
    <w:bookmarkStart w:id="124"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123">
        <w:r>
          <w:rPr>
            <w:rStyle w:val="Hyperlink"/>
          </w:rPr>
          <w:t xml:space="preserve">10.1016/0198-0149(81)90122-9</w:t>
        </w:r>
      </w:hyperlink>
    </w:p>
    <w:bookmarkEnd w:id="124"/>
    <w:bookmarkStart w:id="126"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125">
        <w:r>
          <w:rPr>
            <w:rStyle w:val="Hyperlink"/>
          </w:rPr>
          <w:t xml:space="preserve">10.13031/2013.23153</w:t>
        </w:r>
      </w:hyperlink>
    </w:p>
    <w:bookmarkEnd w:id="126"/>
    <w:bookmarkStart w:id="128"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27">
        <w:r>
          <w:rPr>
            <w:rStyle w:val="Hyperlink"/>
          </w:rPr>
          <w:t xml:space="preserve">10.1007/s12237-017-0328-9</w:t>
        </w:r>
      </w:hyperlink>
    </w:p>
    <w:bookmarkEnd w:id="128"/>
    <w:bookmarkStart w:id="130"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29">
        <w:r>
          <w:rPr>
            <w:rStyle w:val="Hyperlink"/>
          </w:rPr>
          <w:t xml:space="preserve">10.1139/f01-082</w:t>
        </w:r>
      </w:hyperlink>
    </w:p>
    <w:bookmarkEnd w:id="130"/>
    <w:bookmarkStart w:id="131"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thalassia testudinum</w:t>
      </w:r>
      <w:r>
        <w:t xml:space="preserve"> </w:t>
      </w:r>
      <w:r>
        <w:t xml:space="preserve">communities throughout florida bay. Contributions in Marine Science</w:t>
      </w:r>
      <w:r>
        <w:t xml:space="preserve"> </w:t>
      </w:r>
      <w:r>
        <w:rPr>
          <w:bCs/>
          <w:b/>
        </w:rPr>
        <w:t xml:space="preserve">38</w:t>
      </w:r>
      <w:r>
        <w:t xml:space="preserve">: 91–108.</w:t>
      </w:r>
    </w:p>
    <w:bookmarkEnd w:id="131"/>
    <w:bookmarkStart w:id="133" w:name="ref-najjar2018"/>
    <w:p>
      <w:pPr>
        <w:pStyle w:val="Bibliography"/>
      </w:pPr>
      <w:r>
        <w:t xml:space="preserve">Najjar, R. G., M. Herrmann, R. Alexander, and others. 2018. Carbon Budget of Tidal Wetlands, Estuaries, and Shelf Waters of Eastern North America. Global Biogeochemical Cycles</w:t>
      </w:r>
      <w:r>
        <w:t xml:space="preserve"> </w:t>
      </w:r>
      <w:r>
        <w:rPr>
          <w:bCs/>
          <w:b/>
        </w:rPr>
        <w:t xml:space="preserve">32</w:t>
      </w:r>
      <w:r>
        <w:t xml:space="preserve">: 389–416. doi:</w:t>
      </w:r>
      <w:hyperlink r:id="rId132">
        <w:r>
          <w:rPr>
            <w:rStyle w:val="Hyperlink"/>
          </w:rPr>
          <w:t xml:space="preserve">10.1002/2017gb005790</w:t>
        </w:r>
      </w:hyperlink>
    </w:p>
    <w:bookmarkEnd w:id="133"/>
    <w:bookmarkStart w:id="135"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34">
        <w:r>
          <w:rPr>
            <w:rStyle w:val="Hyperlink"/>
          </w:rPr>
          <w:t xml:space="preserve">10.1016/0022-1694(70)90255-6</w:t>
        </w:r>
      </w:hyperlink>
    </w:p>
    <w:bookmarkEnd w:id="135"/>
    <w:bookmarkStart w:id="137"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36">
        <w:r>
          <w:rPr>
            <w:rStyle w:val="Hyperlink"/>
          </w:rPr>
          <w:t xml:space="preserve">10.1007/s12237-013-9765-2</w:t>
        </w:r>
      </w:hyperlink>
    </w:p>
    <w:bookmarkEnd w:id="137"/>
    <w:bookmarkStart w:id="138"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38"/>
    <w:bookmarkStart w:id="139"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39"/>
    <w:bookmarkStart w:id="141" w:name="ref-RCT23"/>
    <w:p>
      <w:pPr>
        <w:pStyle w:val="Bibliography"/>
      </w:pPr>
      <w:r>
        <w:t xml:space="preserve">R Core Team. 2023.</w:t>
      </w:r>
      <w:r>
        <w:t xml:space="preserve"> </w:t>
      </w:r>
      <w:hyperlink r:id="rId140">
        <w:r>
          <w:rPr>
            <w:rStyle w:val="Hyperlink"/>
          </w:rPr>
          <w:t xml:space="preserve">R: A language and environment for statistical computing</w:t>
        </w:r>
      </w:hyperlink>
      <w:r>
        <w:t xml:space="preserve">, R Foundation for Statistical Computing.</w:t>
      </w:r>
    </w:p>
    <w:bookmarkEnd w:id="141"/>
    <w:bookmarkStart w:id="143"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42">
        <w:r>
          <w:rPr>
            <w:rStyle w:val="Hyperlink"/>
          </w:rPr>
          <w:t xml:space="preserve">10.1007/bf02782974</w:t>
        </w:r>
      </w:hyperlink>
    </w:p>
    <w:bookmarkEnd w:id="143"/>
    <w:bookmarkStart w:id="145" w:name="ref-sadro2014"/>
    <w:p>
      <w:pPr>
        <w:pStyle w:val="Bibliography"/>
      </w:pPr>
      <w:r>
        <w:t xml:space="preserve">Sadro, S., G. W. Holtgrieve, C. T. Solomon, and G. R. Koch. 2014. Widespread variability in overnight patterns of ecosystem respiration linked to gradients in dissolved organic matter, residence time, and productivity in a global set of lakes. Limnology and Oceanography</w:t>
      </w:r>
      <w:r>
        <w:t xml:space="preserve"> </w:t>
      </w:r>
      <w:r>
        <w:rPr>
          <w:bCs/>
          <w:b/>
        </w:rPr>
        <w:t xml:space="preserve">59</w:t>
      </w:r>
      <w:r>
        <w:t xml:space="preserve">: 1666–1678. doi:</w:t>
      </w:r>
      <w:hyperlink r:id="rId144">
        <w:r>
          <w:rPr>
            <w:rStyle w:val="Hyperlink"/>
          </w:rPr>
          <w:t xml:space="preserve">10.4319/lo.2014.59.5.1666</w:t>
        </w:r>
      </w:hyperlink>
    </w:p>
    <w:bookmarkEnd w:id="145"/>
    <w:bookmarkStart w:id="147" w:name="ref-schindler2017"/>
    <w:p>
      <w:pPr>
        <w:pStyle w:val="Bibliography"/>
      </w:pPr>
      <w:r>
        <w:t xml:space="preserve">Schindler, D. E., K. Jankowski, Z. T. A’mar, and G. W. Holtgrieve. 2017. Two</w:t>
      </w:r>
      <w:r>
        <w:t xml:space="preserve">-</w:t>
      </w:r>
      <w:r>
        <w:t xml:space="preserve">stage metabolism inferred from diel oxygen dynamics in aquatic ecosystems. Ecosphere</w:t>
      </w:r>
      <w:r>
        <w:t xml:space="preserve"> </w:t>
      </w:r>
      <w:r>
        <w:rPr>
          <w:bCs/>
          <w:b/>
        </w:rPr>
        <w:t xml:space="preserve">8</w:t>
      </w:r>
      <w:r>
        <w:t xml:space="preserve">. doi:</w:t>
      </w:r>
      <w:hyperlink r:id="rId146">
        <w:r>
          <w:rPr>
            <w:rStyle w:val="Hyperlink"/>
          </w:rPr>
          <w:t xml:space="preserve">10.1002/ecs2.1867</w:t>
        </w:r>
      </w:hyperlink>
    </w:p>
    <w:bookmarkEnd w:id="147"/>
    <w:bookmarkStart w:id="149" w:name="ref-schubel1984"/>
    <w:p>
      <w:pPr>
        <w:pStyle w:val="Bibliography"/>
      </w:pPr>
      <w:r>
        <w:t xml:space="preserve">Schubel, J. R., and V. S. Kennedy. 1984.</w:t>
      </w:r>
      <w:r>
        <w:t xml:space="preserve"> </w:t>
      </w:r>
      <w:hyperlink r:id="rId148">
        <w:r>
          <w:rPr>
            <w:rStyle w:val="Hyperlink"/>
          </w:rPr>
          <w:t xml:space="preserve">THE ESTUARY AS a FILTER: AN INTRODUCTION</w:t>
        </w:r>
      </w:hyperlink>
      <w:r>
        <w:t xml:space="preserve">, p. 1–11.</w:t>
      </w:r>
      <w:r>
        <w:t xml:space="preserve"> </w:t>
      </w:r>
      <w:r>
        <w:rPr>
          <w:iCs/>
          <w:i/>
        </w:rPr>
        <w:t xml:space="preserve">In</w:t>
      </w:r>
      <w:r>
        <w:t xml:space="preserve"> </w:t>
      </w:r>
      <w:r>
        <w:t xml:space="preserve">Elsevier.</w:t>
      </w:r>
    </w:p>
    <w:bookmarkEnd w:id="149"/>
    <w:bookmarkStart w:id="151"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50">
        <w:r>
          <w:rPr>
            <w:rStyle w:val="Hyperlink"/>
          </w:rPr>
          <w:t xml:space="preserve">10.1007/s00027-011-0199-2</w:t>
        </w:r>
      </w:hyperlink>
    </w:p>
    <w:bookmarkEnd w:id="151"/>
    <w:bookmarkStart w:id="153"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52">
        <w:r>
          <w:rPr>
            <w:rStyle w:val="Hyperlink"/>
          </w:rPr>
          <w:t xml:space="preserve">10.1672/07-190.1</w:t>
        </w:r>
      </w:hyperlink>
    </w:p>
    <w:bookmarkEnd w:id="153"/>
    <w:bookmarkStart w:id="155"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54">
        <w:r>
          <w:rPr>
            <w:rStyle w:val="Hyperlink"/>
          </w:rPr>
          <w:t xml:space="preserve">10.4319/lom.2014.12.351</w:t>
        </w:r>
      </w:hyperlink>
    </w:p>
    <w:bookmarkEnd w:id="155"/>
    <w:bookmarkStart w:id="157"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56">
        <w:r>
          <w:rPr>
            <w:rStyle w:val="Hyperlink"/>
          </w:rPr>
          <w:t xml:space="preserve">10.1080/iw-6.4.883</w:t>
        </w:r>
      </w:hyperlink>
    </w:p>
    <w:bookmarkEnd w:id="157"/>
    <w:bookmarkStart w:id="159"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58">
        <w:r>
          <w:rPr>
            <w:rStyle w:val="Hyperlink"/>
          </w:rPr>
          <w:t xml:space="preserve">10.1038/nature11205</w:t>
        </w:r>
      </w:hyperlink>
    </w:p>
    <w:bookmarkEnd w:id="159"/>
    <w:bookmarkEnd w:id="160"/>
    <w:bookmarkEnd w:id="161"/>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8" Target="media/rId68.png"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hyperlink" Id="rId105" Target="https://doi.org/10.1002/2016GL068727" TargetMode="External" /><Relationship Type="http://schemas.openxmlformats.org/officeDocument/2006/relationships/hyperlink" Id="rId132" Target="https://doi.org/10.1002/2017gb005790" TargetMode="External" /><Relationship Type="http://schemas.openxmlformats.org/officeDocument/2006/relationships/hyperlink" Id="rId146" Target="https://doi.org/10.1002/ecs2.1867" TargetMode="External" /><Relationship Type="http://schemas.openxmlformats.org/officeDocument/2006/relationships/hyperlink" Id="rId102" Target="https://doi.org/10.1002/lom3.10011" TargetMode="External" /><Relationship Type="http://schemas.openxmlformats.org/officeDocument/2006/relationships/hyperlink" Id="rId75" Target="https://doi.org/10.1002/lom3.10062" TargetMode="External" /><Relationship Type="http://schemas.openxmlformats.org/officeDocument/2006/relationships/hyperlink" Id="rId84" Target="https://doi.org/10.1007/978-94-017-0299-7_19" TargetMode="External" /><Relationship Type="http://schemas.openxmlformats.org/officeDocument/2006/relationships/hyperlink" Id="rId142" Target="https://doi.org/10.1007/bf02782974" TargetMode="External" /><Relationship Type="http://schemas.openxmlformats.org/officeDocument/2006/relationships/hyperlink" Id="rId86" Target="https://doi.org/10.1007/bf02803563" TargetMode="External" /><Relationship Type="http://schemas.openxmlformats.org/officeDocument/2006/relationships/hyperlink" Id="rId150" Target="https://doi.org/10.1007/s00027-011-0199-2" TargetMode="External" /><Relationship Type="http://schemas.openxmlformats.org/officeDocument/2006/relationships/hyperlink" Id="rId136" Target="https://doi.org/10.1007/s12237-013-9765-2" TargetMode="External" /><Relationship Type="http://schemas.openxmlformats.org/officeDocument/2006/relationships/hyperlink" Id="rId127" Target="https://doi.org/10.1007/s12237-017-0328-9" TargetMode="External" /><Relationship Type="http://schemas.openxmlformats.org/officeDocument/2006/relationships/hyperlink" Id="rId134" Target="https://doi.org/10.1016/0022-1694(70)90255-6" TargetMode="External" /><Relationship Type="http://schemas.openxmlformats.org/officeDocument/2006/relationships/hyperlink" Id="rId123" Target="https://doi.org/10.1016/0198-0149(81)90122-9" TargetMode="External" /><Relationship Type="http://schemas.openxmlformats.org/officeDocument/2006/relationships/hyperlink" Id="rId78" Target="https://doi.org/10.1016/b978-0-12-374711-2.00504-0" TargetMode="External" /><Relationship Type="http://schemas.openxmlformats.org/officeDocument/2006/relationships/hyperlink" Id="rId119" Target="https://doi.org/10.1016/b978-0-12-374711-2.00706-3" TargetMode="External" /><Relationship Type="http://schemas.openxmlformats.org/officeDocument/2006/relationships/hyperlink" Id="rId148" Target="https://doi.org/10.1016/b978-0-12-405070-9.50007-4" TargetMode="External" /><Relationship Type="http://schemas.openxmlformats.org/officeDocument/2006/relationships/hyperlink" Id="rId115" Target="https://doi.org/10.1016/j.agrformet.2003.10.001" TargetMode="External" /><Relationship Type="http://schemas.openxmlformats.org/officeDocument/2006/relationships/hyperlink" Id="rId90" Target="https://doi.org/10.1016/j.ecolmodel.2007.10.025" TargetMode="External" /><Relationship Type="http://schemas.openxmlformats.org/officeDocument/2006/relationships/hyperlink" Id="rId113" Target="https://doi.org/10.1016/j.marchem.2005.03.008" TargetMode="External" /><Relationship Type="http://schemas.openxmlformats.org/officeDocument/2006/relationships/hyperlink" Id="rId117" Target="https://doi.org/10.1016/s0302-3524(80)80065-x" TargetMode="External" /><Relationship Type="http://schemas.openxmlformats.org/officeDocument/2006/relationships/hyperlink" Id="rId80" Target="https://doi.org/10.1016/s0304-3800(01)00328-3" TargetMode="External" /><Relationship Type="http://schemas.openxmlformats.org/officeDocument/2006/relationships/hyperlink" Id="rId96" Target="https://doi.org/10.1017/cbo9780511525025.006" TargetMode="External" /><Relationship Type="http://schemas.openxmlformats.org/officeDocument/2006/relationships/hyperlink" Id="rId94" Target="https://doi.org/10.1029/2007jc004663" TargetMode="External" /><Relationship Type="http://schemas.openxmlformats.org/officeDocument/2006/relationships/hyperlink" Id="rId158" Target="https://doi.org/10.1038/nature11205" TargetMode="External" /><Relationship Type="http://schemas.openxmlformats.org/officeDocument/2006/relationships/hyperlink" Id="rId82" Target="https://doi.org/10.1038/s41598-017-05031-7" TargetMode="External" /><Relationship Type="http://schemas.openxmlformats.org/officeDocument/2006/relationships/hyperlink" Id="rId156" Target="https://doi.org/10.1080/iw-6.4.883" TargetMode="External" /><Relationship Type="http://schemas.openxmlformats.org/officeDocument/2006/relationships/hyperlink" Id="rId111" Target="https://doi.org/10.1093/acprof:oso/9780198527084.003.0008" TargetMode="External" /><Relationship Type="http://schemas.openxmlformats.org/officeDocument/2006/relationships/hyperlink" Id="rId129" Target="https://doi.org/10.1139/f01-082" TargetMode="External" /><Relationship Type="http://schemas.openxmlformats.org/officeDocument/2006/relationships/hyperlink" Id="rId88" Target="https://doi.org/10.1146/annurev-marine-120709-142723" TargetMode="External" /><Relationship Type="http://schemas.openxmlformats.org/officeDocument/2006/relationships/hyperlink" Id="rId121" Target="https://doi.org/10.1175/1520-0477(1997)078&lt;0197:eagmeb&gt;2.0.co;2" TargetMode="External" /><Relationship Type="http://schemas.openxmlformats.org/officeDocument/2006/relationships/hyperlink" Id="rId125" Target="https://doi.org/10.13031/2013.23153" TargetMode="External" /><Relationship Type="http://schemas.openxmlformats.org/officeDocument/2006/relationships/hyperlink" Id="rId152" Target="https://doi.org/10.1672/07-190.1" TargetMode="External" /><Relationship Type="http://schemas.openxmlformats.org/officeDocument/2006/relationships/hyperlink" Id="rId100" Target="https://doi.org/10.3354/meps301023" TargetMode="External" /><Relationship Type="http://schemas.openxmlformats.org/officeDocument/2006/relationships/hyperlink" Id="rId98" Target="https://doi.org/10.4319/lo.1992.37.6.1307" TargetMode="External" /><Relationship Type="http://schemas.openxmlformats.org/officeDocument/2006/relationships/hyperlink" Id="rId109" Target="https://doi.org/10.4319/lo.2010.55.3.1047" TargetMode="External" /><Relationship Type="http://schemas.openxmlformats.org/officeDocument/2006/relationships/hyperlink" Id="rId107" Target="https://doi.org/10.4319/lo.2013.58.6.2089" TargetMode="External" /><Relationship Type="http://schemas.openxmlformats.org/officeDocument/2006/relationships/hyperlink" Id="rId144" Target="https://doi.org/10.4319/lo.2014.59.5.1666" TargetMode="External" /><Relationship Type="http://schemas.openxmlformats.org/officeDocument/2006/relationships/hyperlink" Id="rId154" Target="https://doi.org/10.4319/lom.2014.12.351" TargetMode="External" /><Relationship Type="http://schemas.openxmlformats.org/officeDocument/2006/relationships/hyperlink" Id="rId92" Target="https://doi.org/10.5194/bg-11-2477-2014" TargetMode="External" /><Relationship Type="http://schemas.openxmlformats.org/officeDocument/2006/relationships/hyperlink" Id="rId30" Target="https://fawda123.github.io/EBASE/" TargetMode="External" /><Relationship Type="http://schemas.openxmlformats.org/officeDocument/2006/relationships/hyperlink" Id="rId140"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5" Target="https://doi.org/10.1002/2016GL068727" TargetMode="External" /><Relationship Type="http://schemas.openxmlformats.org/officeDocument/2006/relationships/hyperlink" Id="rId132" Target="https://doi.org/10.1002/2017gb005790" TargetMode="External" /><Relationship Type="http://schemas.openxmlformats.org/officeDocument/2006/relationships/hyperlink" Id="rId146" Target="https://doi.org/10.1002/ecs2.1867" TargetMode="External" /><Relationship Type="http://schemas.openxmlformats.org/officeDocument/2006/relationships/hyperlink" Id="rId102" Target="https://doi.org/10.1002/lom3.10011" TargetMode="External" /><Relationship Type="http://schemas.openxmlformats.org/officeDocument/2006/relationships/hyperlink" Id="rId75" Target="https://doi.org/10.1002/lom3.10062" TargetMode="External" /><Relationship Type="http://schemas.openxmlformats.org/officeDocument/2006/relationships/hyperlink" Id="rId84" Target="https://doi.org/10.1007/978-94-017-0299-7_19" TargetMode="External" /><Relationship Type="http://schemas.openxmlformats.org/officeDocument/2006/relationships/hyperlink" Id="rId142" Target="https://doi.org/10.1007/bf02782974" TargetMode="External" /><Relationship Type="http://schemas.openxmlformats.org/officeDocument/2006/relationships/hyperlink" Id="rId86" Target="https://doi.org/10.1007/bf02803563" TargetMode="External" /><Relationship Type="http://schemas.openxmlformats.org/officeDocument/2006/relationships/hyperlink" Id="rId150" Target="https://doi.org/10.1007/s00027-011-0199-2" TargetMode="External" /><Relationship Type="http://schemas.openxmlformats.org/officeDocument/2006/relationships/hyperlink" Id="rId136" Target="https://doi.org/10.1007/s12237-013-9765-2" TargetMode="External" /><Relationship Type="http://schemas.openxmlformats.org/officeDocument/2006/relationships/hyperlink" Id="rId127" Target="https://doi.org/10.1007/s12237-017-0328-9" TargetMode="External" /><Relationship Type="http://schemas.openxmlformats.org/officeDocument/2006/relationships/hyperlink" Id="rId134" Target="https://doi.org/10.1016/0022-1694(70)90255-6" TargetMode="External" /><Relationship Type="http://schemas.openxmlformats.org/officeDocument/2006/relationships/hyperlink" Id="rId123" Target="https://doi.org/10.1016/0198-0149(81)90122-9" TargetMode="External" /><Relationship Type="http://schemas.openxmlformats.org/officeDocument/2006/relationships/hyperlink" Id="rId78" Target="https://doi.org/10.1016/b978-0-12-374711-2.00504-0" TargetMode="External" /><Relationship Type="http://schemas.openxmlformats.org/officeDocument/2006/relationships/hyperlink" Id="rId119" Target="https://doi.org/10.1016/b978-0-12-374711-2.00706-3" TargetMode="External" /><Relationship Type="http://schemas.openxmlformats.org/officeDocument/2006/relationships/hyperlink" Id="rId148" Target="https://doi.org/10.1016/b978-0-12-405070-9.50007-4" TargetMode="External" /><Relationship Type="http://schemas.openxmlformats.org/officeDocument/2006/relationships/hyperlink" Id="rId115" Target="https://doi.org/10.1016/j.agrformet.2003.10.001" TargetMode="External" /><Relationship Type="http://schemas.openxmlformats.org/officeDocument/2006/relationships/hyperlink" Id="rId90" Target="https://doi.org/10.1016/j.ecolmodel.2007.10.025" TargetMode="External" /><Relationship Type="http://schemas.openxmlformats.org/officeDocument/2006/relationships/hyperlink" Id="rId113" Target="https://doi.org/10.1016/j.marchem.2005.03.008" TargetMode="External" /><Relationship Type="http://schemas.openxmlformats.org/officeDocument/2006/relationships/hyperlink" Id="rId117" Target="https://doi.org/10.1016/s0302-3524(80)80065-x" TargetMode="External" /><Relationship Type="http://schemas.openxmlformats.org/officeDocument/2006/relationships/hyperlink" Id="rId80" Target="https://doi.org/10.1016/s0304-3800(01)00328-3" TargetMode="External" /><Relationship Type="http://schemas.openxmlformats.org/officeDocument/2006/relationships/hyperlink" Id="rId96" Target="https://doi.org/10.1017/cbo9780511525025.006" TargetMode="External" /><Relationship Type="http://schemas.openxmlformats.org/officeDocument/2006/relationships/hyperlink" Id="rId94" Target="https://doi.org/10.1029/2007jc004663" TargetMode="External" /><Relationship Type="http://schemas.openxmlformats.org/officeDocument/2006/relationships/hyperlink" Id="rId158" Target="https://doi.org/10.1038/nature11205" TargetMode="External" /><Relationship Type="http://schemas.openxmlformats.org/officeDocument/2006/relationships/hyperlink" Id="rId82" Target="https://doi.org/10.1038/s41598-017-05031-7" TargetMode="External" /><Relationship Type="http://schemas.openxmlformats.org/officeDocument/2006/relationships/hyperlink" Id="rId156" Target="https://doi.org/10.1080/iw-6.4.883" TargetMode="External" /><Relationship Type="http://schemas.openxmlformats.org/officeDocument/2006/relationships/hyperlink" Id="rId111" Target="https://doi.org/10.1093/acprof:oso/9780198527084.003.0008" TargetMode="External" /><Relationship Type="http://schemas.openxmlformats.org/officeDocument/2006/relationships/hyperlink" Id="rId129" Target="https://doi.org/10.1139/f01-082" TargetMode="External" /><Relationship Type="http://schemas.openxmlformats.org/officeDocument/2006/relationships/hyperlink" Id="rId88" Target="https://doi.org/10.1146/annurev-marine-120709-142723" TargetMode="External" /><Relationship Type="http://schemas.openxmlformats.org/officeDocument/2006/relationships/hyperlink" Id="rId121" Target="https://doi.org/10.1175/1520-0477(1997)078&lt;0197:eagmeb&gt;2.0.co;2" TargetMode="External" /><Relationship Type="http://schemas.openxmlformats.org/officeDocument/2006/relationships/hyperlink" Id="rId125" Target="https://doi.org/10.13031/2013.23153" TargetMode="External" /><Relationship Type="http://schemas.openxmlformats.org/officeDocument/2006/relationships/hyperlink" Id="rId152" Target="https://doi.org/10.1672/07-190.1" TargetMode="External" /><Relationship Type="http://schemas.openxmlformats.org/officeDocument/2006/relationships/hyperlink" Id="rId100" Target="https://doi.org/10.3354/meps301023" TargetMode="External" /><Relationship Type="http://schemas.openxmlformats.org/officeDocument/2006/relationships/hyperlink" Id="rId98" Target="https://doi.org/10.4319/lo.1992.37.6.1307" TargetMode="External" /><Relationship Type="http://schemas.openxmlformats.org/officeDocument/2006/relationships/hyperlink" Id="rId109" Target="https://doi.org/10.4319/lo.2010.55.3.1047" TargetMode="External" /><Relationship Type="http://schemas.openxmlformats.org/officeDocument/2006/relationships/hyperlink" Id="rId107" Target="https://doi.org/10.4319/lo.2013.58.6.2089" TargetMode="External" /><Relationship Type="http://schemas.openxmlformats.org/officeDocument/2006/relationships/hyperlink" Id="rId144" Target="https://doi.org/10.4319/lo.2014.59.5.1666" TargetMode="External" /><Relationship Type="http://schemas.openxmlformats.org/officeDocument/2006/relationships/hyperlink" Id="rId154" Target="https://doi.org/10.4319/lom.2014.12.351" TargetMode="External" /><Relationship Type="http://schemas.openxmlformats.org/officeDocument/2006/relationships/hyperlink" Id="rId92" Target="https://doi.org/10.5194/bg-11-2477-2014" TargetMode="External" /><Relationship Type="http://schemas.openxmlformats.org/officeDocument/2006/relationships/hyperlink" Id="rId30" Target="https://fawda123.github.io/EBASE/" TargetMode="External" /><Relationship Type="http://schemas.openxmlformats.org/officeDocument/2006/relationships/hyperlink" Id="rId140"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dc:title>
  <dc:creator>Marcus W Beck1,✉, Jill M Arriola2, Maria Hermann2, and Raymond G Najjar2</dc:creator>
  <cp:keywords/>
  <dcterms:created xsi:type="dcterms:W3CDTF">2023-08-18T11:36:55Z</dcterms:created>
  <dcterms:modified xsi:type="dcterms:W3CDTF">2023-08-18T11:36:55Z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