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4"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estimates use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respecitively,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and salinity (psu)</w:t>
      </w:r>
      <w:r>
        <w:t xml:space="preserve"> </w:t>
      </w:r>
      <w:r>
        <w:t xml:space="preserve">(García and Gordon 1992)</w:t>
      </w:r>
      <w:r>
        <w:t xml:space="preserve">.</w:t>
      </w:r>
      <w:r>
        <w:t xml:space="preserve"> </w:t>
      </w:r>
      <w:hyperlink w:anchor="eq-ts">
        <w:r>
          <w:rPr>
            <w:rStyle w:val="Hyperlink"/>
          </w:rPr>
          <w:t xml:space="preserve">Equation 2</w:t>
        </w:r>
      </w:hyperlink>
      <w:r>
        <w:t xml:space="preserve"> </w:t>
      </w:r>
      <w:r>
        <w:t xml:space="preserve">is temperature scaled, as input to</w:t>
      </w:r>
      <w:r>
        <w:t xml:space="preserve"> </w:t>
      </w:r>
      <w:hyperlink w:anchor="eq-co">
        <w:r>
          <w:rPr>
            <w:rStyle w:val="Hyperlink"/>
          </w:rPr>
          <w:t xml:space="preserve">Equation 3</w:t>
        </w:r>
      </w:hyperlink>
      <w:r>
        <w:t xml:space="preserve"> </w:t>
      </w:r>
      <w:r>
        <w:t xml:space="preserve">that calculates the solubility of dissolved oxygen per volume of seawater at the given temperature.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p>
    <w:p>
      <w:pPr>
        <w:pStyle w:val="BodyText"/>
      </w:pPr>
      <w:bookmarkStart w:id="24"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2</m:t>
              </m:r>
            </m:e>
          </m:d>
        </m:oMath>
      </m:oMathPara>
      <w:bookmarkEnd w:id="24"/>
    </w:p>
    <w:p>
      <w:pPr>
        <w:pStyle w:val="FirstParagraph"/>
      </w:pPr>
      <w:bookmarkStart w:id="25"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3</m:t>
              </m:r>
            </m:e>
          </m:d>
        </m:oMath>
      </m:oMathPara>
      <w:bookmarkEnd w:id="25"/>
    </w:p>
    <w:p>
      <w:pPr>
        <w:pStyle w:val="FirstParagraph"/>
      </w:pPr>
      <w:r>
        <w:t xml:space="preserve">Dissolved oxygen saturation is then calculated by multiplying</w:t>
      </w:r>
      <w:r>
        <w:t xml:space="preserve"> </w:t>
      </w:r>
      <m:oMath>
        <m:sSub>
          <m:e>
            <m:r>
              <m:t>C</m:t>
            </m:r>
          </m:e>
          <m:sub>
            <m:r>
              <m:t>o</m:t>
            </m:r>
          </m:sub>
        </m:sSub>
      </m:oMath>
      <w:r>
        <w:t xml:space="preserve"> </w:t>
      </w:r>
      <w:r>
        <w:t xml:space="preserve">by the density of seawater given temperature and salinity (</w:t>
      </w:r>
      <w:hyperlink w:anchor="eq-csat">
        <w:r>
          <w:rPr>
            <w:rStyle w:val="Hyperlink"/>
          </w:rPr>
          <w:t xml:space="preserve">Equation 4</w:t>
        </w:r>
      </w:hyperlink>
      <w:r>
        <w:t xml:space="preserve">). The parameter</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p>
    <w:p>
      <w:pPr>
        <w:pStyle w:val="BodyText"/>
      </w:pPr>
      <w:bookmarkStart w:id="26"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4</m:t>
              </m:r>
            </m:e>
          </m:d>
        </m:oMath>
      </m:oMathPara>
      <w:bookmarkEnd w:id="26"/>
    </w:p>
    <w:p>
      <w:pPr>
        <w:pStyle w:val="FirstParagraph"/>
      </w:pPr>
      <w:r>
        <w:t xml:space="preserve">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7"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5</m:t>
              </m:r>
            </m:e>
          </m:d>
        </m:oMath>
      </m:oMathPara>
      <w:bookmarkEnd w:id="27"/>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 The other variables are defined as in</w:t>
      </w:r>
      <w:r>
        <w:t xml:space="preserve"> </w:t>
      </w:r>
      <w:hyperlink w:anchor="eq-base">
        <w:r>
          <w:rPr>
            <w:rStyle w:val="Hyperlink"/>
          </w:rPr>
          <w:t xml:space="preserve">Equation 1</w:t>
        </w:r>
      </w:hyperlink>
      <w:r>
        <w:t xml:space="preserve">.</w:t>
      </w:r>
    </w:p>
    <w:p>
      <w:pPr>
        <w:pStyle w:val="BodyText"/>
      </w:pPr>
      <w:r>
        <w:t xml:space="preserve">The final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Θ</m:t>
        </m:r>
      </m:oMath>
      <w:r>
        <w:t xml:space="preserve"> </w:t>
      </w:r>
      <w:r>
        <w:t xml:space="preserve">and</w:t>
      </w:r>
      <w:r>
        <w:t xml:space="preserve"> </w:t>
      </w:r>
      <m:oMath>
        <m:r>
          <m:t>p</m:t>
        </m:r>
      </m:oMath>
      <w:r>
        <w:t xml:space="preserve"> </w:t>
      </w:r>
      <w:r>
        <w:t xml:space="preserve">parameters.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w:t>
      </w:r>
      <w:r>
        <w:t xml:space="preserve"> </w:t>
      </w:r>
      <m:oMath>
        <m:r>
          <m:t>p</m:t>
        </m:r>
      </m:oMath>
      <w:r>
        <w:t xml:space="preserve"> </w:t>
      </w:r>
      <w:r>
        <w:t xml:space="preserve">parameter, which is dimensionless, is also set to 1 as in</w:t>
      </w:r>
      <w:r>
        <w:t xml:space="preserve"> </w:t>
      </w:r>
      <w:r>
        <w:t xml:space="preserve">Holtgrieve et al. (2010)</w:t>
      </w:r>
      <w:r>
        <w:t xml:space="preserve">. This further simplifies</w:t>
      </w:r>
      <w:r>
        <w:t xml:space="preserve"> </w:t>
      </w:r>
      <w:hyperlink w:anchor="eq-basewan">
        <w:r>
          <w:rPr>
            <w:rStyle w:val="Hyperlink"/>
          </w:rPr>
          <w:t xml:space="preserve">Equation 5</w:t>
        </w:r>
      </w:hyperlink>
      <w:r>
        <w:t xml:space="preserve"> </w:t>
      </w:r>
      <w:r>
        <w:t xml:space="preserve">to:</w:t>
      </w:r>
    </w:p>
    <w:p>
      <w:pPr>
        <w:pStyle w:val="BodyText"/>
      </w:pPr>
      <w:bookmarkStart w:id="28"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6</m:t>
              </m:r>
            </m:e>
          </m:d>
        </m:oMath>
      </m:oMathPara>
      <w:bookmarkEnd w:id="28"/>
    </w:p>
    <w:p>
      <w:pPr>
        <w:pStyle w:val="FirstParagraph"/>
      </w:pPr>
      <w:r>
        <w:t xml:space="preserve">As for BASE,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with the JAGS model using prior distributions shown in the model file. At each time step, the change in oxygen concentration between time steps is calculated from the equation using model inputs and parameter guesses, and then a finite difference approximation is used to estimate modeled oxygen concentration. The estimated dissolved oxygen concentration is also returned, which can be compared to observed as one measure of model performance.</w:t>
      </w:r>
    </w:p>
    <w:p>
      <w:pPr>
        <w:pStyle w:val="BodyText"/>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of course be changed based on previous knowledge of parameter specific to an ecosystem. The default priors were based on those that returned reasonable parameter estimates using a forward-feeding oxygen mass balance equation call FWOXY (ForWard OXYgen). For FWOXY, a dissolved oxygen time series is simulated by providing known parameter values in an equation similar to</w:t>
      </w:r>
      <w:r>
        <w:t xml:space="preserve"> </w:t>
      </w:r>
      <w:hyperlink w:anchor="eq-ebase">
        <w:r>
          <w:rPr>
            <w:rStyle w:val="Hyperlink"/>
          </w:rPr>
          <w:t xml:space="preserve">Equation 6</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As such, the dissolved oxygen output simulated by FWOXY as change per unit time is modelled by EBASE using the constant physical parameters as input. Reasonable prior distributions by EBASE were identified (Equations</w:t>
      </w:r>
      <w:r>
        <w:t xml:space="preserve"> </w:t>
      </w:r>
      <w:hyperlink w:anchor="eq-aprior">
        <w:r>
          <w:rPr>
            <w:rStyle w:val="Hyperlink"/>
          </w:rPr>
          <w:t xml:space="preserve">7</w:t>
        </w:r>
      </w:hyperlink>
      <w:r>
        <w:t xml:space="preserve">,</w:t>
      </w:r>
      <w:r>
        <w:t xml:space="preserve"> </w:t>
      </w:r>
      <w:hyperlink w:anchor="eq-rprior">
        <w:r>
          <w:rPr>
            <w:rStyle w:val="Hyperlink"/>
          </w:rPr>
          <w:t xml:space="preserve">8</w:t>
        </w:r>
      </w:hyperlink>
      <w:r>
        <w:t xml:space="preserve">, and</w:t>
      </w:r>
      <w:r>
        <w:t xml:space="preserve"> </w:t>
      </w:r>
      <w:hyperlink w:anchor="eq-bprior">
        <w:r>
          <w:rPr>
            <w:rStyle w:val="Hyperlink"/>
          </w:rPr>
          <w:t xml:space="preserve">9</w:t>
        </w:r>
      </w:hyperlink>
      <w:r>
        <w:t xml:space="preserve">) based on the ability to return the known parameters from FWOXY:</w:t>
      </w:r>
    </w:p>
    <w:p>
      <w:pPr>
        <w:pStyle w:val="BodyText"/>
      </w:pPr>
      <w:bookmarkStart w:id="29"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7</m:t>
              </m:r>
            </m:e>
          </m:d>
        </m:oMath>
      </m:oMathPara>
      <w:bookmarkEnd w:id="29"/>
    </w:p>
    <w:p>
      <w:pPr>
        <w:pStyle w:val="FirstParagraph"/>
      </w:pPr>
      <w:bookmarkStart w:id="30"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8</m:t>
              </m:r>
            </m:e>
          </m:d>
        </m:oMath>
      </m:oMathPara>
      <w:bookmarkEnd w:id="30"/>
    </w:p>
    <w:p>
      <w:pPr>
        <w:pStyle w:val="FirstParagraph"/>
      </w:pPr>
      <w:bookmarkStart w:id="31"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9</m:t>
              </m:r>
            </m:e>
          </m:d>
        </m:oMath>
      </m:oMathPara>
      <w:bookmarkEnd w:id="31"/>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requirements of the model formula in</w:t>
      </w:r>
      <w:r>
        <w:t xml:space="preserve"> </w:t>
      </w:r>
      <w:hyperlink w:anchor="eq-ebase">
        <w:r>
          <w:rPr>
            <w:rStyle w:val="Hyperlink"/>
          </w:rPr>
          <w:t xml:space="preserve">Equation 6</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2</w:t>
        </w:r>
      </w:hyperlink>
      <w:r>
        <w:t xml:space="preserve">.</w:t>
      </w:r>
    </w:p>
    <w:bookmarkStart w:id="33" w:name="ebase-r-package"/>
    <w:p>
      <w:pPr>
        <w:pStyle w:val="Heading3"/>
      </w:pPr>
      <w:r>
        <w:t xml:space="preserve">2.1 EBASE R package</w:t>
      </w:r>
    </w:p>
    <w:p>
      <w:pPr>
        <w:pStyle w:val="FirstParagraph"/>
      </w:pPr>
      <w:r>
        <w:t xml:space="preserve">For ease of application, an R package was developed to implement the EBASE methods described above. A detailed web page (</w:t>
      </w:r>
      <w:hyperlink r:id="rId32">
        <w:r>
          <w:rPr>
            <w:rStyle w:val="Hyperlink"/>
          </w:rPr>
          <w:t xml:space="preserve">https://fawda123.github.io/EBASE/</w:t>
        </w:r>
      </w:hyperlink>
      <w:r>
        <w:t xml:space="preserve">) describes the required data inputs for estimating the metabolic parameters using the core R functions with the JAGS software. A JAGS model file is included with the package that implements</w:t>
      </w:r>
      <w:r>
        <w:t xml:space="preserve"> </w:t>
      </w:r>
      <w:hyperlink w:anchor="eq-ebase">
        <w:r>
          <w:rPr>
            <w:rStyle w:val="Hyperlink"/>
          </w:rPr>
          <w:t xml:space="preserve">Equation 6</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7</w:t>
        </w:r>
      </w:hyperlink>
      <w:r>
        <w:t xml:space="preserve">,</w:t>
      </w:r>
      <w:r>
        <w:t xml:space="preserve"> </w:t>
      </w:r>
      <w:hyperlink w:anchor="eq-rprior">
        <w:r>
          <w:rPr>
            <w:rStyle w:val="Hyperlink"/>
          </w:rPr>
          <w:t xml:space="preserve">8</w:t>
        </w:r>
      </w:hyperlink>
      <w:r>
        <w:t xml:space="preserve">, and</w:t>
      </w:r>
      <w:r>
        <w:t xml:space="preserve"> </w:t>
      </w:r>
      <w:hyperlink w:anchor="eq-bprior">
        <w:r>
          <w:rPr>
            <w:rStyle w:val="Hyperlink"/>
          </w:rPr>
          <w:t xml:space="preserve">9</w:t>
        </w:r>
      </w:hyperlink>
      <w:r>
        <w:t xml:space="preserve"> </w:t>
      </w:r>
      <w:r>
        <w:t xml:space="preserve">for each parameter. Additional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All results provided herein were generated using the EBASE R package.</w:t>
      </w:r>
    </w:p>
    <w:bookmarkEnd w:id="33"/>
    <w:bookmarkEnd w:id="34"/>
    <w:bookmarkStart w:id="39" w:name="assessment"/>
    <w:p>
      <w:pPr>
        <w:pStyle w:val="Heading2"/>
      </w:pPr>
      <w:r>
        <w:t xml:space="preserve">3 Assessment</w:t>
      </w:r>
    </w:p>
    <w:bookmarkStart w:id="35" w:name="X0d02bab476da195afb173dba74198ce7a19589a"/>
    <w:p>
      <w:pPr>
        <w:pStyle w:val="Heading3"/>
      </w:pPr>
      <w:r>
        <w:t xml:space="preserve">3.1 EBASE comparison with modelled observations</w:t>
      </w:r>
    </w:p>
    <w:p>
      <w:pPr>
        <w:numPr>
          <w:ilvl w:val="0"/>
          <w:numId w:val="1002"/>
        </w:numPr>
        <w:pStyle w:val="Compact"/>
      </w:pPr>
      <w:r>
        <w:t xml:space="preserve">Comparison with Odum and BASEmetab: Fwoxy Appalachicola</w:t>
      </w:r>
    </w:p>
    <w:bookmarkEnd w:id="35"/>
    <w:bookmarkStart w:id="36" w:name="sensitivity-analyses"/>
    <w:p>
      <w:pPr>
        <w:pStyle w:val="Heading3"/>
      </w:pPr>
      <w:r>
        <w:t xml:space="preserve">3.2 Sensitivity analyses</w:t>
      </w:r>
    </w:p>
    <w:p>
      <w:pPr>
        <w:pStyle w:val="FirstParagraph"/>
      </w:pPr>
      <w:r>
        <w:t xml:space="preserve">Several configurations of the EBASE model can influence how the metabolic rates are estimated. A simulated time series with known values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that are returned by EBASE was used to determine if 1) EBASE estimates similar values, and 2) how the estimated values change with different model configurations.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identify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(i.e., modeled dissoled oxygen,</w:t>
      </w:r>
      <w:r>
        <w:t xml:space="preserve"> </w:t>
      </w:r>
      <m:oMath>
        <m:r>
          <m:t>D</m:t>
        </m:r>
      </m:oMath>
      <w:r>
        <w:t xml:space="preserve">, and</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bookmarkEnd w:id="36"/>
    <w:bookmarkStart w:id="37" w:name="ebase-comparison-with-real-observations"/>
    <w:p>
      <w:pPr>
        <w:pStyle w:val="Heading3"/>
      </w:pPr>
      <w:r>
        <w:t xml:space="preserve">3.3 EBASE comparison with real observations</w:t>
      </w:r>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BASmetab methods.</w:t>
      </w:r>
    </w:p>
    <w:bookmarkEnd w:id="37"/>
    <w:bookmarkStart w:id="38" w:name="application-to-represenatiave-nerr-sites"/>
    <w:p>
      <w:pPr>
        <w:pStyle w:val="Heading3"/>
      </w:pPr>
      <w:r>
        <w:t xml:space="preserve">3.4 Application to represenatiave NERR sites</w:t>
      </w:r>
    </w:p>
    <w:bookmarkEnd w:id="38"/>
    <w:bookmarkEnd w:id="39"/>
    <w:bookmarkStart w:id="40" w:name="discussion"/>
    <w:p>
      <w:pPr>
        <w:pStyle w:val="Heading2"/>
      </w:pPr>
      <w:r>
        <w:t xml:space="preserve">4 Discussion</w:t>
      </w:r>
    </w:p>
    <w:bookmarkEnd w:id="40"/>
    <w:bookmarkStart w:id="41" w:name="comments-and-recommendations"/>
    <w:p>
      <w:pPr>
        <w:pStyle w:val="Heading2"/>
      </w:pPr>
      <w:r>
        <w:t xml:space="preserve">5 Comments and Recommendations</w:t>
      </w:r>
    </w:p>
    <w:bookmarkEnd w:id="41"/>
    <w:bookmarkStart w:id="42" w:name="acknowledgments"/>
    <w:p>
      <w:pPr>
        <w:pStyle w:val="Heading2"/>
      </w:pPr>
      <w:r>
        <w:t xml:space="preserve">Acknowledgments</w:t>
      </w:r>
    </w:p>
    <w:bookmarkEnd w:id="42"/>
    <w:bookmarkStart w:id="51"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46" w:name="fig-apacmpfig"/>
          <w:p>
            <w:pPr>
              <w:pStyle w:val="Figure"/>
              <w:jc w:val="center"/>
            </w:pPr>
            <w:r>
              <w:drawing>
                <wp:inline>
                  <wp:extent cx="5943600" cy="6686550"/>
                  <wp:effectExtent b="0" l="0" r="0" t="0"/>
                  <wp:docPr descr="" title="" id="44" name="Picture"/>
                  <a:graphic>
                    <a:graphicData uri="http://schemas.openxmlformats.org/drawingml/2006/picture">
                      <pic:pic>
                        <pic:nvPicPr>
                          <pic:cNvPr descr="figs/apacmpfig.png" id="45" name="Picture"/>
                          <pic:cNvPicPr>
                            <a:picLocks noChangeArrowheads="1" noChangeAspect="1"/>
                          </pic:cNvPicPr>
                        </pic:nvPicPr>
                        <pic:blipFill>
                          <a:blip r:embed="rId43"/>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46"/>
        </w:tc>
      </w:tr>
    </w:tbl>
    <w:p>
      <w:r>
        <w:br w:type="page"/>
      </w:r>
    </w:p>
    <w:tbl>
      <w:tblPr>
        <w:tblStyle w:val="Table"/>
        <w:tblW w:type="pct" w:w="5000"/>
        <w:tblLook w:firstRow="0" w:lastRow="0" w:firstColumn="0" w:lastColumn="0" w:noHBand="0" w:noVBand="0" w:val="0000"/>
      </w:tblPr>
      <w:tblGrid>
        <w:gridCol w:w="7920"/>
      </w:tblGrid>
      <w:tr>
        <w:tc>
          <w:tcPr/>
          <w:bookmarkStart w:id="50" w:name="fig-priorplot"/>
          <w:p>
            <w:pPr>
              <w:pStyle w:val="Figure"/>
              <w:jc w:val="center"/>
            </w:pPr>
            <w:r>
              <w:drawing>
                <wp:inline>
                  <wp:extent cx="5943600" cy="2228850"/>
                  <wp:effectExtent b="0" l="0" r="0" t="0"/>
                  <wp:docPr descr="" title="" id="48" name="Picture"/>
                  <a:graphic>
                    <a:graphicData uri="http://schemas.openxmlformats.org/drawingml/2006/picture">
                      <pic:pic>
                        <pic:nvPicPr>
                          <pic:cNvPr descr="figs/priorplot.png" id="49" name="Picture"/>
                          <pic:cNvPicPr>
                            <a:picLocks noChangeArrowheads="1" noChangeAspect="1"/>
                          </pic:cNvPicPr>
                        </pic:nvPicPr>
                        <pic:blipFill>
                          <a:blip r:embed="rId47"/>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0"/>
        </w:tc>
      </w:tr>
    </w:tbl>
    <w:bookmarkEnd w:id="51"/>
    <w:bookmarkStart w:id="52"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049ea77-3b26-469a-801e-949790b3fde2"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49ea77-3b26-469a-801e-949790b3fde2"/>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52"/>
    <w:bookmarkStart w:id="66" w:name="references"/>
    <w:p>
      <w:pPr>
        <w:pStyle w:val="Heading2"/>
      </w:pPr>
      <w:r>
        <w:t xml:space="preserve">References</w:t>
      </w:r>
    </w:p>
    <w:bookmarkStart w:id="65" w:name="refs"/>
    <w:bookmarkStart w:id="54"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53">
        <w:r>
          <w:rPr>
            <w:rStyle w:val="Hyperlink"/>
          </w:rPr>
          <w:t xml:space="preserve">10.1002/lom3.10062</w:t>
        </w:r>
      </w:hyperlink>
    </w:p>
    <w:bookmarkEnd w:id="54"/>
    <w:bookmarkStart w:id="56"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55">
        <w:r>
          <w:rPr>
            <w:rStyle w:val="Hyperlink"/>
          </w:rPr>
          <w:t xml:space="preserve">10.4319/lo.1992.37.6.1307</w:t>
        </w:r>
      </w:hyperlink>
    </w:p>
    <w:bookmarkEnd w:id="56"/>
    <w:bookmarkStart w:id="58"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57">
        <w:r>
          <w:rPr>
            <w:rStyle w:val="Hyperlink"/>
          </w:rPr>
          <w:t xml:space="preserve">10.1002/lom3.10011</w:t>
        </w:r>
      </w:hyperlink>
    </w:p>
    <w:bookmarkEnd w:id="58"/>
    <w:bookmarkStart w:id="6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59">
        <w:r>
          <w:rPr>
            <w:rStyle w:val="Hyperlink"/>
          </w:rPr>
          <w:t xml:space="preserve">10.4319/lo.2010.55.3.1047</w:t>
        </w:r>
      </w:hyperlink>
    </w:p>
    <w:bookmarkEnd w:id="60"/>
    <w:bookmarkStart w:id="6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61">
        <w:r>
          <w:rPr>
            <w:rStyle w:val="Hyperlink"/>
          </w:rPr>
          <w:t xml:space="preserve">10.1016/0198-0149(81)90122-9</w:t>
        </w:r>
      </w:hyperlink>
    </w:p>
    <w:bookmarkEnd w:id="62"/>
    <w:bookmarkStart w:id="64"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63">
        <w:r>
          <w:rPr>
            <w:rStyle w:val="Hyperlink"/>
          </w:rPr>
          <w:t xml:space="preserve">10.4319/lom.2014.12.351</w:t>
        </w:r>
      </w:hyperlink>
    </w:p>
    <w:bookmarkEnd w:id="64"/>
    <w:bookmarkEnd w:id="65"/>
    <w:bookmarkEnd w:id="66"/>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57" Target="https://doi.org/10.1002/lom3.10011" TargetMode="External" /><Relationship Type="http://schemas.openxmlformats.org/officeDocument/2006/relationships/hyperlink" Id="rId53" Target="https://doi.org/10.1002/lom3.10062" TargetMode="External" /><Relationship Type="http://schemas.openxmlformats.org/officeDocument/2006/relationships/hyperlink" Id="rId61" Target="https://doi.org/10.1016/0198-0149(81)90122-9" TargetMode="External" /><Relationship Type="http://schemas.openxmlformats.org/officeDocument/2006/relationships/hyperlink" Id="rId55" Target="https://doi.org/10.4319/lo.1992.37.6.1307" TargetMode="External" /><Relationship Type="http://schemas.openxmlformats.org/officeDocument/2006/relationships/hyperlink" Id="rId59" Target="https://doi.org/10.4319/lo.2010.55.3.1047" TargetMode="External" /><Relationship Type="http://schemas.openxmlformats.org/officeDocument/2006/relationships/hyperlink" Id="rId63" Target="https://doi.org/10.4319/lom.2014.12.351" TargetMode="External" /><Relationship Type="http://schemas.openxmlformats.org/officeDocument/2006/relationships/hyperlink" Id="rId32" Target="https://fawda123.github.io/EBASE/"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2/lom3.10011" TargetMode="External" /><Relationship Type="http://schemas.openxmlformats.org/officeDocument/2006/relationships/hyperlink" Id="rId53" Target="https://doi.org/10.1002/lom3.10062" TargetMode="External" /><Relationship Type="http://schemas.openxmlformats.org/officeDocument/2006/relationships/hyperlink" Id="rId61" Target="https://doi.org/10.1016/0198-0149(81)90122-9" TargetMode="External" /><Relationship Type="http://schemas.openxmlformats.org/officeDocument/2006/relationships/hyperlink" Id="rId55" Target="https://doi.org/10.4319/lo.1992.37.6.1307" TargetMode="External" /><Relationship Type="http://schemas.openxmlformats.org/officeDocument/2006/relationships/hyperlink" Id="rId59" Target="https://doi.org/10.4319/lo.2010.55.3.1047" TargetMode="External" /><Relationship Type="http://schemas.openxmlformats.org/officeDocument/2006/relationships/hyperlink" Id="rId63" Target="https://doi.org/10.4319/lom.2014.12.351" TargetMode="External" /><Relationship Type="http://schemas.openxmlformats.org/officeDocument/2006/relationships/hyperlink" Id="rId32" Target="https://fawda123.github.io/EBASE/"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2023-01-03T21:01:16Z</dcterms:created>
  <dcterms:modified xsi:type="dcterms:W3CDTF">2023-01-03T21:01:16Z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