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2012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Although most of the median NSE values are less than zero, indicating a poor ability of EBASE to reproduce the parameters, patterns emerge as to which characteristics of the prior lead to robust estimates. For example, large differences in the median NSE values are observed for low and high</w:t>
      </w:r>
      <w:r>
        <w:t xml:space="preserve"> </w:t>
      </w:r>
      <m:oMath>
        <m:r>
          <m:t>σ</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when using a high</w:t>
      </w:r>
      <w:r>
        <w:t xml:space="preserve"> </w:t>
      </w:r>
      <m:oMath>
        <m:r>
          <m:t>σ</m:t>
        </m:r>
      </m:oMath>
      <w:r>
        <w:t xml:space="preserve"> </w:t>
      </w:r>
      <w:r>
        <w:t xml:space="preserve">value using the 7 and 30 day optimization periods. A similar, but smaller effect is seen for the</w:t>
      </w:r>
      <w:r>
        <w:t xml:space="preserve"> </w:t>
      </w:r>
      <m:oMath>
        <m:r>
          <m:t>σ</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This assessment provided information on the influence of common noise signals in dissolved oxygen time series on the estimation process for EBASE. An assumption of the analysis is that EBASE will return similar parameters for a noisy time series as for those in the time series used above that did not include noise. The instrument and tidal noise time series were first estimated by using a weighted regression analysis</w:t>
      </w:r>
      <w:r>
        <w:t xml:space="preserve"> </w:t>
      </w:r>
      <w:r>
        <w:t xml:space="preserve">(Beck et al. 2015)</w:t>
      </w:r>
      <w:r>
        <w:t xml:space="preserve"> </w:t>
      </w:r>
      <w:r>
        <w:t xml:space="preserve">on an actual observed dissolved oxygen time series for Apalachicola Bay using data from 2021.</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metabolic estimates). Comparisons of the intercept and slope estimates to zero and one, respectively, were based on confidence intervals from the standard errors of each. Root mean square errors (RMSE) of each linear model were also evaluated.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method or the input time series, were positive and significantly correlated, as expected. The intercept values were all significant, excluding P with the observed dissolved oxygen, suggesting some level of bias when comparing metabolic estimates between the methods. The slope estimates for R and D were significantly different for metabolic estimates from the observed dissolved oxygen, where all but R were significantly different using the detided dissolved oxygen. The RMSE values of each regression comparing the metabolic estimates between methods were generally lower in the detided results, excluding D which was higher with the detided dissolved oxygen relative to the observed. This result suggests that detiding the time series produces more comparable metabolic estimates between methods.</w:t>
      </w:r>
    </w:p>
    <w:p>
      <w:pPr>
        <w:pStyle w:val="BodyText"/>
      </w:pPr>
      <w:r>
        <w:t xml:space="preserve">As noted in the previous paragraph, metabolic estimates between the methods were generally more similar based on RMSE results using the detided dissolved oxygen time series (</w:t>
      </w:r>
      <w:hyperlink w:anchor="fig-apacmpfig">
        <w:r>
          <w:rPr>
            <w:rStyle w:val="Hyperlink"/>
          </w:rPr>
          <w:t xml:space="preserve">Figure 8</w:t>
        </w:r>
      </w:hyperlink>
      <w:r>
        <w:t xml:space="preserve">b) than using the observed dissolved oxygen as input (</w:t>
      </w:r>
      <w:hyperlink w:anchor="fig-apacmpfig">
        <w:r>
          <w:rPr>
            <w:rStyle w:val="Hyperlink"/>
          </w:rPr>
          <w:t xml:space="preserve">Figure 8</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 and positive values for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was much larger with observed dissolved oxygen. Overall, the results suggest that detiding the dissolved oxygen time series prior to estimating metabolic rates produces more stable estimates with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pStyle w:val="FirstParagraph"/>
      </w:pPr>
      <w:r>
        <w:t xml:space="preserve">EBASE provides several computational advantages over BASE implemented in the R package that was created for the purposes herein. Most importantly, EBASE was developed to allow different model optimization lengths, whereas the BASE method was developed to estimate results for only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manifested in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Although this does not apply to the synthetic time series, some of the estimates using the 2012 observed data for Apalachicola Bay were excluded from the analysis. This feature allows EBASE to be used more readily because an analyst does not need to manually screen data that include missing values.</w:t>
      </w:r>
    </w:p>
    <w:p>
      <w:pPr>
        <w:numPr>
          <w:ilvl w:val="0"/>
          <w:numId w:val="1002"/>
        </w:numPr>
        <w:pStyle w:val="Compact"/>
      </w:pPr>
      <w:r>
        <w:t xml:space="preserve">Primary modifications (Production is linearly related to PAR (aPAR), not saturation point Respiration is constant (not temp dependent), Uses a gas exchange commonly used in oceanic systems (not littoral - streams/lakes as in Grace))</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p>
      <w:pPr>
        <w:numPr>
          <w:ilvl w:val="0"/>
          <w:numId w:val="1002"/>
        </w:numPr>
        <w:pStyle w:val="Compact"/>
      </w:pPr>
      <w:r>
        <w:t xml:space="preserve">detiding</w:t>
      </w:r>
    </w:p>
    <w:p>
      <w:pPr>
        <w:numPr>
          <w:ilvl w:val="0"/>
          <w:numId w:val="1002"/>
        </w:numPr>
        <w:pStyle w:val="Compact"/>
      </w:pPr>
      <w:r>
        <w:t xml:space="preserve">other main conclusions (from RGN comments on draft?)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846a68f2-aa0a-4d6b-8fed-ffceb01c105d"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46a68f2-aa0a-4d6b-8fed-ffceb01c105d"/>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845e1c29-441e-4b1c-a8ab-7e47c0c13c85"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45e1c29-441e-4b1c-a8ab-7e47c0c13c85"/>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intercept, slope, and root mean square error (RMSE)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0"/>
        <w:gridCol w:w="1560"/>
        <w:gridCol w:w="1560"/>
        <w:gridCol w:w="1560"/>
        <w:gridCol w:w="1560"/>
        <w:gridCol w:w="15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Intercept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95.84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30.68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20.03</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04" w:name="references"/>
    <w:p>
      <w:pPr>
        <w:pStyle w:val="Heading2"/>
      </w:pPr>
      <w:r>
        <w:t xml:space="preserve">References</w:t>
      </w:r>
    </w:p>
    <w:bookmarkStart w:id="103"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8"/>
    <w:bookmarkStart w:id="8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9">
        <w:r>
          <w:rPr>
            <w:rStyle w:val="Hyperlink"/>
          </w:rPr>
          <w:t xml:space="preserve">10.4319/lo.1992.37.6.1307</w:t>
        </w:r>
      </w:hyperlink>
    </w:p>
    <w:bookmarkEnd w:id="80"/>
    <w:bookmarkStart w:id="82"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81">
        <w:r>
          <w:rPr>
            <w:rStyle w:val="Hyperlink"/>
          </w:rPr>
          <w:t xml:space="preserve">10.1002/lom3.10011</w:t>
        </w:r>
      </w:hyperlink>
    </w:p>
    <w:bookmarkEnd w:id="82"/>
    <w:bookmarkStart w:id="8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83">
        <w:r>
          <w:rPr>
            <w:rStyle w:val="Hyperlink"/>
          </w:rPr>
          <w:t xml:space="preserve">10.1002/2016GL068727</w:t>
        </w:r>
      </w:hyperlink>
    </w:p>
    <w:bookmarkEnd w:id="84"/>
    <w:bookmarkStart w:id="86"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5">
        <w:r>
          <w:rPr>
            <w:rStyle w:val="Hyperlink"/>
          </w:rPr>
          <w:t xml:space="preserve">10.4319/lo.2010.55.3.1047</w:t>
        </w:r>
      </w:hyperlink>
    </w:p>
    <w:bookmarkEnd w:id="86"/>
    <w:bookmarkStart w:id="8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87">
        <w:r>
          <w:rPr>
            <w:rStyle w:val="Hyperlink"/>
          </w:rPr>
          <w:t xml:space="preserve">10.1016/0198-0149(81)90122-9</w:t>
        </w:r>
      </w:hyperlink>
    </w:p>
    <w:bookmarkEnd w:id="88"/>
    <w:bookmarkStart w:id="9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9">
        <w:r>
          <w:rPr>
            <w:rStyle w:val="Hyperlink"/>
          </w:rPr>
          <w:t xml:space="preserve">10.13031/2013.23153</w:t>
        </w:r>
      </w:hyperlink>
    </w:p>
    <w:bookmarkEnd w:id="90"/>
    <w:bookmarkStart w:id="9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1">
        <w:r>
          <w:rPr>
            <w:rStyle w:val="Hyperlink"/>
          </w:rPr>
          <w:t xml:space="preserve">10.1007/s12237-017-0328-9</w:t>
        </w:r>
      </w:hyperlink>
    </w:p>
    <w:bookmarkEnd w:id="92"/>
    <w:bookmarkStart w:id="9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93">
        <w:r>
          <w:rPr>
            <w:rStyle w:val="Hyperlink"/>
          </w:rPr>
          <w:t xml:space="preserve">10.1016/0022-1694(70)90255-6</w:t>
        </w:r>
      </w:hyperlink>
    </w:p>
    <w:bookmarkEnd w:id="94"/>
    <w:bookmarkStart w:id="95"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95"/>
    <w:bookmarkStart w:id="96"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96"/>
    <w:bookmarkStart w:id="98" w:name="ref-RCT22"/>
    <w:p>
      <w:pPr>
        <w:pStyle w:val="Bibliography"/>
      </w:pPr>
      <w:r>
        <w:t xml:space="preserve">R Core Team. 2022.</w:t>
      </w:r>
      <w:r>
        <w:t xml:space="preserve"> </w:t>
      </w:r>
      <w:hyperlink r:id="rId97">
        <w:r>
          <w:rPr>
            <w:rStyle w:val="Hyperlink"/>
          </w:rPr>
          <w:t xml:space="preserve">R: A language and environment for statistical computing</w:t>
        </w:r>
      </w:hyperlink>
      <w:r>
        <w:t xml:space="preserve">, R Foundation for Statistical Computing.</w:t>
      </w:r>
    </w:p>
    <w:bookmarkEnd w:id="98"/>
    <w:bookmarkStart w:id="10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9">
        <w:r>
          <w:rPr>
            <w:rStyle w:val="Hyperlink"/>
          </w:rPr>
          <w:t xml:space="preserve">10.1672/07-190.1</w:t>
        </w:r>
      </w:hyperlink>
    </w:p>
    <w:bookmarkEnd w:id="100"/>
    <w:bookmarkStart w:id="10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01">
        <w:r>
          <w:rPr>
            <w:rStyle w:val="Hyperlink"/>
          </w:rPr>
          <w:t xml:space="preserve">10.4319/lom.2014.12.351</w:t>
        </w:r>
      </w:hyperlink>
    </w:p>
    <w:bookmarkEnd w:id="102"/>
    <w:bookmarkEnd w:id="103"/>
    <w:bookmarkEnd w:id="10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2023-05-01T20:32:29Z</dcterms:created>
  <dcterms:modified xsi:type="dcterms:W3CDTF">2023-05-01T20:32:29Z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