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9.png" ContentType="image/png"/>
  <Override PartName="/word/media/rId149.png" ContentType="image/png"/>
  <Override PartName="/word/media/rId157.png" ContentType="image/png"/>
  <Override PartName="/word/media/rId153.png" ContentType="image/png"/>
  <Override PartName="/word/media/rId141.png" ContentType="image/png"/>
  <Override PartName="/word/media/rId145.png" ContentType="image/png"/>
  <Override PartName="/word/media/rId161.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w:t>
      </w:r>
      <w:hyperlink r:id="rId22">
        <w:r>
          <w:rPr>
            <w:rStyle w:val="Hyperlink"/>
          </w:rPr>
          <w:t xml:space="preserve">https://cran.r-project.org/web/packages/EBASE/index.html</w:t>
        </w:r>
      </w:hyperlink>
      <w:r>
        <w:t xml:space="preserve">, Beck et al. 2023; R Core Team 2023)</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While both assume that gas exchange is proportional to the concentration gradient across the air–water interface, the treatments of the proportionality differ.</w:t>
      </w:r>
      <w:r>
        <w:t xml:space="preserve"> </w:t>
      </w:r>
      <w:r>
        <w:t xml:space="preserve">Grace et al. (2015)</w:t>
      </w:r>
      <w:r>
        <w:t xml:space="preserve"> </w:t>
      </w:r>
      <w:r>
        <w:t xml:space="preserve">used the following for the volumetric gas flux (</w:t>
      </w:r>
      <m:oMath>
        <m:r>
          <m:t>D</m:t>
        </m:r>
        <m:r>
          <m:t>v</m:t>
        </m:r>
        <m:r>
          <m:t>o</m:t>
        </m:r>
        <m:r>
          <m:t>l</m:t>
        </m:r>
      </m:oMath>
      <w:r>
        <w:t xml:space="preserve">) in BASE:</w:t>
      </w:r>
    </w:p>
    <w:p>
      <w:pPr>
        <w:pStyle w:val="BodyText"/>
      </w:pPr>
      <w:bookmarkStart w:id="26" w:name="eq-gasexbase"/>
      <m:oMathPara>
        <m:oMathParaPr>
          <m:jc m:val="center"/>
        </m:oMathParaPr>
        <m:oMath>
          <m:r>
            <m:t>D</m:t>
          </m:r>
          <m:r>
            <m:t>v</m:t>
          </m:r>
          <m:r>
            <m:t>o</m:t>
          </m:r>
          <m:r>
            <m:t>l</m:t>
          </m:r>
          <m:r>
            <m:rPr>
              <m:sty m:val="p"/>
            </m:rPr>
            <m:t>=</m:t>
          </m:r>
          <m:d>
            <m:dPr>
              <m:begChr m:val="["/>
              <m:endChr m:val="]"/>
              <m:sepChr m:val=""/>
              <m:grow/>
            </m:dPr>
            <m:e>
              <m:r>
                <m:t> </m:t>
              </m:r>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d>
                <m:dPr>
                  <m:begChr m:val="("/>
                  <m:endChr m:val=")"/>
                  <m:sepChr m:val=""/>
                  <m:grow/>
                </m:dPr>
                <m:e>
                  <m:sSub>
                    <m:e>
                      <m:r>
                        <m:t>C</m:t>
                      </m:r>
                    </m:e>
                    <m:sub>
                      <m:r>
                        <m:t>s</m:t>
                      </m:r>
                      <m:r>
                        <m:t>a</m:t>
                      </m:r>
                      <m:r>
                        <m:t>t</m:t>
                      </m:r>
                    </m:sub>
                  </m:sSub>
                  <m:r>
                    <m:rPr>
                      <m:sty m:val="p"/>
                    </m:rPr>
                    <m:t>−</m:t>
                  </m:r>
                  <m:r>
                    <m:t>C</m:t>
                  </m:r>
                </m:e>
              </m:d>
            </m:e>
          </m:d>
          <m:r>
            <m:t> </m:t>
          </m:r>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w:t>
      </w:r>
      <w:r>
        <w:t xml:space="preserve"> </w:t>
      </w:r>
      <m:oMath>
        <m:r>
          <m:t>C</m:t>
        </m:r>
      </m:oMath>
      <w:r>
        <w:t xml:space="preserve"> </w:t>
      </w:r>
      <w:r>
        <w:t xml:space="preserve">is the measured dissolved oxygen, and</w:t>
      </w:r>
      <w:r>
        <w:t xml:space="preserve"> </w:t>
      </w:r>
      <m:oMath>
        <m:sSub>
          <m:e>
            <m:r>
              <m:t>C</m:t>
            </m:r>
          </m:e>
          <m:sub>
            <m:r>
              <m:t>s</m:t>
            </m:r>
            <m:r>
              <m:t>a</m:t>
            </m:r>
            <m:r>
              <m:t>t</m:t>
            </m:r>
          </m:sub>
        </m:sSub>
      </m:oMath>
      <w:r>
        <w:t xml:space="preserve"> </w:t>
      </w:r>
      <w:r>
        <w:t xml:space="preserve">is the saturation concentration.</w:t>
      </w:r>
      <w:r>
        <w:t xml:space="preserve"> </w:t>
      </w:r>
      <m:oMath>
        <m:r>
          <m:t>K</m:t>
        </m:r>
      </m:oMath>
      <w:r>
        <w:t xml:space="preserve"> </w:t>
      </w:r>
      <w:r>
        <w:t xml:space="preserve">is the reaeration coefficient, which was estimated from the data. In EBASE, gas flux per unit surface area of the air-water interface is proportional to the concentration gradient, with the proportionality taken from the well-established wind- and temperature-based parameterization for gas exchange of</w:t>
      </w:r>
      <w:r>
        <w:t xml:space="preserve"> </w:t>
      </w:r>
      <w:r>
        <w:t xml:space="preserve">Wanninkhof (2014)</w:t>
      </w:r>
      <w:r>
        <w:t xml:space="preserve"> </w:t>
      </w:r>
      <w:r>
        <w:t xml:space="preserve">(see</w:t>
      </w:r>
      <w:r>
        <w:t xml:space="preserve"> </w:t>
      </w:r>
      <w:hyperlink w:anchor="eq-kw">
        <w:r>
          <w:rPr>
            <w:rStyle w:val="Hyperlink"/>
          </w:rPr>
          <w:t xml:space="preserve">Equation 2</w:t>
        </w:r>
      </w:hyperlink>
      <w:r>
        <w:t xml:space="preserve">). EBASE also allows</w:t>
      </w:r>
      <w:r>
        <w:t xml:space="preserve"> </w:t>
      </w:r>
      <m:oMath>
        <m:r>
          <m:t>b</m:t>
        </m:r>
      </m:oMath>
      <w:r>
        <w:t xml:space="preserve"> </w:t>
      </w:r>
      <w:r>
        <w:t xml:space="preserve">to be a free parameter that may reflect spatial and temporal variability in factors other than wind and temperature that may influence transfer velocity.</w:t>
      </w:r>
      <w:r>
        <w:t xml:space="preserve"> </w:t>
      </w:r>
      <w:r>
        <w:t xml:space="preserve">Wanninkhof (2014)</w:t>
      </w:r>
      <w:r>
        <w:t xml:space="preserve"> </w:t>
      </w:r>
      <w:r>
        <w:t xml:space="preserve">estimated a fixed</w:t>
      </w:r>
      <w:r>
        <w:t xml:space="preserve"> </w:t>
      </w:r>
      <m:oMath>
        <m:r>
          <m:t>b</m:t>
        </m:r>
      </m:oMath>
      <w:r>
        <w:t xml:space="preserve"> </w:t>
      </w:r>
      <w:r>
        <w:t xml:space="preserve">parameter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w:t>
      </w:r>
      <w:hyperlink r:id="rId22">
        <w:r>
          <w:rPr>
            <w:rStyle w:val="Hyperlink"/>
          </w:rPr>
          <w:t xml:space="preserve">https://cran.r-project.org/web/packages/EBASE/index.html</w:t>
        </w:r>
      </w:hyperlink>
      <w:r>
        <w:t xml:space="preserve">, Beck et al. 2023; R Core Team 2023)</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v1.0.0</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39" w:name="references"/>
    <w:p>
      <w:pPr>
        <w:pStyle w:val="Heading2"/>
      </w:pPr>
      <w:r>
        <w:t xml:space="preserve">References</w:t>
      </w:r>
    </w:p>
    <w:bookmarkStart w:id="138"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2">
        <w:r>
          <w:rPr>
            <w:rStyle w:val="Hyperlink"/>
          </w:rPr>
          <w:t xml:space="preserve">10.4319/lom.2014.12.351</w:t>
        </w:r>
      </w:hyperlink>
    </w:p>
    <w:bookmarkEnd w:id="133"/>
    <w:bookmarkStart w:id="13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4">
        <w:r>
          <w:rPr>
            <w:rStyle w:val="Hyperlink"/>
          </w:rPr>
          <w:t xml:space="preserve">10.1080/iw-6.4.883</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bookmarkStart w:id="1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0"/>
    <w:bookmarkStart w:id="173"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4" w:name="fig-priorplot"/>
          <w:p>
            <w:pPr>
              <w:pStyle w:val="Compact"/>
              <w:jc w:val="center"/>
            </w:pPr>
            <w:r>
              <w:drawing>
                <wp:inline>
                  <wp:extent cx="5943600" cy="2286000"/>
                  <wp:effectExtent b="0" l="0" r="0" t="0"/>
                  <wp:docPr descr="" title="" id="142" name="Picture"/>
                  <a:graphic>
                    <a:graphicData uri="http://schemas.openxmlformats.org/drawingml/2006/picture">
                      <pic:pic>
                        <pic:nvPicPr>
                          <pic:cNvPr descr="figs/priorplot.png" id="143" name="Picture"/>
                          <pic:cNvPicPr>
                            <a:picLocks noChangeArrowheads="1" noChangeAspect="1"/>
                          </pic:cNvPicPr>
                        </pic:nvPicPr>
                        <pic:blipFill>
                          <a:blip r:embed="rId1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synapa"/>
          <w:p>
            <w:pPr>
              <w:pStyle w:val="Compact"/>
              <w:jc w:val="center"/>
            </w:pPr>
            <w:r>
              <w:drawing>
                <wp:inline>
                  <wp:extent cx="5943600" cy="5943600"/>
                  <wp:effectExtent b="0" l="0" r="0" t="0"/>
                  <wp:docPr descr="" title="" id="146" name="Picture"/>
                  <a:graphic>
                    <a:graphicData uri="http://schemas.openxmlformats.org/drawingml/2006/picture">
                      <pic:pic>
                        <pic:nvPicPr>
                          <pic:cNvPr descr="figs/synapa.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defplo"/>
          <w:p>
            <w:pPr>
              <w:pStyle w:val="Compact"/>
              <w:jc w:val="center"/>
            </w:pPr>
            <w:r>
              <w:drawing>
                <wp:inline>
                  <wp:extent cx="5943600" cy="5943600"/>
                  <wp:effectExtent b="0" l="0" r="0" t="0"/>
                  <wp:docPr descr="" title="" id="150" name="Picture"/>
                  <a:graphic>
                    <a:graphicData uri="http://schemas.openxmlformats.org/drawingml/2006/picture">
                      <pic:pic>
                        <pic:nvPicPr>
                          <pic:cNvPr descr="figs/defplo.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priorcomp"/>
          <w:p>
            <w:pPr>
              <w:pStyle w:val="Compact"/>
              <w:jc w:val="center"/>
            </w:pPr>
            <w:r>
              <w:drawing>
                <wp:inline>
                  <wp:extent cx="5497394" cy="3664929"/>
                  <wp:effectExtent b="0" l="0" r="0" t="0"/>
                  <wp:docPr descr="" title="" id="154" name="Picture"/>
                  <a:graphic>
                    <a:graphicData uri="http://schemas.openxmlformats.org/drawingml/2006/picture">
                      <pic:pic>
                        <pic:nvPicPr>
                          <pic:cNvPr descr="figs/priorcomp.png" id="155" name="Picture"/>
                          <pic:cNvPicPr>
                            <a:picLocks noChangeArrowheads="1" noChangeAspect="1"/>
                          </pic:cNvPicPr>
                        </pic:nvPicPr>
                        <pic:blipFill>
                          <a:blip r:embed="rId153"/>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optex"/>
          <w:p>
            <w:pPr>
              <w:pStyle w:val="Compact"/>
              <w:jc w:val="center"/>
            </w:pPr>
            <w:r>
              <w:drawing>
                <wp:inline>
                  <wp:extent cx="5943600" cy="5283200"/>
                  <wp:effectExtent b="0" l="0" r="0" t="0"/>
                  <wp:docPr descr="" title="" id="158" name="Picture"/>
                  <a:graphic>
                    <a:graphicData uri="http://schemas.openxmlformats.org/drawingml/2006/picture">
                      <pic:pic>
                        <pic:nvPicPr>
                          <pic:cNvPr descr="figs/optex.png" id="159" name="Picture"/>
                          <pic:cNvPicPr>
                            <a:picLocks noChangeArrowheads="1" noChangeAspect="1"/>
                          </pic:cNvPicPr>
                        </pic:nvPicPr>
                        <pic:blipFill>
                          <a:blip r:embed="rId157"/>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
          <w:p>
            <w:pPr>
              <w:pStyle w:val="Compact"/>
              <w:jc w:val="center"/>
            </w:pPr>
            <w:r>
              <w:drawing>
                <wp:inline>
                  <wp:extent cx="5943600" cy="4457700"/>
                  <wp:effectExtent b="0" l="0" r="0" t="0"/>
                  <wp:docPr descr="" title="" id="162" name="Picture"/>
                  <a:graphic>
                    <a:graphicData uri="http://schemas.openxmlformats.org/drawingml/2006/picture">
                      <pic:pic>
                        <pic:nvPicPr>
                          <pic:cNvPr descr="figs/synapanos.png" id="163" name="Picture"/>
                          <pic:cNvPicPr>
                            <a:picLocks noChangeArrowheads="1" noChangeAspect="1"/>
                          </pic:cNvPicPr>
                        </pic:nvPicPr>
                        <pic:blipFill>
                          <a:blip r:embed="rId1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synapanoscmp"/>
          <w:p>
            <w:pPr>
              <w:pStyle w:val="Compact"/>
              <w:jc w:val="center"/>
            </w:pPr>
            <w:r>
              <w:drawing>
                <wp:inline>
                  <wp:extent cx="5943600" cy="4669971"/>
                  <wp:effectExtent b="0" l="0" r="0" t="0"/>
                  <wp:docPr descr="" title="" id="166" name="Picture"/>
                  <a:graphic>
                    <a:graphicData uri="http://schemas.openxmlformats.org/drawingml/2006/picture">
                      <pic:pic>
                        <pic:nvPicPr>
                          <pic:cNvPr descr="figs/synapanoscmp.png" id="167" name="Picture"/>
                          <pic:cNvPicPr>
                            <a:picLocks noChangeArrowheads="1" noChangeAspect="1"/>
                          </pic:cNvPicPr>
                        </pic:nvPicPr>
                        <pic:blipFill>
                          <a:blip r:embed="rId165"/>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fig-apacmpfig"/>
          <w:p>
            <w:pPr>
              <w:pStyle w:val="Compact"/>
              <w:jc w:val="center"/>
            </w:pPr>
            <w:r>
              <w:drawing>
                <wp:inline>
                  <wp:extent cx="3206813" cy="6413627"/>
                  <wp:effectExtent b="0" l="0" r="0" t="0"/>
                  <wp:docPr descr="" title="" id="170" name="Picture"/>
                  <a:graphic>
                    <a:graphicData uri="http://schemas.openxmlformats.org/drawingml/2006/picture">
                      <pic:pic>
                        <pic:nvPicPr>
                          <pic:cNvPr descr="figs/apacmpfig.png" id="171" name="Picture"/>
                          <pic:cNvPicPr>
                            <a:picLocks noChangeArrowheads="1" noChangeAspect="1"/>
                          </pic:cNvPicPr>
                        </pic:nvPicPr>
                        <pic:blipFill>
                          <a:blip r:embed="rId169"/>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2"/>
        </w:tc>
      </w:tr>
    </w:tbl>
    <w:p>
      <w:r>
        <w:br w:type="page"/>
      </w:r>
    </w:p>
    <w:bookmarkEnd w:id="173"/>
    <w:bookmarkStart w:id="17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4"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5"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5"/>
          <w:p/>
        </w:tc>
      </w:tr>
    </w:tbl>
    <w:bookmarkEnd w:id="176"/>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2024-03-12T17:33:18Z</dcterms:created>
  <dcterms:modified xsi:type="dcterms:W3CDTF">2024-03-12T17:33:18Z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