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BASEmetab,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23" w:name="materials-and-procedures"/>
    <w:p>
      <w:pPr>
        <w:pStyle w:val="Heading2"/>
      </w:pPr>
      <w:r>
        <w:t xml:space="preserve">2 Materials and Procedures</w:t>
      </w:r>
    </w:p>
    <w:p>
      <w:pPr>
        <w:numPr>
          <w:ilvl w:val="0"/>
          <w:numId w:val="1002"/>
        </w:numPr>
        <w:pStyle w:val="Compact"/>
      </w:pPr>
      <w:r>
        <w:t xml:space="preserve">EBASE theory</w:t>
      </w:r>
    </w:p>
    <w:p>
      <w:pPr>
        <w:numPr>
          <w:ilvl w:val="0"/>
          <w:numId w:val="1002"/>
        </w:numPr>
        <w:pStyle w:val="Compact"/>
      </w:pPr>
      <w:r>
        <w:t xml:space="preserve">EBASE R package</w:t>
      </w:r>
    </w:p>
    <w:bookmarkEnd w:id="23"/>
    <w:bookmarkStart w:id="24" w:name="assessment"/>
    <w:p>
      <w:pPr>
        <w:pStyle w:val="Heading2"/>
      </w:pPr>
      <w:r>
        <w:t xml:space="preserve">3 Assessment</w:t>
      </w:r>
    </w:p>
    <w:p>
      <w:pPr>
        <w:numPr>
          <w:ilvl w:val="0"/>
          <w:numId w:val="1003"/>
        </w:numPr>
        <w:pStyle w:val="Compact"/>
      </w:pPr>
      <w:r>
        <w:t xml:space="preserve">Comparison with Odum and BASEmetab: Fwoxy Appalachicola</w:t>
      </w:r>
    </w:p>
    <w:p>
      <w:pPr>
        <w:numPr>
          <w:ilvl w:val="0"/>
          <w:numId w:val="1003"/>
        </w:numPr>
        <w:pStyle w:val="Compact"/>
      </w:pPr>
      <w:r>
        <w:t xml:space="preserve">Comparison with Odum and BASemetab: Apalachicola,</w:t>
      </w:r>
      <w:r>
        <w:t xml:space="preserve"> </w:t>
      </w:r>
      <w:hyperlink w:anchor="fig-apacmpfig">
        <w:r>
          <w:rPr>
            <w:rStyle w:val="Hyperlink"/>
          </w:rPr>
          <w:t xml:space="preserve">Figure 1</w:t>
        </w:r>
      </w:hyperlink>
    </w:p>
    <w:p>
      <w:pPr>
        <w:pStyle w:val="FirstParagraph"/>
      </w:pPr>
      <w:r>
        <w:t xml:space="preserve">Metabolic estimates from EBASE were compared to those from existing methods to benchmark and evaluate potential differences from alternative model formulations used by each approach. An approximate one year continuous time series from Apalachicola Bay, Florida was provided as input to each method.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salinity (psu), and sonde depth (m).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from Cat Point) were combined with the water quality data at the same time step and included air temperature (C), wind speed (m/s), PAR (mmol/m</w:t>
      </w:r>
      <m:oMath>
        <m:sSup>
          <m:e>
            <m:r>
              <m:t>​</m:t>
            </m:r>
          </m:e>
          <m:sup>
            <m:r>
              <m:t>2</m:t>
            </m:r>
          </m:sup>
        </m:sSup>
      </m:oMath>
      <w:r>
        <w:t xml:space="preserve"> </w:t>
      </w:r>
      <w:r>
        <w:t xml:space="preserve">as total per 15 minute observation), and barometric pressure (mb). The combined input data were provided to each method after converting the units as required (e.g., BASEmetab requires PAR as</w:t>
      </w:r>
      <w:r>
        <w:t xml:space="preserve"> </w:t>
      </w:r>
      <m:oMath>
        <m:r>
          <m:t>μ</m:t>
        </m:r>
      </m:oMath>
      <w:r>
        <w:t xml:space="preserve">mol m</w:t>
      </w:r>
      <m:oMath>
        <m:sSup>
          <m:e>
            <m:r>
              <m:t>​</m:t>
            </m:r>
          </m:e>
          <m:sup>
            <m:r>
              <m:rPr>
                <m:sty m:val="p"/>
              </m:rPr>
              <m:t>−</m:t>
            </m:r>
            <m:r>
              <m:t>2</m:t>
            </m:r>
          </m:sup>
        </m:sSup>
      </m:oMath>
      <w:r>
        <w:t xml:space="preserve"> </w:t>
      </w:r>
      <w:r>
        <w:t xml:space="preserve">s</w:t>
      </w:r>
      <m:oMath>
        <m:sSup>
          <m:e>
            <m:r>
              <m:t>​</m:t>
            </m:r>
          </m:e>
          <m:sup>
            <m:r>
              <m:rPr>
                <m:sty m:val="p"/>
              </m:rPr>
              <m:t>−</m:t>
            </m:r>
            <m:r>
              <m:t>1</m:t>
            </m:r>
          </m:sup>
        </m:sSup>
      </m:oMath>
      <w:r>
        <w:t xml:space="preserve">). Water column depth at Cat Point is approximately 1.8 m and all metabolic estimates returned by each method were converted to volumetric rates by dividing by the depth. Each comparison also evaluated metabolic estimates using the observed dissolved oxygen time series and a detided time series using weighted regression</w:t>
      </w:r>
      <w:r>
        <w:t xml:space="preserve"> </w:t>
      </w:r>
      <w:r>
        <w:t xml:space="preserve">(Beck et al. 2015)</w:t>
      </w:r>
      <w:r>
        <w:t xml:space="preserve">. The latter comparison provided an assessment of metabolic rates that are expected to be minimally influenced by tidal advection. All metabolic estimates were obtained using the default setting for each of the three methods, with an exception that the prior distribution for the reaeration coefficient (</w:t>
      </w:r>
      <m:oMath>
        <m:r>
          <m:t>K</m:t>
        </m:r>
      </m:oMath>
      <w:r>
        <w:t xml:space="preserve">) in BASEmetab was informed by results from the Odum output. Initial assessments indicated that unstable and inaccurate results are obtained from BASEmetab using an uninformed prior distribution for</w:t>
      </w:r>
      <w:r>
        <w:t xml:space="preserve"> </w:t>
      </w:r>
      <m:oMath>
        <m:r>
          <m:t>K</m:t>
        </m:r>
      </m:oMath>
      <w:r>
        <w:t xml:space="preserve">. All other prior distributions for BASEmetab and EBASE were set as the software default. A one-day model optimization period was used for EBASE.</w:t>
      </w:r>
    </w:p>
    <w:p>
      <w:pPr>
        <w:pStyle w:val="BodyText"/>
      </w:pPr>
      <w:r>
        <w:t xml:space="preserve">The common set of metabolic parameters returned by the Odum, BASEmetab,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slope and estimates values to zero and one, respectively, were based on confidence intervals from the standard errors of each estimate. Results were assessed separately for estimates based on the observed or detided dissolved oxygen time series.</w:t>
      </w:r>
    </w:p>
    <w:p>
      <w:pPr>
        <w:numPr>
          <w:ilvl w:val="0"/>
          <w:numId w:val="1004"/>
        </w:numPr>
        <w:pStyle w:val="Compact"/>
      </w:pPr>
      <w:r>
        <w:t xml:space="preserve">Sensitivity analyses:</w:t>
      </w:r>
    </w:p>
    <w:p>
      <w:pPr>
        <w:numPr>
          <w:ilvl w:val="1"/>
          <w:numId w:val="1005"/>
        </w:numPr>
        <w:pStyle w:val="Compact"/>
      </w:pPr>
      <w:r>
        <w:t xml:space="preserve">optimization length</w:t>
      </w:r>
    </w:p>
    <w:p>
      <w:pPr>
        <w:numPr>
          <w:ilvl w:val="1"/>
          <w:numId w:val="1005"/>
        </w:numPr>
        <w:pStyle w:val="Compact"/>
      </w:pPr>
      <w:r>
        <w:t xml:space="preserve">priors</w:t>
      </w:r>
    </w:p>
    <w:p>
      <w:pPr>
        <w:numPr>
          <w:ilvl w:val="0"/>
          <w:numId w:val="1004"/>
        </w:numPr>
        <w:pStyle w:val="Compact"/>
      </w:pPr>
      <w:r>
        <w:t xml:space="preserve">Application to representative NERR sites</w:t>
      </w:r>
    </w:p>
    <w:bookmarkEnd w:id="24"/>
    <w:bookmarkStart w:id="25" w:name="discussion"/>
    <w:p>
      <w:pPr>
        <w:pStyle w:val="Heading2"/>
      </w:pPr>
      <w:r>
        <w:t xml:space="preserve">4 Discussion</w:t>
      </w:r>
    </w:p>
    <w:bookmarkEnd w:id="25"/>
    <w:bookmarkStart w:id="26" w:name="comments-and-recommendations"/>
    <w:p>
      <w:pPr>
        <w:pStyle w:val="Heading2"/>
      </w:pPr>
      <w:r>
        <w:t xml:space="preserve">5 Comments and Recommendations</w:t>
      </w:r>
    </w:p>
    <w:bookmarkEnd w:id="26"/>
    <w:bookmarkStart w:id="27" w:name="acknowledgments"/>
    <w:p>
      <w:pPr>
        <w:pStyle w:val="Heading2"/>
      </w:pPr>
      <w:r>
        <w:t xml:space="preserve">Acknowledgments</w:t>
      </w:r>
    </w:p>
    <w:bookmarkEnd w:id="27"/>
    <w:bookmarkStart w:id="32" w:name="figures"/>
    <w:p>
      <w:pPr>
        <w:pStyle w:val="Heading2"/>
      </w:pPr>
      <w:r>
        <w:t xml:space="preserve">Figures</w:t>
      </w:r>
    </w:p>
    <w:p>
      <w:pPr>
        <w:pStyle w:val="FirstParagraph"/>
      </w:pPr>
      <w:r>
        <w:t xml:space="preserve">Figure 1: Fwoxy comparisons</w:t>
      </w:r>
    </w:p>
    <w:p>
      <w:pPr>
        <w:pStyle w:val="BodyText"/>
      </w:pPr>
      <w:r>
        <w:t xml:space="preserve">Figure 2: Apalachicola comparisons</w:t>
      </w:r>
    </w:p>
    <w:p>
      <w:pPr>
        <w:pStyle w:val="BodyText"/>
      </w:pPr>
      <w:r>
        <w:t xml:space="preserve">Figure 3: Sensitivity analyses</w:t>
      </w:r>
    </w:p>
    <w:p>
      <w:pPr>
        <w:pStyle w:val="BodyText"/>
      </w:pPr>
      <w:r>
        <w:t xml:space="preserve">Figure 4: NERRS application</w:t>
      </w:r>
    </w:p>
    <w:p>
      <w:r>
        <w:br w:type="page"/>
      </w:r>
    </w:p>
    <w:tbl>
      <w:tblPr>
        <w:tblStyle w:val="Table"/>
        <w:tblW w:type="pct" w:w="5000"/>
        <w:tblLook w:firstRow="0" w:lastRow="0" w:firstColumn="0" w:lastColumn="0" w:noHBand="0" w:noVBand="0" w:val="0000"/>
      </w:tblPr>
      <w:tblGrid>
        <w:gridCol w:w="7920"/>
      </w:tblGrid>
      <w:tr>
        <w:tc>
          <w:tcPr/>
          <w:bookmarkStart w:id="31" w:name="fig-apacmpfig"/>
          <w:p>
            <w:pPr>
              <w:pStyle w:val="Figure"/>
              <w:jc w:val="center"/>
            </w:pPr>
            <w:r>
              <w:drawing>
                <wp:inline>
                  <wp:extent cx="5943600" cy="6686550"/>
                  <wp:effectExtent b="0" l="0" r="0" t="0"/>
                  <wp:docPr descr="" title="" id="29" name="Picture"/>
                  <a:graphic>
                    <a:graphicData uri="http://schemas.openxmlformats.org/drawingml/2006/picture">
                      <pic:pic>
                        <pic:nvPicPr>
                          <pic:cNvPr descr="figs/apacmpfig.png" id="30" name="Picture"/>
                          <pic:cNvPicPr>
                            <a:picLocks noChangeArrowheads="1" noChangeAspect="1"/>
                          </pic:cNvPicPr>
                        </pic:nvPicPr>
                        <pic:blipFill>
                          <a:blip r:embed="rId28"/>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Comparisons of daily metabolic estimates from the Odum, BASEmetab,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Black lines show the 1:1 comparison, the blue line shows the linea regression fit, and the Pearson correlation values are shown in parentheses for each facet title.</w:t>
            </w:r>
          </w:p>
          <w:bookmarkEnd w:id="31"/>
        </w:tc>
      </w:tr>
    </w:tbl>
    <w:bookmarkEnd w:id="32"/>
    <w:bookmarkStart w:id="33" w:name="tables"/>
    <w:p>
      <w:pPr>
        <w:pStyle w:val="Heading2"/>
      </w:pPr>
      <w:r>
        <w:t xml:space="preserve">Tables</w:t>
      </w:r>
    </w:p>
    <w:p>
      <w:pPr>
        <w:pStyle w:val="FirstParagraph"/>
      </w:pPr>
      <w:r>
        <w:t xml:space="preserve">Table 1: EBASE parameters and outputs</w:t>
      </w:r>
    </w:p>
    <w:p>
      <w:pPr>
        <w:pStyle w:val="BodyText"/>
      </w:pPr>
      <w:r>
        <w:t xml:space="preserve">Table 2: Summary stats of Fwoxy comparison</w:t>
      </w:r>
    </w:p>
    <w:p>
      <w:pPr>
        <w:pStyle w:val="BodyText"/>
      </w:pPr>
      <w:r>
        <w:t xml:space="preserve">Table 3: Summary stats of Apalachicola comparison</w:t>
      </w:r>
    </w:p>
    <w:p>
      <w:pPr>
        <w:pStyle w:val="BodyText"/>
      </w:pPr>
      <w:r>
        <w:t xml:space="preserve">Table 4: Key parameters form NERRS application</w:t>
      </w:r>
    </w:p>
    <w:p>
      <w:r>
        <w:br w:type="page"/>
      </w:r>
    </w:p>
    <w:p>
      <w:pPr>
        <w:pStyle w:val="BodyText"/>
      </w:pPr>
      <w:r>
        <w:t xml:space="preserve">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db24e33d-8013-48e9-9d42-aa0da7ff04f2"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b24e33d-8013-48e9-9d42-aa0da7ff04f2"/>
      <w:r>
        <w:rPr>
          <w:rFonts/>
          <w:b w:val="true"/>
        </w:rPr>
        <w:t xml:space="preserve">: </w:t>
      </w:r>
      <w:r>
        <w:t xml:space="preserve">Summary statisics of daily metabolic estimates comparing Odum and BASEmetab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ρ</m:t>
              </m:r>
            </m:oMath>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σ</m:t>
              </m:r>
            </m:oMath>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33"/>
    <w:bookmarkStart w:id="39" w:name="references"/>
    <w:p>
      <w:pPr>
        <w:pStyle w:val="Heading2"/>
      </w:pPr>
      <w:r>
        <w:t xml:space="preserve">References</w:t>
      </w:r>
    </w:p>
    <w:bookmarkStart w:id="38" w:name="refs"/>
    <w:bookmarkStart w:id="35"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34">
        <w:r>
          <w:rPr>
            <w:rStyle w:val="Hyperlink"/>
          </w:rPr>
          <w:t xml:space="preserve">10.1002/lom3.10062</w:t>
        </w:r>
      </w:hyperlink>
    </w:p>
    <w:bookmarkEnd w:id="35"/>
    <w:bookmarkStart w:id="37"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36">
        <w:r>
          <w:rPr>
            <w:rStyle w:val="Hyperlink"/>
          </w:rPr>
          <w:t xml:space="preserve">10.1002/lom3.10011</w:t>
        </w:r>
      </w:hyperlink>
    </w:p>
    <w:bookmarkEnd w:id="37"/>
    <w:bookmarkEnd w:id="38"/>
    <w:bookmarkEnd w:id="39"/>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8" Target="media/rId28.png" /><Relationship Type="http://schemas.openxmlformats.org/officeDocument/2006/relationships/hyperlink" Id="rId36" Target="https://doi.org/10.1002/lom3.10011" TargetMode="External" /><Relationship Type="http://schemas.openxmlformats.org/officeDocument/2006/relationships/hyperlink" Id="rId34" Target="https://doi.org/10.1002/lom3.10062"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02/lom3.10011" TargetMode="External" /><Relationship Type="http://schemas.openxmlformats.org/officeDocument/2006/relationships/hyperlink" Id="rId34" Target="https://doi.org/10.1002/lom3.10062"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2022-12-19T15:40:19Z</dcterms:created>
  <dcterms:modified xsi:type="dcterms:W3CDTF">2022-12-19T15:40:19Z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