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by removing the temperature dependency; and 3) use of a gas exchange parameterization commonly used in coastal or oceanic settings that depends on wind speed and temperature</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ρ</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ρ</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ρ</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ρ</m:t>
        </m:r>
      </m:oMath>
      <w:r>
        <w:t xml:space="preserve"> </w:t>
      </w:r>
      <w:r>
        <w:t xml:space="preserve">values for each parameter. Although most of the median value are less than zero, indicating a poor ability of EBASE to reproduce the parameters, patterns emerge as to which characteristics of the prior lead to robust estimates. For example, large differences in the median NSE values are observed for the low and high values of</w:t>
      </w:r>
      <w:r>
        <w:t xml:space="preserve"> </w:t>
      </w:r>
      <m:oMath>
        <m:r>
          <m:t>ρ</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using a high value using the 7 and 30 day optimization periods. A similar, but smaller effect is seen for the</w:t>
      </w:r>
      <w:r>
        <w:t xml:space="preserve"> </w:t>
      </w:r>
      <m:oMath>
        <m:r>
          <m:t>ρ</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ρ</m:t>
        </m:r>
      </m:oMath>
      <w:r>
        <w:t xml:space="preserve">. This suggests that EBASE model sensitivity is most influenced by</w:t>
      </w:r>
      <w:r>
        <w:t xml:space="preserve"> </w:t>
      </w:r>
      <m:oMath>
        <m:r>
          <m:t>ρ</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parameters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ρ</m:t>
        </m:r>
      </m:oMath>
      <w:r>
        <w:t xml:space="preserv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better comparison with the EBASE methods, the gas exchange parameterization in the Odum method was modified to use the</w:t>
      </w:r>
      <w:r>
        <w:t xml:space="preserve"> </w:t>
      </w:r>
      <w:r>
        <w:t xml:space="preserve">Wanninkhof (2014)</w:t>
      </w:r>
      <w:r>
        <w:t xml:space="preserve"> </w:t>
      </w:r>
      <w:r>
        <w:t xml:space="preserve">approach, with the</w:t>
      </w:r>
      <w:r>
        <w:t xml:space="preserve"> </w:t>
      </w:r>
      <m:oMath>
        <m:r>
          <m:t>b</m:t>
        </m:r>
      </m:oMath>
      <w:r>
        <w:t xml:space="preserve"> </w:t>
      </w:r>
      <w:r>
        <w:t xml:space="preserve">parameter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ρ</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metabolic estimates). Comparisons of the intercept and slope estimates to zero and one, respectively, were based on confidence intervals from the standard errors of each. Root mean square errors (RMSE) of each linear model were also evaluated.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estimates, regardless of method or the input time series, were positive and significantly correlated, as expected. The intercept values were all significant, excluding production and respiration with the observed dissolved oxygen, suggesting some level of bias when comparing estimates between the methods. Half of the slope estimates were significantly different for estimates from both the observed and detided dissolved oxygen, with production and gas exchange differing for the observed input and net metabolism and gas exchange differing for the detided input. The RMSE of each regression comparison were generally lower in the detided results for all comparisons. This latter comparison suggests that detiding the time series produces more comparable estimates between methods.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w:t>
      </w:r>
      <w:r>
        <w:t xml:space="preserve"> </w:t>
      </w:r>
      <m:oMath>
        <m:r>
          <m:t>a</m:t>
        </m:r>
      </m:oMath>
      <w:r>
        <w:t xml:space="preserve"> </w:t>
      </w:r>
      <w:r>
        <w:t xml:space="preserve">and</w:t>
      </w:r>
      <w:r>
        <w:t xml:space="preserve"> </w:t>
      </w:r>
      <m:oMath>
        <m:r>
          <m:t>r</m:t>
        </m:r>
      </m:oMath>
      <w:r>
        <w:t xml:space="preserve"> </w:t>
      </w:r>
      <w:r>
        <w:t xml:space="preserve">cannot be negative, Equations</w:t>
      </w:r>
      <w:r>
        <w:t xml:space="preserve"> </w:t>
      </w:r>
      <w:hyperlink w:anchor="eq-aprior">
        <w:r>
          <w:rPr>
            <w:rStyle w:val="Hyperlink"/>
          </w:rPr>
          <w:t xml:space="preserve">5</w:t>
        </w:r>
      </w:hyperlink>
      <w:r>
        <w:t xml:space="preserve"> </w:t>
      </w:r>
      <w:r>
        <w:t xml:space="preserve">and</w:t>
      </w:r>
      <w:r>
        <w:t xml:space="preserve"> </w:t>
      </w:r>
      <w:hyperlink w:anchor="eq-rprior">
        <w:r>
          <w:rPr>
            <w:rStyle w:val="Hyperlink"/>
          </w:rPr>
          <w:t xml:space="preserve">6</w:t>
        </w:r>
      </w:hyperlink>
      <w:r>
        <w:t xml:space="preserve">). Additionally, the effects of tidal advection produced a wider range of estimates for NEM in both methods, whereas the detided results were mostly negative indicating that conclusions about net autotrophy or heterotrophy may be inaccurate using observed dissolved oxygen as input.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0.504.</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and standard deviations are evaluated as low (L) or high (H) values (see text for details) and the optimization period is one day, seven days, or thirty days. The metabolic results for dissolved oxygen (DO), production (P),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3529012"/>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EBASE and Odum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356afa4a-2af0-41f6-82a0-cbad54edda42"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56afa4a-2af0-41f6-82a0-cbad54edda42"/>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5150eda-8614-4f31-ad2c-6c27b8af8177"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5150eda-8614-4f31-ad2c-6c27b8af8177"/>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intercept, slope, and root mean square error (RMSE)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0"/>
        <w:gridCol w:w="1560"/>
        <w:gridCol w:w="1560"/>
        <w:gridCol w:w="1560"/>
        <w:gridCol w:w="1560"/>
        <w:gridCol w:w="15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Intercept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95.84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20.03</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2023-04-18T13:49:38Z</dcterms:created>
  <dcterms:modified xsi:type="dcterms:W3CDTF">2023-04-18T13:49:38Z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