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2012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Although most of the median NSE values are less than zero, indicating a poor ability of EBASE to reproduce the parameters, patterns emerge as to which characteristics of the prior lead to robust estimates. For example, large differences in the median NSE values are observed for low and high</w:t>
      </w:r>
      <w:r>
        <w:t xml:space="preserve"> </w:t>
      </w:r>
      <m:oMath>
        <m:r>
          <m:t>σ</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when using a high</w:t>
      </w:r>
      <w:r>
        <w:t xml:space="preserve"> </w:t>
      </w:r>
      <m:oMath>
        <m:r>
          <m:t>σ</m:t>
        </m:r>
      </m:oMath>
      <w:r>
        <w:t xml:space="preserve"> </w:t>
      </w:r>
      <w:r>
        <w:t xml:space="preserve">value using the 7 and 30 day optimization periods. A similar, but smaller effect is seen for the</w:t>
      </w:r>
      <w:r>
        <w:t xml:space="preserve"> </w:t>
      </w:r>
      <m:oMath>
        <m:r>
          <m:t>σ</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using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method or the input time series, were positive and significantly correlated, as expected. The intercept values were all significant, excluding P with the observed dissolved oxygen, suggesting some level of bias when comparing metabolic estimates between the methods. The slope estimates for R and D were significantly different for metabolic estimates from the observed dissolved oxygen, where all but R were significantly different using the detided dissolved oxygen. The RMSE values of each regression comparing the metabolic estimates between methods were generally lower in the detided results, excluding D which was higher with the detided dissolved oxygen relative to the observed. This result suggests that detiding the time series produces more comparable metabolic estimates between methods.</w:t>
      </w:r>
    </w:p>
    <w:p>
      <w:pPr>
        <w:pStyle w:val="BodyText"/>
      </w:pPr>
      <w:r>
        <w:t xml:space="preserve">As noted in the previous paragraph, metabolic estimates between the methods were generally more similar based on RMSE results using the detided dissolved oxygen time series (</w:t>
      </w:r>
      <w:hyperlink w:anchor="fig-apacmpfig">
        <w:r>
          <w:rPr>
            <w:rStyle w:val="Hyperlink"/>
          </w:rPr>
          <w:t xml:space="preserve">Figure 6</w:t>
        </w:r>
      </w:hyperlink>
      <w:r>
        <w:t xml:space="preserve">b) than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 and positive values for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Overall, the results suggest that detiding the dissolved oxygen time series prior to estimating metabolic rates produces more stable estimates with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d6ccf7f-1ef2-46bb-8d0d-eb36f1f6bffd"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d6ccf7f-1ef2-46bb-8d0d-eb36f1f6bffd"/>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e394df6-d130-4bb9-a8dd-331fe15ee216"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e394df6-d130-4bb9-a8dd-331fe15ee216"/>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2023-04-18T20:36:57Z</dcterms:created>
  <dcterms:modified xsi:type="dcterms:W3CDTF">2023-04-18T20:36:57Z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