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9.png" ContentType="image/png"/>
  <Override PartName="/word/media/rId149.png" ContentType="image/png"/>
  <Override PartName="/word/media/rId157.png" ContentType="image/png"/>
  <Override PartName="/word/media/rId153.png" ContentType="image/png"/>
  <Override PartName="/word/media/rId141.png" ContentType="image/png"/>
  <Override PartName="/word/media/rId145.png" ContentType="image/png"/>
  <Override PartName="/word/media/rId161.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3"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w:t>
      </w:r>
      <w:r>
        <w:t xml:space="preserve">and the results herein provide practical suggestions for use of the software on novel datasets.</w:t>
      </w:r>
    </w:p>
    <w:bookmarkEnd w:id="23"/>
    <w:bookmarkStart w:id="34"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4"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4"/>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(ingassing) or negative (outgassing).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5"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5"/>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9"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While both assume that gas exchange is proportional to the concentration gradient across the air–water interface, the treatments of the proportionality differ.</w:t>
      </w:r>
      <w:r>
        <w:t xml:space="preserve"> </w:t>
      </w:r>
      <w:r>
        <w:t xml:space="preserve">Grace et al. (2015)</w:t>
      </w:r>
      <w:r>
        <w:t xml:space="preserve"> </w:t>
      </w:r>
      <w:r>
        <w:t xml:space="preserve">used the following for the volumetric gas flux (</w:t>
      </w:r>
      <m:oMath>
        <m:r>
          <m:t>D</m:t>
        </m:r>
        <m:r>
          <m:t>v</m:t>
        </m:r>
        <m:r>
          <m:t>o</m:t>
        </m:r>
        <m:r>
          <m:t>l</m:t>
        </m:r>
      </m:oMath>
      <w:r>
        <w:t xml:space="preserve">) in BASE:</w:t>
      </w:r>
    </w:p>
    <w:p>
      <w:pPr>
        <w:pStyle w:val="BodyText"/>
      </w:pPr>
      <w:bookmarkStart w:id="26" w:name="eq-gasexbase"/>
      <m:oMathPara>
        <m:oMathParaPr>
          <m:jc m:val="center"/>
        </m:oMathParaPr>
        <m:oMath>
          <m:r>
            <m:t>D</m:t>
          </m:r>
          <m:r>
            <m:t>v</m:t>
          </m:r>
          <m:r>
            <m:t>o</m:t>
          </m:r>
          <m:r>
            <m:t>l</m:t>
          </m:r>
          <m:r>
            <m:rPr>
              <m:sty m:val="p"/>
            </m:rPr>
            <m:t>=</m:t>
          </m:r>
          <m:d>
            <m:dPr>
              <m:begChr m:val="["/>
              <m:endChr m:val="]"/>
              <m:sepChr m:val=""/>
              <m:grow/>
            </m:dPr>
            <m:e>
              <m:r>
                <m:t> </m:t>
              </m:r>
              <m:r>
                <m:t>K</m:t>
              </m:r>
              <m:r>
                <m:rPr>
                  <m:sty m:val="p"/>
                </m:rPr>
                <m:t>⋅</m:t>
              </m:r>
              <m:sSup>
                <m:e>
                  <m:r>
                    <m:t>1.024</m:t>
                  </m:r>
                </m:e>
                <m:sup>
                  <m:d>
                    <m:dPr>
                      <m:begChr m:val="("/>
                      <m:endChr m:val=")"/>
                      <m:sepChr m:val=""/>
                      <m:grow/>
                    </m:dPr>
                    <m:e>
                      <m:r>
                        <m:t>T</m:t>
                      </m:r>
                      <m:r>
                        <m:rPr>
                          <m:sty m:val="p"/>
                        </m:rPr>
                        <m:t>−</m:t>
                      </m:r>
                      <m:acc>
                        <m:accPr>
                          <m:chr m:val="‾"/>
                        </m:accPr>
                        <m:e>
                          <m:r>
                            <m:t>T</m:t>
                          </m:r>
                        </m:e>
                      </m:acc>
                    </m:e>
                  </m:d>
                </m:sup>
              </m:sSup>
              <m:d>
                <m:dPr>
                  <m:begChr m:val="("/>
                  <m:endChr m:val=")"/>
                  <m:sepChr m:val=""/>
                  <m:grow/>
                </m:dPr>
                <m:e>
                  <m:sSub>
                    <m:e>
                      <m:r>
                        <m:t>C</m:t>
                      </m:r>
                    </m:e>
                    <m:sub>
                      <m:r>
                        <m:t>s</m:t>
                      </m:r>
                      <m:r>
                        <m:t>a</m:t>
                      </m:r>
                      <m:r>
                        <m:t>t</m:t>
                      </m:r>
                    </m:sub>
                  </m:sSub>
                  <m:r>
                    <m:rPr>
                      <m:sty m:val="p"/>
                    </m:rPr>
                    <m:t>−</m:t>
                  </m:r>
                  <m:r>
                    <m:t>C</m:t>
                  </m:r>
                </m:e>
              </m:d>
            </m:e>
          </m:d>
          <m:r>
            <m:t> </m:t>
          </m:r>
          <m:r>
            <m:t>  </m:t>
          </m:r>
          <m:d>
            <m:dPr>
              <m:begChr m:val="("/>
              <m:endChr m:val=")"/>
              <m:sepChr m:val=""/>
              <m:grow/>
            </m:dPr>
            <m:e>
              <m:r>
                <m:t>3</m:t>
              </m:r>
            </m:e>
          </m:d>
        </m:oMath>
      </m:oMathPara>
      <w:bookmarkEnd w:id="26"/>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w:t>
      </w:r>
      <w:r>
        <w:t xml:space="preserve"> </w:t>
      </w:r>
      <m:oMath>
        <m:r>
          <m:t>C</m:t>
        </m:r>
      </m:oMath>
      <w:r>
        <w:t xml:space="preserve"> </w:t>
      </w:r>
      <w:r>
        <w:t xml:space="preserve">is the measured dissolved oxygen, and</w:t>
      </w:r>
      <w:r>
        <w:t xml:space="preserve"> </w:t>
      </w:r>
      <m:oMath>
        <m:sSub>
          <m:e>
            <m:r>
              <m:t>C</m:t>
            </m:r>
          </m:e>
          <m:sub>
            <m:r>
              <m:t>s</m:t>
            </m:r>
            <m:r>
              <m:t>a</m:t>
            </m:r>
            <m:r>
              <m:t>t</m:t>
            </m:r>
          </m:sub>
        </m:sSub>
      </m:oMath>
      <w:r>
        <w:t xml:space="preserve"> </w:t>
      </w:r>
      <w:r>
        <w:t xml:space="preserve">is the saturation concentration.</w:t>
      </w:r>
      <w:r>
        <w:t xml:space="preserve"> </w:t>
      </w:r>
      <m:oMath>
        <m:r>
          <m:t>K</m:t>
        </m:r>
      </m:oMath>
      <w:r>
        <w:t xml:space="preserve"> </w:t>
      </w:r>
      <w:r>
        <w:t xml:space="preserve">is the reaeration coefficient, which was estimated from the data. In EBASE, gas flux per unit surface area of the air-water interface is proportional to the concentration gradient, with the proportionality taken from the well-established wind- and temperature-based parameterization for gas exchange of</w:t>
      </w:r>
      <w:r>
        <w:t xml:space="preserve"> </w:t>
      </w:r>
      <w:r>
        <w:t xml:space="preserve">Wanninkhof (2014)</w:t>
      </w:r>
      <w:r>
        <w:t xml:space="preserve"> </w:t>
      </w:r>
      <w:r>
        <w:t xml:space="preserve">(see</w:t>
      </w:r>
      <w:r>
        <w:t xml:space="preserve"> </w:t>
      </w:r>
      <w:hyperlink w:anchor="eq-kw">
        <w:r>
          <w:rPr>
            <w:rStyle w:val="Hyperlink"/>
          </w:rPr>
          <w:t xml:space="preserve">Equation 2</w:t>
        </w:r>
      </w:hyperlink>
      <w:r>
        <w:t xml:space="preserve">). EBASE also allows</w:t>
      </w:r>
      <w:r>
        <w:t xml:space="preserve"> </w:t>
      </w:r>
      <m:oMath>
        <m:r>
          <m:t>b</m:t>
        </m:r>
      </m:oMath>
      <w:r>
        <w:t xml:space="preserve"> </w:t>
      </w:r>
      <w:r>
        <w:t xml:space="preserve">to be a free parameter that may reflect spatial and temporal variability in factors other than wind and temperature that may influence transfer velocity.</w:t>
      </w:r>
      <w:r>
        <w:t xml:space="preserve"> </w:t>
      </w:r>
      <w:r>
        <w:t xml:space="preserve">Wanninkhof (2014)</w:t>
      </w:r>
      <w:r>
        <w:t xml:space="preserve"> </w:t>
      </w:r>
      <w:r>
        <w:t xml:space="preserve">estimated a fixed</w:t>
      </w:r>
      <w:r>
        <w:t xml:space="preserve"> </w:t>
      </w:r>
      <m:oMath>
        <m:r>
          <m:t>b</m:t>
        </m:r>
      </m:oMath>
      <w:r>
        <w:t xml:space="preserve"> </w:t>
      </w:r>
      <w:r>
        <w:t xml:space="preserve">parameter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similar to the R package available for BASE (</w:t>
      </w:r>
      <w:hyperlink r:id="rId27">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w:t>
      </w:r>
      <w:hyperlink r:id="rId22">
        <w:r>
          <w:rPr>
            <w:rStyle w:val="Hyperlink"/>
          </w:rPr>
          <w:t xml:space="preserve">v1.0.1</w:t>
        </w:r>
      </w:hyperlink>
      <w:r>
        <w:t xml:space="preserve">, specific materials for this manuscript can be found at</w:t>
      </w:r>
      <w:r>
        <w:t xml:space="preserve"> </w:t>
      </w:r>
      <w:hyperlink r:id="rId28">
        <w:r>
          <w:rPr>
            <w:rStyle w:val="Hyperlink"/>
          </w:rPr>
          <w:t xml:space="preserve">https://github.com/fawda123/ebase-manu</w:t>
        </w:r>
      </w:hyperlink>
      <w:r>
        <w:t xml:space="preserve">).</w:t>
      </w:r>
    </w:p>
    <w:bookmarkEnd w:id="29"/>
    <w:bookmarkStart w:id="33"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30"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30"/>
    </w:p>
    <w:p>
      <w:pPr>
        <w:pStyle w:val="FirstParagraph"/>
      </w:pPr>
      <w:bookmarkStart w:id="31"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1"/>
    </w:p>
    <w:p>
      <w:pPr>
        <w:pStyle w:val="FirstParagraph"/>
      </w:pPr>
      <w:bookmarkStart w:id="32"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2"/>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3"/>
    <w:bookmarkEnd w:id="34"/>
    <w:bookmarkStart w:id="41" w:name="assessment"/>
    <w:p>
      <w:pPr>
        <w:pStyle w:val="Heading2"/>
      </w:pPr>
      <w:r>
        <w:t xml:space="preserve">Assessment</w:t>
      </w:r>
    </w:p>
    <w:bookmarkStart w:id="39"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5"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5"/>
    <w:bookmarkStart w:id="37"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6"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6"/>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7"/>
    <w:bookmarkStart w:id="38"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8"/>
    <w:bookmarkEnd w:id="39"/>
    <w:bookmarkStart w:id="40"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40"/>
    <w:bookmarkEnd w:id="41"/>
    <w:bookmarkStart w:id="42"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2024)</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2"/>
    <w:bookmarkStart w:id="43"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3"/>
    <w:bookmarkStart w:id="139" w:name="references"/>
    <w:p>
      <w:pPr>
        <w:pStyle w:val="Heading2"/>
      </w:pPr>
      <w:r>
        <w:t xml:space="preserve">References</w:t>
      </w:r>
    </w:p>
    <w:bookmarkStart w:id="138" w:name="refs"/>
    <w:bookmarkStart w:id="45"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4">
        <w:r>
          <w:rPr>
            <w:rStyle w:val="Hyperlink"/>
          </w:rPr>
          <w:t xml:space="preserve">10.1007/bf02532251</w:t>
        </w:r>
      </w:hyperlink>
    </w:p>
    <w:bookmarkEnd w:id="45"/>
    <w:bookmarkStart w:id="47"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6">
        <w:r>
          <w:rPr>
            <w:rStyle w:val="Hyperlink"/>
          </w:rPr>
          <w:t xml:space="preserve">10.1002/2017jg004140</w:t>
        </w:r>
      </w:hyperlink>
    </w:p>
    <w:bookmarkEnd w:id="47"/>
    <w:bookmarkStart w:id="48" w:name="ref-Beck23a"/>
    <w:p>
      <w:pPr>
        <w:pStyle w:val="Bibliography"/>
      </w:pPr>
      <w:r>
        <w:t xml:space="preserve">Beck, M. W. 2023. WtRegDO: Implement weighted regression on dissolved oxygen time series,.</w:t>
      </w:r>
    </w:p>
    <w:bookmarkEnd w:id="48"/>
    <w:bookmarkStart w:id="50"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9">
        <w:r>
          <w:rPr>
            <w:rStyle w:val="Hyperlink"/>
          </w:rPr>
          <w:t xml:space="preserve">10.1002/lom3.10062</w:t>
        </w:r>
      </w:hyperlink>
    </w:p>
    <w:bookmarkEnd w:id="50"/>
    <w:bookmarkStart w:id="51" w:name="ref-Beck24"/>
    <w:p>
      <w:pPr>
        <w:pStyle w:val="Bibliography"/>
      </w:pPr>
      <w:r>
        <w:t xml:space="preserve">Beck, M. W., M. Herrmann, J. Arriola, and R. Najjar. 2024.</w:t>
      </w:r>
      <w:r>
        <w:t xml:space="preserve"> </w:t>
      </w:r>
      <w:r>
        <w:t xml:space="preserve">EBASE: Estuarine Bayesian Single-Station Estimation Method for Ecosystem Metabolism</w:t>
      </w:r>
      <w:r>
        <w:t xml:space="preserve">,.</w:t>
      </w:r>
    </w:p>
    <w:bookmarkEnd w:id="51"/>
    <w:bookmarkStart w:id="53"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2">
        <w:r>
          <w:rPr>
            <w:rStyle w:val="Hyperlink"/>
          </w:rPr>
          <w:t xml:space="preserve">10.1146/annurev-marine-042121-012329</w:t>
        </w:r>
      </w:hyperlink>
    </w:p>
    <w:bookmarkEnd w:id="53"/>
    <w:bookmarkStart w:id="55" w:name="ref-Borges11"/>
    <w:p>
      <w:pPr>
        <w:pStyle w:val="Bibliography"/>
      </w:pPr>
      <w:r>
        <w:t xml:space="preserve">Borges, A. V., and G. Abril. 2011.</w:t>
      </w:r>
      <w:r>
        <w:t xml:space="preserve"> </w:t>
      </w:r>
      <w:hyperlink r:id="rId54">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5"/>
    <w:bookmarkStart w:id="57"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6">
        <w:r>
          <w:rPr>
            <w:rStyle w:val="Hyperlink"/>
          </w:rPr>
          <w:t xml:space="preserve">10.1016/s0304-3800(01)00328-3</w:t>
        </w:r>
      </w:hyperlink>
    </w:p>
    <w:bookmarkEnd w:id="57"/>
    <w:bookmarkStart w:id="59"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8">
        <w:r>
          <w:rPr>
            <w:rStyle w:val="Hyperlink"/>
          </w:rPr>
          <w:t xml:space="preserve">10.1038/s41598-017-05031-7</w:t>
        </w:r>
      </w:hyperlink>
    </w:p>
    <w:bookmarkEnd w:id="59"/>
    <w:bookmarkStart w:id="61" w:name="ref-caffrey2003"/>
    <w:p>
      <w:pPr>
        <w:pStyle w:val="Bibliography"/>
      </w:pPr>
      <w:r>
        <w:t xml:space="preserve">Caffrey, J. M. 2003.</w:t>
      </w:r>
      <w:r>
        <w:t xml:space="preserve"> </w:t>
      </w:r>
      <w:hyperlink r:id="rId60">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1"/>
    <w:bookmarkStart w:id="63"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2">
        <w:r>
          <w:rPr>
            <w:rStyle w:val="Hyperlink"/>
          </w:rPr>
          <w:t xml:space="preserve">10.1007/bf02803563</w:t>
        </w:r>
      </w:hyperlink>
    </w:p>
    <w:bookmarkEnd w:id="63"/>
    <w:bookmarkStart w:id="65"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4">
        <w:r>
          <w:rPr>
            <w:rStyle w:val="Hyperlink"/>
          </w:rPr>
          <w:t xml:space="preserve">10.1146/annurev-marine-120709-142723</w:t>
        </w:r>
      </w:hyperlink>
    </w:p>
    <w:bookmarkEnd w:id="65"/>
    <w:bookmarkStart w:id="67"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6">
        <w:r>
          <w:rPr>
            <w:rStyle w:val="Hyperlink"/>
          </w:rPr>
          <w:t xml:space="preserve">10.5194/bg-11-2477-2014</w:t>
        </w:r>
      </w:hyperlink>
    </w:p>
    <w:bookmarkEnd w:id="67"/>
    <w:bookmarkStart w:id="69"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8">
        <w:r>
          <w:rPr>
            <w:rStyle w:val="Hyperlink"/>
          </w:rPr>
          <w:t xml:space="preserve">10.1029/2007jc004663</w:t>
        </w:r>
      </w:hyperlink>
    </w:p>
    <w:bookmarkEnd w:id="69"/>
    <w:bookmarkStart w:id="71" w:name="ref-frew1997"/>
    <w:p>
      <w:pPr>
        <w:pStyle w:val="Bibliography"/>
      </w:pPr>
      <w:r>
        <w:t xml:space="preserve">Frew, N. M. 1997.</w:t>
      </w:r>
      <w:r>
        <w:t xml:space="preserve"> </w:t>
      </w:r>
      <w:hyperlink r:id="rId70">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1"/>
    <w:bookmarkStart w:id="73"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2">
        <w:r>
          <w:rPr>
            <w:rStyle w:val="Hyperlink"/>
          </w:rPr>
          <w:t xml:space="preserve">10.4319/lo.1992.37.6.1307</w:t>
        </w:r>
      </w:hyperlink>
    </w:p>
    <w:bookmarkEnd w:id="73"/>
    <w:bookmarkStart w:id="75"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4">
        <w:r>
          <w:rPr>
            <w:rStyle w:val="Hyperlink"/>
          </w:rPr>
          <w:t xml:space="preserve">10.3354/meps301023</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8" w:name="ref-Hilborn13"/>
    <w:p>
      <w:pPr>
        <w:pStyle w:val="Bibliography"/>
      </w:pPr>
      <w:r>
        <w:t xml:space="preserve">Hilborn, R., and M. Mangel. 2013. The ecological detective: Confronting models with data, Princeton University Press.</w:t>
      </w:r>
    </w:p>
    <w:bookmarkEnd w:id="78"/>
    <w:bookmarkStart w:id="80"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9">
        <w:r>
          <w:rPr>
            <w:rStyle w:val="Hyperlink"/>
          </w:rPr>
          <w:t xml:space="preserve">10.1002/2016GL068727</w:t>
        </w:r>
      </w:hyperlink>
    </w:p>
    <w:bookmarkEnd w:id="80"/>
    <w:bookmarkStart w:id="82"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1">
        <w:r>
          <w:rPr>
            <w:rStyle w:val="Hyperlink"/>
          </w:rPr>
          <w:t xml:space="preserve">10.4319/lo.2013.58.6.2089</w:t>
        </w:r>
      </w:hyperlink>
    </w:p>
    <w:bookmarkEnd w:id="82"/>
    <w:bookmarkStart w:id="8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3">
        <w:r>
          <w:rPr>
            <w:rStyle w:val="Hyperlink"/>
          </w:rPr>
          <w:t xml:space="preserve">10.4319/lo.2010.55.3.1047</w:t>
        </w:r>
      </w:hyperlink>
    </w:p>
    <w:bookmarkEnd w:id="84"/>
    <w:bookmarkStart w:id="86" w:name="ref-hopkinson2005"/>
    <w:p>
      <w:pPr>
        <w:pStyle w:val="Bibliography"/>
      </w:pPr>
      <w:r>
        <w:t xml:space="preserve">Hopkinson, C. S., and E. M. Smith. 2005.</w:t>
      </w:r>
      <w:r>
        <w:t xml:space="preserve"> </w:t>
      </w:r>
      <w:hyperlink r:id="rId85">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6"/>
    <w:bookmarkStart w:id="88"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7">
        <w:r>
          <w:rPr>
            <w:rStyle w:val="Hyperlink"/>
          </w:rPr>
          <w:t xml:space="preserve">10.1016/j.marchem.2005.03.008</w:t>
        </w:r>
      </w:hyperlink>
    </w:p>
    <w:bookmarkEnd w:id="88"/>
    <w:bookmarkStart w:id="90"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9">
        <w:r>
          <w:rPr>
            <w:rStyle w:val="Hyperlink"/>
          </w:rPr>
          <w:t xml:space="preserve">10.1016/j.agrformet.2003.10.001</w:t>
        </w:r>
      </w:hyperlink>
    </w:p>
    <w:bookmarkEnd w:id="90"/>
    <w:bookmarkStart w:id="92"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1">
        <w:r>
          <w:rPr>
            <w:rStyle w:val="Hyperlink"/>
          </w:rPr>
          <w:t xml:space="preserve">10.1016/s0302-3524(80)80065-x</w:t>
        </w:r>
      </w:hyperlink>
    </w:p>
    <w:bookmarkEnd w:id="92"/>
    <w:bookmarkStart w:id="94" w:name="ref-kemp2011"/>
    <w:p>
      <w:pPr>
        <w:pStyle w:val="Bibliography"/>
      </w:pPr>
      <w:r>
        <w:t xml:space="preserve">Kemp, W. M., and J. M. Testa. 2011.</w:t>
      </w:r>
      <w:r>
        <w:t xml:space="preserve"> </w:t>
      </w:r>
      <w:hyperlink r:id="rId93">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4"/>
    <w:bookmarkStart w:id="96"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5">
        <w:r>
          <w:rPr>
            <w:rStyle w:val="Hyperlink"/>
          </w:rPr>
          <w:t xml:space="preserve">10.1175/1520-0477(1997)078&lt;0197:eagmeb&gt;2.0.co;2</w:t>
        </w:r>
      </w:hyperlink>
    </w:p>
    <w:bookmarkEnd w:id="96"/>
    <w:bookmarkStart w:id="98"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7">
        <w:r>
          <w:rPr>
            <w:rStyle w:val="Hyperlink"/>
          </w:rPr>
          <w:t xml:space="preserve">10.1016/j.marchem.2006.02.007</w:t>
        </w:r>
      </w:hyperlink>
    </w:p>
    <w:bookmarkEnd w:id="98"/>
    <w:bookmarkStart w:id="10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9">
        <w:r>
          <w:rPr>
            <w:rStyle w:val="Hyperlink"/>
          </w:rPr>
          <w:t xml:space="preserve">10.13031/2013.23153</w:t>
        </w:r>
      </w:hyperlink>
    </w:p>
    <w:bookmarkEnd w:id="100"/>
    <w:bookmarkStart w:id="10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1">
        <w:r>
          <w:rPr>
            <w:rStyle w:val="Hyperlink"/>
          </w:rPr>
          <w:t xml:space="preserve">10.1007/s12237-017-0328-9</w:t>
        </w:r>
      </w:hyperlink>
    </w:p>
    <w:bookmarkEnd w:id="102"/>
    <w:bookmarkStart w:id="10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3">
        <w:r>
          <w:rPr>
            <w:rStyle w:val="Hyperlink"/>
          </w:rPr>
          <w:t xml:space="preserve">10.1139/f01-082</w:t>
        </w:r>
      </w:hyperlink>
    </w:p>
    <w:bookmarkEnd w:id="104"/>
    <w:bookmarkStart w:id="10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5"/>
    <w:bookmarkStart w:id="107"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6">
        <w:r>
          <w:rPr>
            <w:rStyle w:val="Hyperlink"/>
          </w:rPr>
          <w:t xml:space="preserve">10.1002/2017gb005790</w:t>
        </w:r>
      </w:hyperlink>
    </w:p>
    <w:bookmarkEnd w:id="107"/>
    <w:bookmarkStart w:id="10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8">
        <w:r>
          <w:rPr>
            <w:rStyle w:val="Hyperlink"/>
          </w:rPr>
          <w:t xml:space="preserve">10.1016/0022-1694(70)90255-6</w:t>
        </w:r>
      </w:hyperlink>
    </w:p>
    <w:bookmarkEnd w:id="109"/>
    <w:bookmarkStart w:id="11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0">
        <w:r>
          <w:rPr>
            <w:rStyle w:val="Hyperlink"/>
          </w:rPr>
          <w:t xml:space="preserve">10.1007/s12237-013-9765-2</w:t>
        </w:r>
      </w:hyperlink>
    </w:p>
    <w:bookmarkEnd w:id="111"/>
    <w:bookmarkStart w:id="113"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2">
        <w:r>
          <w:rPr>
            <w:rStyle w:val="Hyperlink"/>
          </w:rPr>
          <w:t xml:space="preserve">http://www.nerrsdata.org</w:t>
        </w:r>
      </w:hyperlink>
      <w:r>
        <w:t xml:space="preserve">; accessed july 2023.</w:t>
      </w:r>
    </w:p>
    <w:bookmarkEnd w:id="113"/>
    <w:bookmarkStart w:id="11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4"/>
    <w:bookmarkStart w:id="11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5"/>
    <w:bookmarkStart w:id="117" w:name="ref-RCT23"/>
    <w:p>
      <w:pPr>
        <w:pStyle w:val="Bibliography"/>
      </w:pPr>
      <w:r>
        <w:t xml:space="preserve">R Core Team. 2023.</w:t>
      </w:r>
      <w:r>
        <w:t xml:space="preserve"> </w:t>
      </w:r>
      <w:hyperlink r:id="rId116">
        <w:r>
          <w:rPr>
            <w:rStyle w:val="Hyperlink"/>
          </w:rPr>
          <w:t xml:space="preserve">R: A language and environment for statistical computing</w:t>
        </w:r>
      </w:hyperlink>
      <w:r>
        <w:t xml:space="preserve">, R Foundation for Statistical Computing.</w:t>
      </w:r>
    </w:p>
    <w:bookmarkEnd w:id="117"/>
    <w:bookmarkStart w:id="11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8">
        <w:r>
          <w:rPr>
            <w:rStyle w:val="Hyperlink"/>
          </w:rPr>
          <w:t xml:space="preserve">10.1899/12-058.1</w:t>
        </w:r>
      </w:hyperlink>
    </w:p>
    <w:bookmarkEnd w:id="119"/>
    <w:bookmarkStart w:id="12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20">
        <w:r>
          <w:rPr>
            <w:rStyle w:val="Hyperlink"/>
          </w:rPr>
          <w:t xml:space="preserve">10.1007/bf02782974</w:t>
        </w:r>
      </w:hyperlink>
    </w:p>
    <w:bookmarkEnd w:id="121"/>
    <w:bookmarkStart w:id="123" w:name="ref-sarmiento2013"/>
    <w:p>
      <w:pPr>
        <w:pStyle w:val="Bibliography"/>
      </w:pPr>
      <w:r>
        <w:t xml:space="preserve">Sarmiento, J. L., and N. Gruber. 2013.</w:t>
      </w:r>
      <w:r>
        <w:t xml:space="preserve"> </w:t>
      </w:r>
      <w:hyperlink r:id="rId122">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5"/>
    <w:bookmarkStart w:id="12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6">
        <w:r>
          <w:rPr>
            <w:rStyle w:val="Hyperlink"/>
          </w:rPr>
          <w:t xml:space="preserve">10.1007/s00027-011-0199-2</w:t>
        </w:r>
      </w:hyperlink>
    </w:p>
    <w:bookmarkEnd w:id="127"/>
    <w:bookmarkStart w:id="12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8">
        <w:r>
          <w:rPr>
            <w:rStyle w:val="Hyperlink"/>
          </w:rPr>
          <w:t xml:space="preserve">10.1007/s12237-019-00526-0</w:t>
        </w:r>
      </w:hyperlink>
    </w:p>
    <w:bookmarkEnd w:id="129"/>
    <w:bookmarkStart w:id="13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0">
        <w:r>
          <w:rPr>
            <w:rStyle w:val="Hyperlink"/>
          </w:rPr>
          <w:t xml:space="preserve">10.1672/07-190.1</w:t>
        </w:r>
      </w:hyperlink>
    </w:p>
    <w:bookmarkEnd w:id="131"/>
    <w:bookmarkStart w:id="13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2">
        <w:r>
          <w:rPr>
            <w:rStyle w:val="Hyperlink"/>
          </w:rPr>
          <w:t xml:space="preserve">10.4319/lom.2014.12.351</w:t>
        </w:r>
      </w:hyperlink>
    </w:p>
    <w:bookmarkEnd w:id="133"/>
    <w:bookmarkStart w:id="13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4">
        <w:r>
          <w:rPr>
            <w:rStyle w:val="Hyperlink"/>
          </w:rPr>
          <w:t xml:space="preserve">10.1080/iw-6.4.883</w:t>
        </w:r>
      </w:hyperlink>
    </w:p>
    <w:bookmarkEnd w:id="135"/>
    <w:bookmarkStart w:id="13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6">
        <w:r>
          <w:rPr>
            <w:rStyle w:val="Hyperlink"/>
          </w:rPr>
          <w:t xml:space="preserve">10.1038/nature11205</w:t>
        </w:r>
      </w:hyperlink>
    </w:p>
    <w:bookmarkEnd w:id="137"/>
    <w:bookmarkEnd w:id="138"/>
    <w:bookmarkEnd w:id="139"/>
    <w:bookmarkStart w:id="1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0"/>
    <w:bookmarkStart w:id="173"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4" w:name="fig-priorplot"/>
          <w:p>
            <w:pPr>
              <w:pStyle w:val="Compact"/>
              <w:jc w:val="center"/>
            </w:pPr>
            <w:r>
              <w:drawing>
                <wp:inline>
                  <wp:extent cx="5943600" cy="2286000"/>
                  <wp:effectExtent b="0" l="0" r="0" t="0"/>
                  <wp:docPr descr="" title="" id="142" name="Picture"/>
                  <a:graphic>
                    <a:graphicData uri="http://schemas.openxmlformats.org/drawingml/2006/picture">
                      <pic:pic>
                        <pic:nvPicPr>
                          <pic:cNvPr descr="figs/priorplot.png" id="143" name="Picture"/>
                          <pic:cNvPicPr>
                            <a:picLocks noChangeArrowheads="1" noChangeAspect="1"/>
                          </pic:cNvPicPr>
                        </pic:nvPicPr>
                        <pic:blipFill>
                          <a:blip r:embed="rId141"/>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8" w:name="fig-synapa"/>
          <w:p>
            <w:pPr>
              <w:pStyle w:val="Compact"/>
              <w:jc w:val="center"/>
            </w:pPr>
            <w:r>
              <w:drawing>
                <wp:inline>
                  <wp:extent cx="5943600" cy="5943600"/>
                  <wp:effectExtent b="0" l="0" r="0" t="0"/>
                  <wp:docPr descr="" title="" id="146" name="Picture"/>
                  <a:graphic>
                    <a:graphicData uri="http://schemas.openxmlformats.org/drawingml/2006/picture">
                      <pic:pic>
                        <pic:nvPicPr>
                          <pic:cNvPr descr="figs/synapa.png" id="147"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2" w:name="fig-defplo"/>
          <w:p>
            <w:pPr>
              <w:pStyle w:val="Compact"/>
              <w:jc w:val="center"/>
            </w:pPr>
            <w:r>
              <w:drawing>
                <wp:inline>
                  <wp:extent cx="5943600" cy="5943600"/>
                  <wp:effectExtent b="0" l="0" r="0" t="0"/>
                  <wp:docPr descr="" title="" id="150" name="Picture"/>
                  <a:graphic>
                    <a:graphicData uri="http://schemas.openxmlformats.org/drawingml/2006/picture">
                      <pic:pic>
                        <pic:nvPicPr>
                          <pic:cNvPr descr="figs/defplo.png" id="151"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6" w:name="fig-priorcomp"/>
          <w:p>
            <w:pPr>
              <w:pStyle w:val="Compact"/>
              <w:jc w:val="center"/>
            </w:pPr>
            <w:r>
              <w:drawing>
                <wp:inline>
                  <wp:extent cx="5497394" cy="3664929"/>
                  <wp:effectExtent b="0" l="0" r="0" t="0"/>
                  <wp:docPr descr="" title="" id="154" name="Picture"/>
                  <a:graphic>
                    <a:graphicData uri="http://schemas.openxmlformats.org/drawingml/2006/picture">
                      <pic:pic>
                        <pic:nvPicPr>
                          <pic:cNvPr descr="figs/priorcomp.png" id="155" name="Picture"/>
                          <pic:cNvPicPr>
                            <a:picLocks noChangeArrowheads="1" noChangeAspect="1"/>
                          </pic:cNvPicPr>
                        </pic:nvPicPr>
                        <pic:blipFill>
                          <a:blip r:embed="rId153"/>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0" w:name="fig-optex"/>
          <w:p>
            <w:pPr>
              <w:pStyle w:val="Compact"/>
              <w:jc w:val="center"/>
            </w:pPr>
            <w:r>
              <w:drawing>
                <wp:inline>
                  <wp:extent cx="5943600" cy="5283200"/>
                  <wp:effectExtent b="0" l="0" r="0" t="0"/>
                  <wp:docPr descr="" title="" id="158" name="Picture"/>
                  <a:graphic>
                    <a:graphicData uri="http://schemas.openxmlformats.org/drawingml/2006/picture">
                      <pic:pic>
                        <pic:nvPicPr>
                          <pic:cNvPr descr="figs/optex.png" id="159" name="Picture"/>
                          <pic:cNvPicPr>
                            <a:picLocks noChangeArrowheads="1" noChangeAspect="1"/>
                          </pic:cNvPicPr>
                        </pic:nvPicPr>
                        <pic:blipFill>
                          <a:blip r:embed="rId157"/>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4" w:name="fig-synapanos"/>
          <w:p>
            <w:pPr>
              <w:pStyle w:val="Compact"/>
              <w:jc w:val="center"/>
            </w:pPr>
            <w:r>
              <w:drawing>
                <wp:inline>
                  <wp:extent cx="5943600" cy="4457700"/>
                  <wp:effectExtent b="0" l="0" r="0" t="0"/>
                  <wp:docPr descr="" title="" id="162" name="Picture"/>
                  <a:graphic>
                    <a:graphicData uri="http://schemas.openxmlformats.org/drawingml/2006/picture">
                      <pic:pic>
                        <pic:nvPicPr>
                          <pic:cNvPr descr="figs/synapanos.png" id="163" name="Picture"/>
                          <pic:cNvPicPr>
                            <a:picLocks noChangeArrowheads="1" noChangeAspect="1"/>
                          </pic:cNvPicPr>
                        </pic:nvPicPr>
                        <pic:blipFill>
                          <a:blip r:embed="rId1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8" w:name="fig-synapanoscmp"/>
          <w:p>
            <w:pPr>
              <w:pStyle w:val="Compact"/>
              <w:jc w:val="center"/>
            </w:pPr>
            <w:r>
              <w:drawing>
                <wp:inline>
                  <wp:extent cx="5943600" cy="4669971"/>
                  <wp:effectExtent b="0" l="0" r="0" t="0"/>
                  <wp:docPr descr="" title="" id="166" name="Picture"/>
                  <a:graphic>
                    <a:graphicData uri="http://schemas.openxmlformats.org/drawingml/2006/picture">
                      <pic:pic>
                        <pic:nvPicPr>
                          <pic:cNvPr descr="figs/synapanoscmp.png" id="167" name="Picture"/>
                          <pic:cNvPicPr>
                            <a:picLocks noChangeArrowheads="1" noChangeAspect="1"/>
                          </pic:cNvPicPr>
                        </pic:nvPicPr>
                        <pic:blipFill>
                          <a:blip r:embed="rId165"/>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2" w:name="fig-apacmpfig"/>
          <w:p>
            <w:pPr>
              <w:pStyle w:val="Compact"/>
              <w:jc w:val="center"/>
            </w:pPr>
            <w:r>
              <w:drawing>
                <wp:inline>
                  <wp:extent cx="3206813" cy="6413627"/>
                  <wp:effectExtent b="0" l="0" r="0" t="0"/>
                  <wp:docPr descr="" title="" id="170" name="Picture"/>
                  <a:graphic>
                    <a:graphicData uri="http://schemas.openxmlformats.org/drawingml/2006/picture">
                      <pic:pic>
                        <pic:nvPicPr>
                          <pic:cNvPr descr="figs/apacmpfig.png" id="171" name="Picture"/>
                          <pic:cNvPicPr>
                            <a:picLocks noChangeArrowheads="1" noChangeAspect="1"/>
                          </pic:cNvPicPr>
                        </pic:nvPicPr>
                        <pic:blipFill>
                          <a:blip r:embed="rId169"/>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2"/>
        </w:tc>
      </w:tr>
    </w:tbl>
    <w:p>
      <w:r>
        <w:br w:type="page"/>
      </w:r>
    </w:p>
    <w:bookmarkEnd w:id="173"/>
    <w:bookmarkStart w:id="17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4"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5"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5"/>
          <w:p/>
        </w:tc>
      </w:tr>
    </w:tbl>
    <w:bookmarkEnd w:id="176"/>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9" Target="media/rId169.png" /><Relationship Type="http://schemas.openxmlformats.org/officeDocument/2006/relationships/image" Id="rId149" Target="media/rId149.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2024-03-22T12:43:19Z</dcterms:created>
  <dcterms:modified xsi:type="dcterms:W3CDTF">2024-03-22T12:43:19Z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