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9.png" ContentType="image/png"/>
  <Override PartName="/word/media/rId57.png" ContentType="image/png"/>
  <Override PartName="/word/media/rId49.png" ContentType="image/png"/>
  <Override PartName="/word/media/rId41.png" ContentType="image/png"/>
  <Override PartName="/word/media/rId53.png" ContentType="image/png"/>
  <Override PartName="/word/media/rId45.png" ContentType="image/png"/>
  <Override PartName="/word/media/rId61.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1) using a linear relationship between irradiance and production, 2) removing the temperature-dependency of respiration, and 3) applying a wind-based gas exchange formula for open water systems. Moreover, the approach uses a Bayesian framework where critical model parameters are fit as a function of the data and informed using a set of prior distributions.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 Bayesian, dissolved oxygen, ecosystem metabolism, estuary, gas exchange, open source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(P) and ecosystem respiration (R)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accounting for changing spectral light quality with depth, and choosing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 and R.</w:t>
      </w:r>
      <w:r>
        <w:t xml:space="preserve"> </w:t>
      </w:r>
      <w:r>
        <w:t xml:space="preserve">Cloern et al. (2014)</w:t>
      </w:r>
      <w:r>
        <w:t xml:space="preserve"> </w:t>
      </w:r>
      <w:r>
        <w:t xml:space="preserve">found that annual phytoplankton primary production can vary 10-fold within an estuary and up to 5-fold from year-to-year.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 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approach exploits the diel cycle of dissolved oxygen and allows the simultaneous determination of whole-system gross primary production (net primary production + autotrophic respiration), ecosystem respiration (equals heterotrophic + autotrophic respiration), and NEM (equals P-R).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challenge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 Estimating gas exchange using the open-water method in estuaries has also been challenging. Most approaches estimate gas exchange using empirical formula dependent on wind speed and temperature or held at a constant value</w:t>
      </w:r>
      <w:r>
        <w:t xml:space="preserve"> </w:t>
      </w:r>
      <w:r>
        <w:t xml:space="preserve">(e.g., Caffrey 2004; Russell and Montagna 2007; Nagel et al. 2009; Beck et al. 2015; Murrell et al. 2018)</w:t>
      </w:r>
      <w:r>
        <w:t xml:space="preserve">. Gas exchange is a first-order process in the estuarine dissolved oxygen budget and, therefore, inaccurate estimations based on empirical formula or fixed values can lead to poorly constrained errors that influence interpretation of results.</w:t>
      </w:r>
    </w:p>
    <w:p>
      <w:pPr>
        <w:pStyle w:val="BodyText"/>
      </w:pPr>
      <w:r>
        <w:t xml:space="preserve">A unified model to explain the large variability of metabolic rates within and across estuaries is clearly lacking as a critical tool for understanding metabolic processes. Bayesian techniques have not been fully explored in estuarine applications despite their potential to address the above</w:t>
      </w:r>
      <w:r>
        <w:t xml:space="preserve"> </w:t>
      </w:r>
      <w:r>
        <w:t xml:space="preserve">(although see Ciavatta et al. 2008)</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gas exchange, P, and R parameters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ecosystem respiration, net ecosystem metabolism, and the gas exchange (D)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d>
            <m:dPr>
              <m:begChr m:val="["/>
              <m:endChr m:val="]"/>
              <m:sepChr m:val=""/>
              <m:grow/>
            </m:dPr>
            <m:e>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1</m:t>
              </m:r>
            </m:e>
          </m:d>
        </m:oMath>
      </m:oMathPara>
      <w:bookmarkEnd w:id="23"/>
    </w:p>
    <w:p>
      <w:pPr>
        <w:pStyle w:val="FirstParagraph"/>
      </w:pPr>
      <w:r>
        <w:t xml:space="preserve">where the terms on the right side of the equation are gross primary production (P or</w:t>
      </w:r>
      <w:r>
        <w:t xml:space="preserve"> </w:t>
      </w:r>
      <m:oMath>
        <m:r>
          <m:t>a</m:t>
        </m:r>
        <m:r>
          <m:t>P</m:t>
        </m:r>
        <m:r>
          <m:t>A</m:t>
        </m:r>
        <m:r>
          <m:t>R</m:t>
        </m:r>
      </m:oMath>
      <w:r>
        <w:t xml:space="preserve">), ecosystem respiration (R), and gas exchange (D, remainder), respectively, modeled as a function of the change in dissolved oxygen (</w:t>
      </w:r>
      <m:oMath>
        <m:r>
          <m:t>d</m:t>
        </m:r>
        <m:r>
          <m:t>C</m:t>
        </m:r>
      </m:oMath>
      <w:r>
        <w:t xml:space="preserve">) per unit time (</w:t>
      </w:r>
      <m:oMath>
        <m:r>
          <m:t>d</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r>
          <m:t>S</m:t>
        </m:r>
        <m:r>
          <m:t>c</m:t>
        </m:r>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t>d</m:t>
              </m:r>
              <m:r>
                <m:t>C</m:t>
              </m:r>
            </m:num>
            <m:den>
              <m:r>
                <m:t>d</m:t>
              </m:r>
              <m:r>
                <m:t>t</m:t>
              </m:r>
            </m:den>
          </m:f>
          <m:r>
            <m:rPr>
              <m:sty m:val="p"/>
            </m:rPr>
            <m:t>=</m:t>
          </m:r>
          <m:r>
            <m:t>a</m:t>
          </m:r>
          <m:r>
            <m:t>P</m:t>
          </m:r>
          <m:r>
            <m:t>A</m:t>
          </m:r>
          <m:sSup>
            <m:e>
              <m:r>
                <m:t>R</m:t>
              </m:r>
            </m:e>
            <m:sup>
              <m:r>
                <m:t>p</m:t>
              </m:r>
            </m:sup>
          </m:sSup>
          <m:r>
            <m:rPr>
              <m:sty m:val="p"/>
            </m:rPr>
            <m:t>−</m:t>
          </m:r>
          <m:r>
            <m:t>r</m:t>
          </m:r>
          <m:sSup>
            <m:e>
              <m:r>
                <m:t>Θ</m:t>
              </m:r>
            </m:e>
            <m:sup>
              <m:r>
                <m:t>T</m:t>
              </m:r>
              <m:r>
                <m:rPr>
                  <m:sty m:val="p"/>
                </m:rPr>
                <m:t>−</m:t>
              </m:r>
              <m:acc>
                <m:accPr>
                  <m:chr m:val="‾"/>
                </m:accPr>
                <m:e>
                  <m:r>
                    <m:t>T</m:t>
                  </m:r>
                </m:e>
              </m:acc>
            </m:sup>
          </m:sSup>
          <m:r>
            <m:rPr>
              <m:sty m:val="p"/>
            </m:rPr>
            <m:t>+</m:t>
          </m:r>
          <m:d>
            <m:dPr>
              <m:begChr m:val="["/>
              <m:endChr m:val="]"/>
              <m:sepChr m:val=""/>
              <m:grow/>
            </m:dPr>
            <m:e>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2</m:t>
              </m:r>
            </m:e>
          </m:d>
        </m:oMath>
      </m:oMathPara>
      <w:bookmarkEnd w:id="24"/>
    </w:p>
    <w:bookmarkStart w:id="27" w:name="sec-basemodif"/>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difference across the thin film can be approximated as the difference between oxygen concentration measured in the surface water layer,</w:t>
      </w:r>
      <w:r>
        <w:t xml:space="preserve"> </w:t>
      </w:r>
      <m:oMath>
        <m:r>
          <m:t>C</m:t>
        </m:r>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 Murrell et al. 2018)</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2023; R Core Team 2023)</w:t>
      </w:r>
      <w:r>
        <w:t xml:space="preserve"> </w:t>
      </w:r>
      <w:r>
        <w:t xml:space="preserve">to estimate the unknown parameters using Markov Chain Monte Carlo (MCMC)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(Wanninkhof 2014; Grace et al. 2015)</w:t>
      </w:r>
      <w:r>
        <w:t xml:space="preserve"> </w:t>
      </w:r>
      <w:r>
        <w:t xml:space="preserve">and standard deviations that were sufficiently large to allow the Bayesian routine to search an unconstrained parameter space.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3</m:t>
              </m:r>
            </m:sup>
          </m:sSup>
          <m:r>
            <m:rPr>
              <m:sty m:val="p"/>
            </m:rPr>
            <m:t>/</m:t>
          </m:r>
          <m:r>
            <m:rPr>
              <m:nor/>
              <m:sty m:val="p"/>
            </m:rPr>
            <m:t>d</m:t>
          </m:r>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7</m:t>
              </m:r>
            </m:e>
          </m:d>
        </m:oMath>
      </m:oMathPara>
      <w:bookmarkEnd w:id="30"/>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2023)</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7" w:name="assessment"/>
    <w:p>
      <w:pPr>
        <w:pStyle w:val="Heading2"/>
      </w:pPr>
      <w:r>
        <w:t xml:space="preserve">3 Assessment</w:t>
      </w:r>
    </w:p>
    <w:bookmarkStart w:id="35"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wind speed, and PAR. Missing observations in the water quality and meteorological data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0.502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4"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8</m:t>
              </m:r>
            </m:e>
          </m:d>
        </m:oMath>
      </m:oMathPara>
      <w:bookmarkEnd w:id="34"/>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0.03). Conversely, the</w:t>
      </w:r>
      <w:r>
        <w:t xml:space="preserve"> </w:t>
      </w:r>
      <m:oMath>
        <m:r>
          <m:t>a</m:t>
        </m:r>
      </m:oMath>
      <w:r>
        <w:t xml:space="preserve"> </w:t>
      </w:r>
      <w:r>
        <w:t xml:space="preserve">parameter was reproduced the most poorly, with a median value across all optimization periods and priors less than zero (median NSE = -5.75). By optimization period, median NSE values across all parameters decreased slightly as the number of days used for model optimization increased (1 day = -2.17, 7 days = -3.01, 30 days = -3.28). The top three ranked models were identical for the seven and thirty day models and similar for models using the one day optimization period. Median NSE values across parameters for the top model in each optimization period were also similar (1 day = 0.76, 7 days = 0.55, 30 days = 0.77).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(74%). As such, the prior combinations that produced the highest NSE values across all parameters were those where the</w:t>
      </w:r>
      <w:r>
        <w:t xml:space="preserve"> </w:t>
      </w:r>
      <m:oMath>
        <m:r>
          <m:t>σ</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parameters, and each optimization period for the different subsets of the prior combinations are shown relative to the grand median NSE value across all comparisons. For example, the bottom left panel with the x-axis value for the</w:t>
      </w:r>
      <w:r>
        <w:t xml:space="preserve"> </w:t>
      </w:r>
      <m:oMath>
        <m:r>
          <m:t>a</m:t>
        </m:r>
      </m:oMath>
      <w:r>
        <w:t xml:space="preserve"> </w:t>
      </w:r>
      <w:r>
        <w:t xml:space="preserve">parameter shows the difference in the median NSE values for all models using a one-day optimization period where the</w:t>
      </w:r>
      <w:r>
        <w:t xml:space="preserve"> </w:t>
      </w:r>
      <m:oMath>
        <m:r>
          <m:t>σ</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Positive values indicate relative performance greater than the overall median NSE values and negative values indicate relative performance worse than the overall median. Dissolved oxygen was generally modeled with high accuracy for all priors and it was excluded to not skew the assessment. The patterns suggest that EBASE results are more sensitive to changes in the</w:t>
      </w:r>
      <w:r>
        <w:t xml:space="preserve"> </w:t>
      </w:r>
      <m:oMath>
        <m:r>
          <m:t>σ</m:t>
        </m:r>
      </m:oMath>
      <w:r>
        <w:t xml:space="preserve"> </w:t>
      </w:r>
      <w:r>
        <w:t xml:space="preserve">parameter as shown by the larger spread in the median results compared to those for</w:t>
      </w:r>
      <w:r>
        <w:t xml:space="preserve"> </w:t>
      </w:r>
      <m:oMath>
        <m:r>
          <m:t>μ</m:t>
        </m:r>
      </m:oMath>
      <w:r>
        <w:t xml:space="preserve">. This result is especially true for the priors of the</w:t>
      </w:r>
      <w:r>
        <w:t xml:space="preserve"> </w:t>
      </w:r>
      <m:oMath>
        <m:r>
          <m:t>a</m:t>
        </m:r>
      </m:oMath>
      <w:r>
        <w:t xml:space="preserve"> </w:t>
      </w:r>
      <w:r>
        <w:t xml:space="preserve">and</w:t>
      </w:r>
      <w:r>
        <w:t xml:space="preserve"> </w:t>
      </w:r>
      <m:oMath>
        <m:r>
          <m:t>r</m:t>
        </m:r>
      </m:oMath>
      <w:r>
        <w:t xml:space="preserve"> </w:t>
      </w:r>
      <w:r>
        <w:t xml:space="preserve">parameters. Conversely, model results are less sensitive to low or high values for</w:t>
      </w:r>
      <w:r>
        <w:t xml:space="preserve"> </w:t>
      </w:r>
      <m:oMath>
        <m:r>
          <m:t>μ</m:t>
        </m:r>
      </m:oMath>
      <w:r>
        <w:t xml:space="preserve"> </w:t>
      </w:r>
      <w:r>
        <w:t xml:space="preserve">as the spread between median NSE values is less than those for</w:t>
      </w:r>
      <w:r>
        <w:t xml:space="preserve"> </w:t>
      </w:r>
      <m:oMath>
        <m:r>
          <m:t>σ</m:t>
        </m:r>
      </m:oMath>
      <w:r>
        <w:t xml:space="preserve">. This suggests that EBASE model sensitivity is most influenced by</w:t>
      </w:r>
      <w:r>
        <w:t xml:space="preserve"> </w:t>
      </w:r>
      <m:oMath>
        <m:r>
          <m:t>σ</m:t>
        </m:r>
      </m:oMath>
      <w:r>
        <w:t xml:space="preserve"> </w:t>
      </w:r>
      <w:r>
        <w:t xml:space="preserve">of the prior distributions, i.e., larger values produce more accurate and less variable estimates regardless of</w:t>
      </w:r>
      <w:r>
        <w:t xml:space="preserve"> </w:t>
      </w:r>
      <m:oMath>
        <m:r>
          <m:t>μ</m:t>
        </m:r>
      </m:oMath>
      <w:r>
        <w:t xml:space="preserve">. Patterns by optimization period were not apparent.</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σ</m:t>
        </m:r>
      </m:oMath>
      <w:r>
        <w:t xml:space="preserve">.</w:t>
      </w:r>
    </w:p>
    <w:p>
      <w:pPr>
        <w:pStyle w:val="BodyText"/>
      </w:pPr>
      <w:r>
        <w:t xml:space="preserve">As a final evaluation of EBASE to return known metabolic parameters, a new time series was created that added estimated effects of instrument and tidal noise to the synthetic time series. The objective of the analysis is to develop an expectation of how metabolic estimates may change using in situ data with noise that may substantially mask a biological signal in dissolved oxygen measurements. The instrument and tidal noise were estimated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salinity, and season using a moving window approach with weights of the independent variables appropriate for each time period within the windows. The results of this analysis return a predicted and detided dissolved oxygen time series. The instrument noise was estimated as the difference between the observed and predicted time series and the tidal noise was estimated as the difference between the predicted and detided time series. Both the instrument and tidal noise were added to the same synthetic time series above (</w:t>
      </w:r>
      <w:hyperlink w:anchor="fig-synapanos">
        <w:r>
          <w:rPr>
            <w:rStyle w:val="Hyperlink"/>
          </w:rPr>
          <w:t xml:space="preserve">Figure 6</w:t>
        </w:r>
      </w:hyperlink>
      <w:r>
        <w:t xml:space="preserve">). EBASE was then used with unconstrained priors (large</w:t>
      </w:r>
      <w:r>
        <w:t xml:space="preserve"> </w:t>
      </w:r>
      <m:oMath>
        <m:r>
          <m:t>σ</m:t>
        </m:r>
      </m:oMath>
      <w:r>
        <w:t xml:space="preserve">) on the synthetic time series with noise, then compared with results from the original synthetic time series.</w:t>
      </w:r>
    </w:p>
    <w:p>
      <w:pPr>
        <w:pStyle w:val="BodyText"/>
      </w:pPr>
      <w:hyperlink w:anchor="fig-synapanoscmp">
        <w:r>
          <w:rPr>
            <w:rStyle w:val="Hyperlink"/>
          </w:rPr>
          <w:t xml:space="preserve">Figure 7</w:t>
        </w:r>
      </w:hyperlink>
      <w:r>
        <w:t xml:space="preserve"> </w:t>
      </w:r>
      <w:r>
        <w:t xml:space="preserve">shows the comparison of the EBASE results for the synthetic time series with instrument and tidal noise to those from the original synthetic time series. Results for both time series produced similar dissolved oxygen estimates (top-left panel,</w:t>
      </w:r>
      <w:r>
        <w:t xml:space="preserve"> </w:t>
      </w:r>
      <w:hyperlink w:anchor="fig-synapanoscmp">
        <w:r>
          <w:rPr>
            <w:rStyle w:val="Hyperlink"/>
          </w:rPr>
          <w:t xml:space="preserve">Figure 7</w:t>
        </w:r>
      </w:hyperlink>
      <w:r>
        <w:t xml:space="preserve">), although notable differences were observed in the remaining parameters. In particular, gross primary production (P) and ecosystem respiration (R) were generally higher and more variable for results from the noisy time series, with differences in the former attributed to higher estimates in the</w:t>
      </w:r>
      <w:r>
        <w:t xml:space="preserve"> </w:t>
      </w:r>
      <m:oMath>
        <m:r>
          <m:t>a</m:t>
        </m:r>
      </m:oMath>
      <w:r>
        <w:t xml:space="preserve"> </w:t>
      </w:r>
      <w:r>
        <w:t xml:space="preserve">parameter. As for the previous results, the</w:t>
      </w:r>
      <w:r>
        <w:t xml:space="preserve"> </w:t>
      </w:r>
      <m:oMath>
        <m:r>
          <m:t>b</m:t>
        </m:r>
      </m:oMath>
      <w:r>
        <w:t xml:space="preserve"> </w:t>
      </w:r>
      <w:r>
        <w:t xml:space="preserve">parameter was estimated with low precision for both input time series, although results were centered around the true value of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Gas exchange (D) was similar between the input time series, suggesting lack of precision in the</w:t>
      </w:r>
      <w:r>
        <w:t xml:space="preserve"> </w:t>
      </w:r>
      <m:oMath>
        <m:r>
          <m:t>b</m:t>
        </m:r>
      </m:oMath>
      <w:r>
        <w:t xml:space="preserve"> </w:t>
      </w:r>
      <w:r>
        <w:t xml:space="preserve">parameter regardless of noise had a minimal influence.</w:t>
      </w:r>
    </w:p>
    <w:bookmarkEnd w:id="35"/>
    <w:bookmarkStart w:id="36"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differences in the metabolic estimates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σ</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(NEM), gross primary production (P), ecosystem respiration (R), and gas exchange (D). Pairwise comparisons of the daily estimates returned by each method were evaluated using simple summary statistics, including Pearson correlation coefficients (</w:t>
      </w:r>
      <m:oMath>
        <m:r>
          <m:t>ρ</m:t>
        </m:r>
      </m:oMath>
      <w:r>
        <w:t xml:space="preserve">) and root mean square errors (RMSE) of the linear regression fit comparing the same metabolic parameter between methods. Results were assessed separately for estimates using the observed or detided dissolved oxygen time series.</w:t>
      </w:r>
    </w:p>
    <w:p>
      <w:pPr>
        <w:pStyle w:val="BodyText"/>
      </w:pP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for the metabolic results based on the detided dissolved oxygen time series. The only exception for the correlation estimates was gas exchange (D), which had a slightly weaker correlation using the detided results.</w:t>
      </w:r>
      <w:r>
        <w:t xml:space="preserve"> </w:t>
      </w:r>
      <w:hyperlink w:anchor="fig-apacmpfig">
        <w:r>
          <w:rPr>
            <w:rStyle w:val="Hyperlink"/>
          </w:rPr>
          <w:t xml:space="preserve">Figure 8</w:t>
        </w:r>
      </w:hyperlink>
      <w:r>
        <w:t xml:space="preserve"> </w:t>
      </w:r>
      <w:r>
        <w:t xml:space="preserve">shows that the Odum results for gas exchange were more variable for the same values returned as no or small gas exchange for the EBASE method based on the detided dissolved oxygen. The RMSE values of each regression comparing the metabolic estimates between methods were generally lower in the detided results, excluding D which was higher with the detided dissolved oxygen relative to the observed.</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RMSE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6"/>
    <w:bookmarkEnd w:id="37"/>
    <w:bookmarkStart w:id="38"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by 1) using a Bayesian framework that estimates the best fit of the model to the data with posterior probabilities describing the likelihood of the fit, and 2) modifying the underlying mass-balance model for dissolved oxygen with several components more appropriate for estuarine settings. First, the Bayesian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an exception was the ability of the model to estimate stable values for the</w:t>
      </w:r>
      <w:r>
        <w:t xml:space="preserve"> </w:t>
      </w:r>
      <m:oMath>
        <m:r>
          <m:t>b</m:t>
        </m:r>
      </m:oMath>
      <w:r>
        <w:t xml:space="preserve"> </w:t>
      </w:r>
      <w:r>
        <w:t xml:space="preserve">parameter, although the resulting estimate of gas exchange was similar to the known values. This result could be explained by the dominance of the relative processes that manifest signals in the dissolved oxygen time series. That is, estuarine dissolved oxygen at Apalachicola Bay may be dominated by production and respiration, and less so from gas exchange, such that the available data provided insufficient information for EBASE to estimate</w:t>
      </w:r>
      <w:r>
        <w:t xml:space="preserve"> </w:t>
      </w:r>
      <m:oMath>
        <m:r>
          <m:t>b</m:t>
        </m:r>
      </m:oMath>
      <w:r>
        <w:t xml:space="preserve">. This result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The second advantage of EBASE that makes the model more appropriate for estuarine settings included several modification to the underlying mass-balance equation for dissolved oxygen (</w:t>
      </w:r>
      <w:hyperlink w:anchor="eq-ebase">
        <w:r>
          <w:rPr>
            <w:rStyle w:val="Hyperlink"/>
          </w:rPr>
          <w:t xml:space="preserve">Equation 1</w:t>
        </w:r>
      </w:hyperlink>
      <w:r>
        <w:t xml:space="preserve">). As described in</w:t>
      </w:r>
      <w:r>
        <w:t xml:space="preserve"> </w:t>
      </w:r>
      <w:hyperlink w:anchor="sec-basemodif">
        <w:r>
          <w:rPr>
            <w:rStyle w:val="Hyperlink"/>
          </w:rPr>
          <w:t xml:space="preserve">Section 2.1</w:t>
        </w:r>
      </w:hyperlink>
      <w:r>
        <w:t xml:space="preserve">, EBASE is an estuarine adaptation of BASE (</w:t>
      </w:r>
      <w:hyperlink w:anchor="eq-base">
        <w:r>
          <w:rPr>
            <w:rStyle w:val="Hyperlink"/>
          </w:rPr>
          <w:t xml:space="preserve">Equation 2</w:t>
        </w:r>
      </w:hyperlink>
      <w:r>
        <w:t xml:space="preserve">) that was developed for stream applications and many assumptions of the underlying model of the latter were inappropriate for the former. Specifically, EBASE was modified to address three primary concerns of using BASE in an estuarine setting. First, the estimation of gross primary production as a function of PAR assumed a linear relationship such that the increase of production per unit increase of PAR was consistent for any level of the latter. The BASE model includes an exponential parameter,</w:t>
      </w:r>
      <w:r>
        <w:t xml:space="preserve"> </w:t>
      </w:r>
      <m:oMath>
        <m:r>
          <m:t>p</m:t>
        </m:r>
      </m:oMath>
      <w:r>
        <w:t xml:space="preserve">, that defines a non-linear relationship between P and PAR (although it should be noted that BASE provides an option to set</w:t>
      </w:r>
      <w:r>
        <w:t xml:space="preserve"> </w:t>
      </w:r>
      <m:oMath>
        <m:r>
          <m:t>p</m:t>
        </m:r>
        <m:r>
          <m:rPr>
            <m:sty m:val="p"/>
          </m:rPr>
          <m:t>=</m:t>
        </m:r>
        <m:r>
          <m:t>1</m:t>
        </m:r>
      </m:oMath>
      <w:r>
        <w:t xml:space="preserve">).</w:t>
      </w:r>
      <w:r>
        <w:t xml:space="preserve"> </w:t>
      </w:r>
      <w:r>
        <w:t xml:space="preserve">Holtgrieve et al. (2010)</w:t>
      </w:r>
      <w:r>
        <w:t xml:space="preserve"> </w:t>
      </w:r>
      <w:r>
        <w:t xml:space="preserve">describes a simple linear photosynthesis-irradiance curve as appropriate for systems that are never light-saturated and this assumption likely holds true for estuaries that are commonly more turbid than open-ocean or freshwater locations. Second, EBASE removed the temperature-dependency of respiration and assumed that respiration did not change with water temperature, consistent with applications of the Odum method to other shallow estuaries</w:t>
      </w:r>
      <w:r>
        <w:t xml:space="preserve"> </w:t>
      </w:r>
      <w:r>
        <w:t xml:space="preserve">(Beck et al. 2015; Murrell et al. 2018)</w:t>
      </w:r>
      <w:r>
        <w:t xml:space="preserve">. This modification addresses recent work that suggests respiration in streams may be reduced during the night with lower temperatures as the respiration of labile autochthonous organic matter may contribute to changes in the dissolved oxygen time series</w:t>
      </w:r>
      <w:r>
        <w:t xml:space="preserve"> </w:t>
      </w:r>
      <w:r>
        <w:t xml:space="preserve">(Sadro et al. 2014; Schindler et al. 2017)</w:t>
      </w:r>
      <w:r>
        <w:t xml:space="preserve">. There is currently no justification for this assumption in estuaries. Finally, the gas exchange in EBASE used the parameterization in</w:t>
      </w:r>
      <w:r>
        <w:t xml:space="preserve"> </w:t>
      </w:r>
      <w:r>
        <w:t xml:space="preserve">Wanninkhof (2014)</w:t>
      </w:r>
      <w:r>
        <w:t xml:space="preserve"> </w:t>
      </w:r>
      <w:r>
        <w:t xml:space="preserve">that is primarily wind-based and developed for the open-ocean, which is clearly more appropriate than the prior formulation in BASE that includes a temperature and depth dependency for streams.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over-estimates of metabolic rates with more variation than those without tidal influence. Our assessment of the synthetic time series with noise and use of the detided dissolved oyxgen time series from the observed data at Apalachicola Bay to estimate metabolism both demonstrated this bias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larger and more variable estimates are returned. A potential future approach for developing EBASE could be an explicit formulation of tidal advection in the model using a synoptic tidal height time series in the Bayesian framework. This has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EBASE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lengths, whereas the BASE method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quantified by the</w:t>
      </w:r>
      <w:r>
        <w:t xml:space="preserve"> </w:t>
      </w:r>
      <m:oMath>
        <m:r>
          <m:t>b</m:t>
        </m:r>
      </m:oMath>
      <w:r>
        <w:t xml:space="preserve"> </w:t>
      </w:r>
      <w:r>
        <w:t xml:space="preserve">parameter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suggests that results were similar for the 7 and 30 day optimization period. As such, using one week of data for each optimization period is likely appropriate for this location. For other locations, using one day is not recommended given the issues stated above (i.e., unstable results), whereas an optimization period longer than a month may miss important events in the time series that can affect the metabolic estimates and will likely produce parameters that are overly generalized.</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input used by EBASE. This allows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based,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the</w:t>
      </w:r>
      <w:r>
        <w:t xml:space="preserve"> </w:t>
      </w:r>
      <m:oMath>
        <m:r>
          <m:t>b</m:t>
        </m:r>
      </m:oMath>
      <w:r>
        <w:t xml:space="preserve"> </w:t>
      </w:r>
      <w:r>
        <w:t xml:space="preserve">parameter was still relatively unstable and unconstrained priors may not provide useful estimates in estuarine settings outside of the location evaluated herein. This may require further constraining the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appropriate expectation of the range of values for the reaeration coefficient,</w:t>
      </w:r>
      <w:r>
        <w:t xml:space="preserve"> </w:t>
      </w:r>
      <m:oMath>
        <m:r>
          <m:t>K</m:t>
        </m:r>
      </m:oMath>
      <w:r>
        <w:t xml:space="preserve"> </w:t>
      </w:r>
      <w:r>
        <w:t xml:space="preserve">, which was then used to inform the prior distribution using the BASE method. More stable and realistic metabolic estimates were then returned by BASE, demonstrating the value of the Bayesian approach that can incorporate prior knowledge. A similar approach could be applied to create more accurate estimates from EBASE depending on location.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38"/>
    <w:bookmarkStart w:id="39"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by adapting theoretical components of the underlying mass-balance model using a Bayesian framework. Our results have demonstrated that unknown metabolic parameters can be estimated with reasonable certainty using uninformed prior distributions and EBASE could be a valuable approach to improve the understanding of critical ecosystem processes as the method can be readily applied to other settings. A notable limitation of EBASE was an inability to precisely recover the</w:t>
      </w:r>
      <w:r>
        <w:t xml:space="preserve"> </w:t>
      </w:r>
      <m:oMath>
        <m:r>
          <m:t>b</m:t>
        </m:r>
      </m:oMath>
      <w:r>
        <w:t xml:space="preserve"> </w:t>
      </w:r>
      <w:r>
        <w:t xml:space="preserve">parameter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39"/>
    <w:bookmarkStart w:id="40"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 Najjar, Maria Herrmann, and Kathleen Hill.</w:t>
      </w:r>
    </w:p>
    <w:p>
      <w:r>
        <w:br w:type="page"/>
      </w:r>
    </w:p>
    <w:bookmarkEnd w:id="40"/>
    <w:bookmarkStart w:id="73"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4" w:name="fig-priorplot"/>
          <w:p>
            <w:pPr>
              <w:pStyle w:val="Figure"/>
              <w:jc w:val="center"/>
            </w:pPr>
            <w:r>
              <w:drawing>
                <wp:inline>
                  <wp:extent cx="5943600" cy="2228850"/>
                  <wp:effectExtent b="0" l="0" r="0" t="0"/>
                  <wp:docPr descr="" title="" id="42" name="Picture"/>
                  <a:graphic>
                    <a:graphicData uri="http://schemas.openxmlformats.org/drawingml/2006/picture">
                      <pic:pic>
                        <pic:nvPicPr>
                          <pic:cNvPr descr="figs/priorplot.png" id="43" name="Picture"/>
                          <pic:cNvPicPr>
                            <a:picLocks noChangeArrowheads="1" noChangeAspect="1"/>
                          </pic:cNvPicPr>
                        </pic:nvPicPr>
                        <pic:blipFill>
                          <a:blip r:embed="rId41"/>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p>
          <w:bookmarkEnd w:id="44"/>
        </w:tc>
      </w:tr>
    </w:tbl>
    <w:p>
      <w:r>
        <w:br w:type="page"/>
      </w:r>
    </w:p>
    <w:tbl>
      <w:tblPr>
        <w:tblStyle w:val="Table"/>
        <w:tblW w:type="pct" w:w="5000"/>
        <w:tblLook w:firstRow="0" w:lastRow="0" w:firstColumn="0" w:lastColumn="0" w:noHBand="0" w:noVBand="0" w:val="0000"/>
      </w:tblPr>
      <w:tblGrid>
        <w:gridCol w:w="7920"/>
      </w:tblGrid>
      <w:tr>
        <w:tc>
          <w:tcPr/>
          <w:bookmarkStart w:id="48" w:name="fig-synapa"/>
          <w:p>
            <w:pPr>
              <w:pStyle w:val="Figure"/>
              <w:jc w:val="center"/>
            </w:pPr>
            <w:r>
              <w:drawing>
                <wp:inline>
                  <wp:extent cx="5943600" cy="5943600"/>
                  <wp:effectExtent b="0" l="0" r="0" t="0"/>
                  <wp:docPr descr="" title="" id="46" name="Picture"/>
                  <a:graphic>
                    <a:graphicData uri="http://schemas.openxmlformats.org/drawingml/2006/picture">
                      <pic:pic>
                        <pic:nvPicPr>
                          <pic:cNvPr descr="figs/synapa.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(P), ecosystem respiration (R), and gas exchange (D). The</w:t>
            </w:r>
            <w:r>
              <w:t xml:space="preserve"> </w:t>
            </w:r>
            <m:oMath>
              <m:r>
                <m:t>a</m:t>
              </m:r>
            </m:oMath>
            <w:r>
              <w:t xml:space="preserve"> </w:t>
            </w:r>
            <w:r>
              <w:t xml:space="preserve">parameter is shown as an areal value for comparison with the metabolic results. The</w:t>
            </w:r>
            <w:r>
              <w:t xml:space="preserve"> </w:t>
            </w:r>
            <m:oMath>
              <m:r>
                <m:t>b</m:t>
              </m:r>
            </m:oMath>
            <w:r>
              <w:t xml:space="preserve"> </w:t>
            </w:r>
            <w:r>
              <w:t xml:space="preserve">parameter is also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and is not shown.</w:t>
            </w:r>
          </w:p>
          <w:bookmarkEnd w:id="48"/>
        </w:tc>
      </w:tr>
    </w:tbl>
    <w:p>
      <w:r>
        <w:br w:type="page"/>
      </w:r>
    </w:p>
    <w:tbl>
      <w:tblPr>
        <w:tblStyle w:val="Table"/>
        <w:tblW w:type="pct" w:w="5000"/>
        <w:tblLook w:firstRow="0" w:lastRow="0" w:firstColumn="0" w:lastColumn="0" w:noHBand="0" w:noVBand="0" w:val="0000"/>
      </w:tblPr>
      <w:tblGrid>
        <w:gridCol w:w="7920"/>
      </w:tblGrid>
      <w:tr>
        <w:tc>
          <w:tcPr/>
          <w:bookmarkStart w:id="52" w:name="fig-priorcomp"/>
          <w:p>
            <w:pPr>
              <w:pStyle w:val="Figure"/>
              <w:jc w:val="center"/>
            </w:pPr>
            <w:r>
              <w:drawing>
                <wp:inline>
                  <wp:extent cx="5497394" cy="5497394"/>
                  <wp:effectExtent b="0" l="0" r="0" t="0"/>
                  <wp:docPr descr="" title="" id="50" name="Picture"/>
                  <a:graphic>
                    <a:graphicData uri="http://schemas.openxmlformats.org/drawingml/2006/picture">
                      <pic:pic>
                        <pic:nvPicPr>
                          <pic:cNvPr descr="figs/priorcomp.png" id="51" name="Picture"/>
                          <pic:cNvPicPr>
                            <a:picLocks noChangeArrowheads="1" noChangeAspect="1"/>
                          </pic:cNvPicPr>
                        </pic:nvPicPr>
                        <pic:blipFill>
                          <a:blip r:embed="rId49"/>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one day, seven days, or thirty days. The metabolic results for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poor recovery.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2"/>
        </w:tc>
      </w:tr>
    </w:tbl>
    <w:p>
      <w:r>
        <w:br w:type="page"/>
      </w:r>
    </w:p>
    <w:tbl>
      <w:tblPr>
        <w:tblStyle w:val="Table"/>
        <w:tblW w:type="pct" w:w="5000"/>
        <w:tblLook w:firstRow="0" w:lastRow="0" w:firstColumn="0" w:lastColumn="0" w:noHBand="0" w:noVBand="0" w:val="0000"/>
      </w:tblPr>
      <w:tblGrid>
        <w:gridCol w:w="7920"/>
      </w:tblGrid>
      <w:tr>
        <w:tc>
          <w:tcPr/>
          <w:bookmarkStart w:id="56" w:name="fig-priorsumcomp"/>
          <w:p>
            <w:pPr>
              <w:pStyle w:val="Figure"/>
              <w:jc w:val="center"/>
            </w:pPr>
            <w:r>
              <w:drawing>
                <wp:inline>
                  <wp:extent cx="5497394" cy="4581162"/>
                  <wp:effectExtent b="0" l="0" r="0" t="0"/>
                  <wp:docPr descr="" title="" id="54" name="Picture"/>
                  <a:graphic>
                    <a:graphicData uri="http://schemas.openxmlformats.org/drawingml/2006/picture">
                      <pic:pic>
                        <pic:nvPicPr>
                          <pic:cNvPr descr="figs/priorsumcomp.png" id="55" name="Picture"/>
                          <pic:cNvPicPr>
                            <a:picLocks noChangeArrowheads="1" noChangeAspect="1"/>
                          </pic:cNvPicPr>
                        </pic:nvPicPr>
                        <pic:blipFill>
                          <a:blip r:embed="rId53"/>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(NSE) values across all parameters for the comparisons of EBASE and synthetic model outputs separated by different combinations of prior values. Summaries are shown relative to the difference from the grand median across all comparisons.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6"/>
        </w:tc>
      </w:tr>
    </w:tbl>
    <w:p>
      <w:r>
        <w:br w:type="page"/>
      </w:r>
    </w:p>
    <w:tbl>
      <w:tblPr>
        <w:tblStyle w:val="Table"/>
        <w:tblW w:type="pct" w:w="5000"/>
        <w:tblLook w:firstRow="0" w:lastRow="0" w:firstColumn="0" w:lastColumn="0" w:noHBand="0" w:noVBand="0" w:val="0000"/>
      </w:tblPr>
      <w:tblGrid>
        <w:gridCol w:w="7920"/>
      </w:tblGrid>
      <w:tr>
        <w:tc>
          <w:tcPr/>
          <w:bookmarkStart w:id="60" w:name="fig-optex"/>
          <w:p>
            <w:pPr>
              <w:pStyle w:val="Figure"/>
              <w:jc w:val="center"/>
            </w:pPr>
            <w:r>
              <w:drawing>
                <wp:inline>
                  <wp:extent cx="5943600" cy="5745480"/>
                  <wp:effectExtent b="0" l="0" r="0" t="0"/>
                  <wp:docPr descr="" title="" id="58" name="Picture"/>
                  <a:graphic>
                    <a:graphicData uri="http://schemas.openxmlformats.org/drawingml/2006/picture">
                      <pic:pic>
                        <pic:nvPicPr>
                          <pic:cNvPr descr="figs/optex.png" id="59" name="Picture"/>
                          <pic:cNvPicPr>
                            <a:picLocks noChangeArrowheads="1" noChangeAspect="1"/>
                          </pic:cNvPicPr>
                        </pic:nvPicPr>
                        <pic:blipFill>
                          <a:blip r:embed="rId57"/>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60"/>
        </w:tc>
      </w:tr>
    </w:tbl>
    <w:p>
      <w:r>
        <w:br w:type="page"/>
      </w:r>
    </w:p>
    <w:tbl>
      <w:tblPr>
        <w:tblStyle w:val="Table"/>
        <w:tblW w:type="pct" w:w="5000"/>
        <w:tblLook w:firstRow="0" w:lastRow="0" w:firstColumn="0" w:lastColumn="0" w:noHBand="0" w:noVBand="0" w:val="0000"/>
      </w:tblPr>
      <w:tblGrid>
        <w:gridCol w:w="7920"/>
      </w:tblGrid>
      <w:tr>
        <w:tc>
          <w:tcPr/>
          <w:bookmarkStart w:id="64" w:name="fig-synapanos"/>
          <w:p>
            <w:pPr>
              <w:pStyle w:val="Figure"/>
              <w:jc w:val="center"/>
            </w:pPr>
            <w:r>
              <w:drawing>
                <wp:inline>
                  <wp:extent cx="5943600" cy="4457700"/>
                  <wp:effectExtent b="0" l="0" r="0" t="0"/>
                  <wp:docPr descr="" title="" id="62" name="Picture"/>
                  <a:graphic>
                    <a:graphicData uri="http://schemas.openxmlformats.org/drawingml/2006/picture">
                      <pic:pic>
                        <pic:nvPicPr>
                          <pic:cNvPr descr="figs/synapanos.png" id="63" name="Picture"/>
                          <pic:cNvPicPr>
                            <a:picLocks noChangeArrowheads="1" noChangeAspect="1"/>
                          </pic:cNvPicPr>
                        </pic:nvPicPr>
                        <pic:blipFill>
                          <a:blip r:embed="rId61"/>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and the synthetic time series with noise for evaluating the ability of EBASE to recover known metabolic parameters. The original synthetic time series and the same time series with instrument and tidal noise is shown in (a) and the estimated instrument and tidal noise is shown in (b).</w:t>
            </w:r>
          </w:p>
          <w:bookmarkEnd w:id="64"/>
        </w:tc>
      </w:tr>
    </w:tbl>
    <w:p>
      <w:r>
        <w:br w:type="page"/>
      </w:r>
    </w:p>
    <w:tbl>
      <w:tblPr>
        <w:tblStyle w:val="Table"/>
        <w:tblW w:type="pct" w:w="5000"/>
        <w:tblLook w:firstRow="0" w:lastRow="0" w:firstColumn="0" w:lastColumn="0" w:noHBand="0" w:noVBand="0" w:val="0000"/>
      </w:tblPr>
      <w:tblGrid>
        <w:gridCol w:w="7920"/>
      </w:tblGrid>
      <w:tr>
        <w:tc>
          <w:tcPr/>
          <w:bookmarkStart w:id="68" w:name="fig-synapanoscmp"/>
          <w:p>
            <w:pPr>
              <w:pStyle w:val="Figure"/>
              <w:jc w:val="center"/>
            </w:pPr>
            <w:r>
              <w:drawing>
                <wp:inline>
                  <wp:extent cx="5497394" cy="4352104"/>
                  <wp:effectExtent b="0" l="0" r="0" t="0"/>
                  <wp:docPr descr="" title="" id="66" name="Picture"/>
                  <a:graphic>
                    <a:graphicData uri="http://schemas.openxmlformats.org/drawingml/2006/picture">
                      <pic:pic>
                        <pic:nvPicPr>
                          <pic:cNvPr descr="figs/synapanoscmp.png" id="67" name="Picture"/>
                          <pic:cNvPicPr>
                            <a:picLocks noChangeArrowheads="1" noChangeAspect="1"/>
                          </pic:cNvPicPr>
                        </pic:nvPicPr>
                        <pic:blipFill>
                          <a:blip r:embed="rId65"/>
                          <a:stretch>
                            <a:fillRect/>
                          </a:stretch>
                        </pic:blipFill>
                        <pic:spPr bwMode="auto">
                          <a:xfrm>
                            <a:off x="0" y="0"/>
                            <a:ext cx="5497394" cy="43521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modelled dissolved oxygen and metabolic parameters from EBASE for a synthetic time series and a synthetic time series with instrument and tidal noise. Black lines show the 1:1 comparison and the red lines show the linear regression fit. See</w:t>
            </w:r>
            <w:r>
              <w:t xml:space="preserve"> </w:t>
            </w:r>
            <w:hyperlink w:anchor="fig-synapanos">
              <w:r>
                <w:rPr>
                  <w:rStyle w:val="Hyperlink"/>
                </w:rPr>
                <w:t xml:space="preserve">Figure 6</w:t>
              </w:r>
            </w:hyperlink>
            <w:r>
              <w:t xml:space="preserve"> </w:t>
            </w:r>
            <w:r>
              <w:t xml:space="preserve">for an example of the dissolved oxygen for both input time series.</w:t>
            </w:r>
          </w:p>
          <w:bookmarkEnd w:id="68"/>
        </w:tc>
      </w:tr>
    </w:tbl>
    <w:p>
      <w:r>
        <w:br w:type="page"/>
      </w:r>
    </w:p>
    <w:tbl>
      <w:tblPr>
        <w:tblStyle w:val="Table"/>
        <w:tblW w:type="pct" w:w="5000"/>
        <w:tblLook w:firstRow="0" w:lastRow="0" w:firstColumn="0" w:lastColumn="0" w:noHBand="0" w:noVBand="0" w:val="0000"/>
      </w:tblPr>
      <w:tblGrid>
        <w:gridCol w:w="7920"/>
      </w:tblGrid>
      <w:tr>
        <w:tc>
          <w:tcPr/>
          <w:bookmarkStart w:id="72" w:name="fig-apacmpfig"/>
          <w:p>
            <w:pPr>
              <w:pStyle w:val="Figure"/>
              <w:jc w:val="center"/>
            </w:pPr>
            <w:r>
              <w:drawing>
                <wp:inline>
                  <wp:extent cx="5943600" cy="3529012"/>
                  <wp:effectExtent b="0" l="0" r="0" t="0"/>
                  <wp:docPr descr="" title="" id="70" name="Picture"/>
                  <a:graphic>
                    <a:graphicData uri="http://schemas.openxmlformats.org/drawingml/2006/picture">
                      <pic:pic>
                        <pic:nvPicPr>
                          <pic:cNvPr descr="figs/apacmpfig.png" id="71" name="Picture"/>
                          <pic:cNvPicPr>
                            <a:picLocks noChangeArrowheads="1" noChangeAspect="1"/>
                          </pic:cNvPicPr>
                        </pic:nvPicPr>
                        <pic:blipFill>
                          <a:blip r:embed="rId69"/>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net ecosystem metabolism (NEM), gross primary production (P), ecosystem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72"/>
        </w:tc>
      </w:tr>
    </w:tbl>
    <w:p>
      <w:r>
        <w:br w:type="page"/>
      </w:r>
    </w:p>
    <w:bookmarkEnd w:id="73"/>
    <w:bookmarkStart w:id="74"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ce13701d-aa0c-4d03-a1a9-968bdc44d528"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e13701d-aa0c-4d03-a1a9-968bdc44d528"/>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r>
                <m:rPr>
                  <m:nor/>
                </m:rPr>
                <m:t> </m:t>
              </m:r>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959a7c2e-ea9c-4249-a9b6-2e82f5c4b80d"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59a7c2e-ea9c-4249-a9b6-2e82f5c4b80d"/>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root mean square error (RMSE) of a linear fit between the same metabolic estimates obtained from each method.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40"/>
        <w:gridCol w:w="2340"/>
        <w:gridCol w:w="2340"/>
        <w:gridCol w:w="23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73.67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120.20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159.49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19.49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24.21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25.65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39.99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22.89</w:t>
            </w:r>
          </w:p>
        </w:tc>
      </w:tr>
      <w:tr>
        <w:trPr>
          <w:trHeight w:val="360" w:hRule="auto"/>
        </w:trPr>
        footer 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74"/>
    <w:bookmarkStart w:id="154" w:name="references"/>
    <w:p>
      <w:pPr>
        <w:pStyle w:val="Heading2"/>
      </w:pPr>
      <w:r>
        <w:t xml:space="preserve">References</w:t>
      </w:r>
    </w:p>
    <w:bookmarkStart w:id="153" w:name="refs"/>
    <w:bookmarkStart w:id="75" w:name="ref-Beck21"/>
    <w:p>
      <w:pPr>
        <w:pStyle w:val="Bibliography"/>
      </w:pPr>
      <w:r>
        <w:t xml:space="preserve">Beck, M. W. 2021. WtRegDO: Implement weighted regression on dissolved oxygen time series,.</w:t>
      </w:r>
    </w:p>
    <w:bookmarkEnd w:id="75"/>
    <w:bookmarkStart w:id="77"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6">
        <w:r>
          <w:rPr>
            <w:rStyle w:val="Hyperlink"/>
          </w:rPr>
          <w:t xml:space="preserve">10.1002/lom3.10062</w:t>
        </w:r>
      </w:hyperlink>
    </w:p>
    <w:bookmarkEnd w:id="77"/>
    <w:bookmarkStart w:id="78"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78"/>
    <w:bookmarkStart w:id="80"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79">
        <w:r>
          <w:rPr>
            <w:rStyle w:val="Hyperlink"/>
          </w:rPr>
          <w:t xml:space="preserve">10.1016/s0304-3800(01)00328-3</w:t>
        </w:r>
      </w:hyperlink>
    </w:p>
    <w:bookmarkEnd w:id="80"/>
    <w:bookmarkStart w:id="82"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1">
        <w:r>
          <w:rPr>
            <w:rStyle w:val="Hyperlink"/>
          </w:rPr>
          <w:t xml:space="preserve">10.1038/s41598-017-05031-7</w:t>
        </w:r>
      </w:hyperlink>
    </w:p>
    <w:bookmarkEnd w:id="82"/>
    <w:bookmarkStart w:id="84" w:name="ref-caffrey2003"/>
    <w:p>
      <w:pPr>
        <w:pStyle w:val="Bibliography"/>
      </w:pPr>
      <w:r>
        <w:t xml:space="preserve">Caffrey, J. M. 2003.</w:t>
      </w:r>
      <w:r>
        <w:t xml:space="preserve"> </w:t>
      </w:r>
      <w:hyperlink r:id="rId83">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84"/>
    <w:bookmarkStart w:id="86"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85">
        <w:r>
          <w:rPr>
            <w:rStyle w:val="Hyperlink"/>
          </w:rPr>
          <w:t xml:space="preserve">10.1007/bf02803563</w:t>
        </w:r>
      </w:hyperlink>
    </w:p>
    <w:bookmarkEnd w:id="86"/>
    <w:bookmarkStart w:id="88"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87">
        <w:r>
          <w:rPr>
            <w:rStyle w:val="Hyperlink"/>
          </w:rPr>
          <w:t xml:space="preserve">10.1146/annurev-marine-120709-142723</w:t>
        </w:r>
      </w:hyperlink>
    </w:p>
    <w:bookmarkEnd w:id="88"/>
    <w:bookmarkStart w:id="90"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89">
        <w:r>
          <w:rPr>
            <w:rStyle w:val="Hyperlink"/>
          </w:rPr>
          <w:t xml:space="preserve">10.1016/j.ecolmodel.2007.10.025</w:t>
        </w:r>
      </w:hyperlink>
    </w:p>
    <w:bookmarkEnd w:id="90"/>
    <w:bookmarkStart w:id="92"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91">
        <w:r>
          <w:rPr>
            <w:rStyle w:val="Hyperlink"/>
          </w:rPr>
          <w:t xml:space="preserve">10.5194/bg-11-2477-2014</w:t>
        </w:r>
      </w:hyperlink>
    </w:p>
    <w:bookmarkEnd w:id="92"/>
    <w:bookmarkStart w:id="94"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93">
        <w:r>
          <w:rPr>
            <w:rStyle w:val="Hyperlink"/>
          </w:rPr>
          <w:t xml:space="preserve">10.1029/2007jc004663</w:t>
        </w:r>
      </w:hyperlink>
    </w:p>
    <w:bookmarkEnd w:id="94"/>
    <w:bookmarkStart w:id="96"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95">
        <w:r>
          <w:rPr>
            <w:rStyle w:val="Hyperlink"/>
          </w:rPr>
          <w:t xml:space="preserve">10.4319/lo.1992.37.6.1307</w:t>
        </w:r>
      </w:hyperlink>
    </w:p>
    <w:bookmarkEnd w:id="96"/>
    <w:bookmarkStart w:id="98"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97">
        <w:r>
          <w:rPr>
            <w:rStyle w:val="Hyperlink"/>
          </w:rPr>
          <w:t xml:space="preserve">10.3354/meps301023</w:t>
        </w:r>
      </w:hyperlink>
    </w:p>
    <w:bookmarkEnd w:id="98"/>
    <w:bookmarkStart w:id="100"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99">
        <w:r>
          <w:rPr>
            <w:rStyle w:val="Hyperlink"/>
          </w:rPr>
          <w:t xml:space="preserve">10.1002/lom3.10011</w:t>
        </w:r>
      </w:hyperlink>
    </w:p>
    <w:bookmarkEnd w:id="100"/>
    <w:bookmarkStart w:id="101" w:name="ref-Hilborn13"/>
    <w:p>
      <w:pPr>
        <w:pStyle w:val="Bibliography"/>
      </w:pPr>
      <w:r>
        <w:t xml:space="preserve">Hilborn, R., and M. Mangel. 2013. The ecological detective: Confronting models with data, Princeton University Press.</w:t>
      </w:r>
    </w:p>
    <w:bookmarkEnd w:id="101"/>
    <w:bookmarkStart w:id="103"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102">
        <w:r>
          <w:rPr>
            <w:rStyle w:val="Hyperlink"/>
          </w:rPr>
          <w:t xml:space="preserve">10.1002/2016GL068727</w:t>
        </w:r>
      </w:hyperlink>
    </w:p>
    <w:bookmarkEnd w:id="103"/>
    <w:bookmarkStart w:id="105"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104">
        <w:r>
          <w:rPr>
            <w:rStyle w:val="Hyperlink"/>
          </w:rPr>
          <w:t xml:space="preserve">10.4319/lo.2013.58.6.2089</w:t>
        </w:r>
      </w:hyperlink>
    </w:p>
    <w:bookmarkEnd w:id="105"/>
    <w:bookmarkStart w:id="107"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106">
        <w:r>
          <w:rPr>
            <w:rStyle w:val="Hyperlink"/>
          </w:rPr>
          <w:t xml:space="preserve">10.4319/lo.2010.55.3.1047</w:t>
        </w:r>
      </w:hyperlink>
    </w:p>
    <w:bookmarkEnd w:id="107"/>
    <w:bookmarkStart w:id="109" w:name="ref-hopkinson2005"/>
    <w:p>
      <w:pPr>
        <w:pStyle w:val="Bibliography"/>
      </w:pPr>
      <w:r>
        <w:t xml:space="preserve">Hopkinson, C. S., and E. M. Smith. 2005.</w:t>
      </w:r>
      <w:r>
        <w:t xml:space="preserve"> </w:t>
      </w:r>
      <w:hyperlink r:id="rId108">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109"/>
    <w:bookmarkStart w:id="111"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110">
        <w:r>
          <w:rPr>
            <w:rStyle w:val="Hyperlink"/>
          </w:rPr>
          <w:t xml:space="preserve">10.1016/j.marchem.2005.03.008</w:t>
        </w:r>
      </w:hyperlink>
    </w:p>
    <w:bookmarkEnd w:id="111"/>
    <w:bookmarkStart w:id="113"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12">
        <w:r>
          <w:rPr>
            <w:rStyle w:val="Hyperlink"/>
          </w:rPr>
          <w:t xml:space="preserve">10.1016/s0302-3524(80)80065-x</w:t>
        </w:r>
      </w:hyperlink>
    </w:p>
    <w:bookmarkEnd w:id="113"/>
    <w:bookmarkStart w:id="115" w:name="ref-kemp2011"/>
    <w:p>
      <w:pPr>
        <w:pStyle w:val="Bibliography"/>
      </w:pPr>
      <w:r>
        <w:t xml:space="preserve">Kemp, W. M., and J. M. Testa. 2011.</w:t>
      </w:r>
      <w:r>
        <w:t xml:space="preserve"> </w:t>
      </w:r>
      <w:hyperlink r:id="rId114">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115"/>
    <w:bookmarkStart w:id="117"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116">
        <w:r>
          <w:rPr>
            <w:rStyle w:val="Hyperlink"/>
          </w:rPr>
          <w:t xml:space="preserve">10.1016/0198-0149(81)90122-9</w:t>
        </w:r>
      </w:hyperlink>
    </w:p>
    <w:bookmarkEnd w:id="117"/>
    <w:bookmarkStart w:id="119"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18">
        <w:r>
          <w:rPr>
            <w:rStyle w:val="Hyperlink"/>
          </w:rPr>
          <w:t xml:space="preserve">10.13031/2013.23153</w:t>
        </w:r>
      </w:hyperlink>
    </w:p>
    <w:bookmarkEnd w:id="119"/>
    <w:bookmarkStart w:id="121"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20">
        <w:r>
          <w:rPr>
            <w:rStyle w:val="Hyperlink"/>
          </w:rPr>
          <w:t xml:space="preserve">10.1007/s12237-017-0328-9</w:t>
        </w:r>
      </w:hyperlink>
    </w:p>
    <w:bookmarkEnd w:id="121"/>
    <w:bookmarkStart w:id="123"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22">
        <w:r>
          <w:rPr>
            <w:rStyle w:val="Hyperlink"/>
          </w:rPr>
          <w:t xml:space="preserve">10.1139/f01-082</w:t>
        </w:r>
      </w:hyperlink>
    </w:p>
    <w:bookmarkEnd w:id="123"/>
    <w:bookmarkStart w:id="124"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24"/>
    <w:bookmarkStart w:id="126"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25">
        <w:r>
          <w:rPr>
            <w:rStyle w:val="Hyperlink"/>
          </w:rPr>
          <w:t xml:space="preserve">10.1002/2017gb005790</w:t>
        </w:r>
      </w:hyperlink>
    </w:p>
    <w:bookmarkEnd w:id="126"/>
    <w:bookmarkStart w:id="128"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27">
        <w:r>
          <w:rPr>
            <w:rStyle w:val="Hyperlink"/>
          </w:rPr>
          <w:t xml:space="preserve">10.1016/0022-1694(70)90255-6</w:t>
        </w:r>
      </w:hyperlink>
    </w:p>
    <w:bookmarkEnd w:id="128"/>
    <w:bookmarkStart w:id="130"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29">
        <w:r>
          <w:rPr>
            <w:rStyle w:val="Hyperlink"/>
          </w:rPr>
          <w:t xml:space="preserve">10.1007/s12237-013-9765-2</w:t>
        </w:r>
      </w:hyperlink>
    </w:p>
    <w:bookmarkEnd w:id="130"/>
    <w:bookmarkStart w:id="131"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31"/>
    <w:bookmarkStart w:id="132"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32"/>
    <w:bookmarkStart w:id="134" w:name="ref-RCT23"/>
    <w:p>
      <w:pPr>
        <w:pStyle w:val="Bibliography"/>
      </w:pPr>
      <w:r>
        <w:t xml:space="preserve">R Core Team. 2023.</w:t>
      </w:r>
      <w:r>
        <w:t xml:space="preserve"> </w:t>
      </w:r>
      <w:hyperlink r:id="rId133">
        <w:r>
          <w:rPr>
            <w:rStyle w:val="Hyperlink"/>
          </w:rPr>
          <w:t xml:space="preserve">R: A language and environment for statistical computing</w:t>
        </w:r>
      </w:hyperlink>
      <w:r>
        <w:t xml:space="preserve">, R Foundation for Statistical Computing.</w:t>
      </w:r>
    </w:p>
    <w:bookmarkEnd w:id="134"/>
    <w:bookmarkStart w:id="136"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35">
        <w:r>
          <w:rPr>
            <w:rStyle w:val="Hyperlink"/>
          </w:rPr>
          <w:t xml:space="preserve">10.1007/bf02782974</w:t>
        </w:r>
      </w:hyperlink>
    </w:p>
    <w:bookmarkEnd w:id="136"/>
    <w:bookmarkStart w:id="138" w:name="ref-sadro2014"/>
    <w:p>
      <w:pPr>
        <w:pStyle w:val="Bibliography"/>
      </w:pPr>
      <w:r>
        <w:t xml:space="preserve">Sadro, S., G. W. Holtgrieve, C. T. Solomon, and G. R. Koch. 2014. Widespread variability in overnight patterns of ecosystem respiration linked to gradients in dissolved organic matter, residence time, and productivity in a global set of lakes. Limnology and Oceanography</w:t>
      </w:r>
      <w:r>
        <w:t xml:space="preserve"> </w:t>
      </w:r>
      <w:r>
        <w:rPr>
          <w:bCs/>
          <w:b/>
        </w:rPr>
        <w:t xml:space="preserve">59</w:t>
      </w:r>
      <w:r>
        <w:t xml:space="preserve">: 1666–1678. doi:</w:t>
      </w:r>
      <w:hyperlink r:id="rId137">
        <w:r>
          <w:rPr>
            <w:rStyle w:val="Hyperlink"/>
          </w:rPr>
          <w:t xml:space="preserve">10.4319/lo.2014.59.5.1666</w:t>
        </w:r>
      </w:hyperlink>
    </w:p>
    <w:bookmarkEnd w:id="138"/>
    <w:bookmarkStart w:id="140" w:name="ref-schindler2017"/>
    <w:p>
      <w:pPr>
        <w:pStyle w:val="Bibliography"/>
      </w:pPr>
      <w:r>
        <w:t xml:space="preserve">Schindler, D. E., K. Jankowski, Z. T. A’mar, and G. W. Holtgrieve. 2017. Two</w:t>
      </w:r>
      <w:r>
        <w:t xml:space="preserve">-</w:t>
      </w:r>
      <w:r>
        <w:t xml:space="preserve">stage metabolism inferred from diel oxygen dynamics in aquatic ecosystems. Ecosphere</w:t>
      </w:r>
      <w:r>
        <w:t xml:space="preserve"> </w:t>
      </w:r>
      <w:r>
        <w:rPr>
          <w:bCs/>
          <w:b/>
        </w:rPr>
        <w:t xml:space="preserve">8</w:t>
      </w:r>
      <w:r>
        <w:t xml:space="preserve">. doi:</w:t>
      </w:r>
      <w:hyperlink r:id="rId139">
        <w:r>
          <w:rPr>
            <w:rStyle w:val="Hyperlink"/>
          </w:rPr>
          <w:t xml:space="preserve">10.1002/ecs2.1867</w:t>
        </w:r>
      </w:hyperlink>
    </w:p>
    <w:bookmarkEnd w:id="140"/>
    <w:bookmarkStart w:id="142" w:name="ref-schubel1984"/>
    <w:p>
      <w:pPr>
        <w:pStyle w:val="Bibliography"/>
      </w:pPr>
      <w:r>
        <w:t xml:space="preserve">Schubel, J. R., and V. S. Kennedy. 1984.</w:t>
      </w:r>
      <w:r>
        <w:t xml:space="preserve"> </w:t>
      </w:r>
      <w:hyperlink r:id="rId141">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42"/>
    <w:bookmarkStart w:id="144"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43">
        <w:r>
          <w:rPr>
            <w:rStyle w:val="Hyperlink"/>
          </w:rPr>
          <w:t xml:space="preserve">10.1007/s00027-011-0199-2</w:t>
        </w:r>
      </w:hyperlink>
    </w:p>
    <w:bookmarkEnd w:id="144"/>
    <w:bookmarkStart w:id="146"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45">
        <w:r>
          <w:rPr>
            <w:rStyle w:val="Hyperlink"/>
          </w:rPr>
          <w:t xml:space="preserve">10.1672/07-190.1</w:t>
        </w:r>
      </w:hyperlink>
    </w:p>
    <w:bookmarkEnd w:id="146"/>
    <w:bookmarkStart w:id="148"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47">
        <w:r>
          <w:rPr>
            <w:rStyle w:val="Hyperlink"/>
          </w:rPr>
          <w:t xml:space="preserve">10.4319/lom.2014.12.351</w:t>
        </w:r>
      </w:hyperlink>
    </w:p>
    <w:bookmarkEnd w:id="148"/>
    <w:bookmarkStart w:id="150"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49">
        <w:r>
          <w:rPr>
            <w:rStyle w:val="Hyperlink"/>
          </w:rPr>
          <w:t xml:space="preserve">10.1080/iw-6.4.883</w:t>
        </w:r>
      </w:hyperlink>
    </w:p>
    <w:bookmarkEnd w:id="150"/>
    <w:bookmarkStart w:id="152"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51">
        <w:r>
          <w:rPr>
            <w:rStyle w:val="Hyperlink"/>
          </w:rPr>
          <w:t xml:space="preserve">10.1038/nature11205</w:t>
        </w:r>
      </w:hyperlink>
    </w:p>
    <w:bookmarkEnd w:id="152"/>
    <w:bookmarkEnd w:id="153"/>
    <w:bookmarkEnd w:id="154"/>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hyperlink" Id="rId102" Target="https://doi.org/10.1002/2016GL068727" TargetMode="External" /><Relationship Type="http://schemas.openxmlformats.org/officeDocument/2006/relationships/hyperlink" Id="rId125" Target="https://doi.org/10.1002/2017gb005790" TargetMode="External" /><Relationship Type="http://schemas.openxmlformats.org/officeDocument/2006/relationships/hyperlink" Id="rId139" Target="https://doi.org/10.1002/ecs2.1867" TargetMode="External" /><Relationship Type="http://schemas.openxmlformats.org/officeDocument/2006/relationships/hyperlink" Id="rId99" Target="https://doi.org/10.1002/lom3.10011" TargetMode="External" /><Relationship Type="http://schemas.openxmlformats.org/officeDocument/2006/relationships/hyperlink" Id="rId76" Target="https://doi.org/10.1002/lom3.10062" TargetMode="External" /><Relationship Type="http://schemas.openxmlformats.org/officeDocument/2006/relationships/hyperlink" Id="rId83" Target="https://doi.org/10.1007/978-94-017-0299-7_19" TargetMode="External" /><Relationship Type="http://schemas.openxmlformats.org/officeDocument/2006/relationships/hyperlink" Id="rId135" Target="https://doi.org/10.1007/bf02782974" TargetMode="External" /><Relationship Type="http://schemas.openxmlformats.org/officeDocument/2006/relationships/hyperlink" Id="rId85" Target="https://doi.org/10.1007/bf02803563" TargetMode="External" /><Relationship Type="http://schemas.openxmlformats.org/officeDocument/2006/relationships/hyperlink" Id="rId143" Target="https://doi.org/10.1007/s00027-011-0199-2" TargetMode="External" /><Relationship Type="http://schemas.openxmlformats.org/officeDocument/2006/relationships/hyperlink" Id="rId129" Target="https://doi.org/10.1007/s12237-013-9765-2" TargetMode="External" /><Relationship Type="http://schemas.openxmlformats.org/officeDocument/2006/relationships/hyperlink" Id="rId120" Target="https://doi.org/10.1007/s12237-017-0328-9" TargetMode="External" /><Relationship Type="http://schemas.openxmlformats.org/officeDocument/2006/relationships/hyperlink" Id="rId127" Target="https://doi.org/10.1016/0022-1694(70)90255-6" TargetMode="External" /><Relationship Type="http://schemas.openxmlformats.org/officeDocument/2006/relationships/hyperlink" Id="rId116" Target="https://doi.org/10.1016/0198-0149(81)90122-9" TargetMode="External" /><Relationship Type="http://schemas.openxmlformats.org/officeDocument/2006/relationships/hyperlink" Id="rId114" Target="https://doi.org/10.1016/b978-0-12-374711-2.00706-3" TargetMode="External" /><Relationship Type="http://schemas.openxmlformats.org/officeDocument/2006/relationships/hyperlink" Id="rId141" Target="https://doi.org/10.1016/b978-0-12-405070-9.50007-4" TargetMode="External" /><Relationship Type="http://schemas.openxmlformats.org/officeDocument/2006/relationships/hyperlink" Id="rId89" Target="https://doi.org/10.1016/j.ecolmodel.2007.10.025" TargetMode="External" /><Relationship Type="http://schemas.openxmlformats.org/officeDocument/2006/relationships/hyperlink" Id="rId110" Target="https://doi.org/10.1016/j.marchem.2005.03.008" TargetMode="External" /><Relationship Type="http://schemas.openxmlformats.org/officeDocument/2006/relationships/hyperlink" Id="rId112" Target="https://doi.org/10.1016/s0302-3524(80)80065-x" TargetMode="External" /><Relationship Type="http://schemas.openxmlformats.org/officeDocument/2006/relationships/hyperlink" Id="rId79" Target="https://doi.org/10.1016/s0304-3800(01)00328-3" TargetMode="External" /><Relationship Type="http://schemas.openxmlformats.org/officeDocument/2006/relationships/hyperlink" Id="rId93" Target="https://doi.org/10.1029/2007jc004663" TargetMode="External" /><Relationship Type="http://schemas.openxmlformats.org/officeDocument/2006/relationships/hyperlink" Id="rId151" Target="https://doi.org/10.1038/nature11205" TargetMode="External" /><Relationship Type="http://schemas.openxmlformats.org/officeDocument/2006/relationships/hyperlink" Id="rId81" Target="https://doi.org/10.1038/s41598-017-05031-7" TargetMode="External" /><Relationship Type="http://schemas.openxmlformats.org/officeDocument/2006/relationships/hyperlink" Id="rId149" Target="https://doi.org/10.1080/iw-6.4.883" TargetMode="External" /><Relationship Type="http://schemas.openxmlformats.org/officeDocument/2006/relationships/hyperlink" Id="rId108" Target="https://doi.org/10.1093/acprof:oso/9780198527084.003.0008" TargetMode="External" /><Relationship Type="http://schemas.openxmlformats.org/officeDocument/2006/relationships/hyperlink" Id="rId122" Target="https://doi.org/10.1139/f01-082" TargetMode="External" /><Relationship Type="http://schemas.openxmlformats.org/officeDocument/2006/relationships/hyperlink" Id="rId87" Target="https://doi.org/10.1146/annurev-marine-120709-142723" TargetMode="External" /><Relationship Type="http://schemas.openxmlformats.org/officeDocument/2006/relationships/hyperlink" Id="rId118" Target="https://doi.org/10.13031/2013.23153" TargetMode="External" /><Relationship Type="http://schemas.openxmlformats.org/officeDocument/2006/relationships/hyperlink" Id="rId145" Target="https://doi.org/10.1672/07-190.1" TargetMode="External" /><Relationship Type="http://schemas.openxmlformats.org/officeDocument/2006/relationships/hyperlink" Id="rId97" Target="https://doi.org/10.3354/meps301023" TargetMode="External" /><Relationship Type="http://schemas.openxmlformats.org/officeDocument/2006/relationships/hyperlink" Id="rId95" Target="https://doi.org/10.4319/lo.1992.37.6.1307" TargetMode="External" /><Relationship Type="http://schemas.openxmlformats.org/officeDocument/2006/relationships/hyperlink" Id="rId106" Target="https://doi.org/10.4319/lo.2010.55.3.1047" TargetMode="External" /><Relationship Type="http://schemas.openxmlformats.org/officeDocument/2006/relationships/hyperlink" Id="rId104" Target="https://doi.org/10.4319/lo.2013.58.6.2089" TargetMode="External" /><Relationship Type="http://schemas.openxmlformats.org/officeDocument/2006/relationships/hyperlink" Id="rId137" Target="https://doi.org/10.4319/lo.2014.59.5.1666" TargetMode="External" /><Relationship Type="http://schemas.openxmlformats.org/officeDocument/2006/relationships/hyperlink" Id="rId147" Target="https://doi.org/10.4319/lom.2014.12.351" TargetMode="External" /><Relationship Type="http://schemas.openxmlformats.org/officeDocument/2006/relationships/hyperlink" Id="rId91" Target="https://doi.org/10.5194/bg-11-2477-2014" TargetMode="External" /><Relationship Type="http://schemas.openxmlformats.org/officeDocument/2006/relationships/hyperlink" Id="rId31" Target="https://fawda123.github.io/EBASE/" TargetMode="External" /><Relationship Type="http://schemas.openxmlformats.org/officeDocument/2006/relationships/hyperlink" Id="rId133"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2" Target="https://doi.org/10.1002/2016GL068727" TargetMode="External" /><Relationship Type="http://schemas.openxmlformats.org/officeDocument/2006/relationships/hyperlink" Id="rId125" Target="https://doi.org/10.1002/2017gb005790" TargetMode="External" /><Relationship Type="http://schemas.openxmlformats.org/officeDocument/2006/relationships/hyperlink" Id="rId139" Target="https://doi.org/10.1002/ecs2.1867" TargetMode="External" /><Relationship Type="http://schemas.openxmlformats.org/officeDocument/2006/relationships/hyperlink" Id="rId99" Target="https://doi.org/10.1002/lom3.10011" TargetMode="External" /><Relationship Type="http://schemas.openxmlformats.org/officeDocument/2006/relationships/hyperlink" Id="rId76" Target="https://doi.org/10.1002/lom3.10062" TargetMode="External" /><Relationship Type="http://schemas.openxmlformats.org/officeDocument/2006/relationships/hyperlink" Id="rId83" Target="https://doi.org/10.1007/978-94-017-0299-7_19" TargetMode="External" /><Relationship Type="http://schemas.openxmlformats.org/officeDocument/2006/relationships/hyperlink" Id="rId135" Target="https://doi.org/10.1007/bf02782974" TargetMode="External" /><Relationship Type="http://schemas.openxmlformats.org/officeDocument/2006/relationships/hyperlink" Id="rId85" Target="https://doi.org/10.1007/bf02803563" TargetMode="External" /><Relationship Type="http://schemas.openxmlformats.org/officeDocument/2006/relationships/hyperlink" Id="rId143" Target="https://doi.org/10.1007/s00027-011-0199-2" TargetMode="External" /><Relationship Type="http://schemas.openxmlformats.org/officeDocument/2006/relationships/hyperlink" Id="rId129" Target="https://doi.org/10.1007/s12237-013-9765-2" TargetMode="External" /><Relationship Type="http://schemas.openxmlformats.org/officeDocument/2006/relationships/hyperlink" Id="rId120" Target="https://doi.org/10.1007/s12237-017-0328-9" TargetMode="External" /><Relationship Type="http://schemas.openxmlformats.org/officeDocument/2006/relationships/hyperlink" Id="rId127" Target="https://doi.org/10.1016/0022-1694(70)90255-6" TargetMode="External" /><Relationship Type="http://schemas.openxmlformats.org/officeDocument/2006/relationships/hyperlink" Id="rId116" Target="https://doi.org/10.1016/0198-0149(81)90122-9" TargetMode="External" /><Relationship Type="http://schemas.openxmlformats.org/officeDocument/2006/relationships/hyperlink" Id="rId114" Target="https://doi.org/10.1016/b978-0-12-374711-2.00706-3" TargetMode="External" /><Relationship Type="http://schemas.openxmlformats.org/officeDocument/2006/relationships/hyperlink" Id="rId141" Target="https://doi.org/10.1016/b978-0-12-405070-9.50007-4" TargetMode="External" /><Relationship Type="http://schemas.openxmlformats.org/officeDocument/2006/relationships/hyperlink" Id="rId89" Target="https://doi.org/10.1016/j.ecolmodel.2007.10.025" TargetMode="External" /><Relationship Type="http://schemas.openxmlformats.org/officeDocument/2006/relationships/hyperlink" Id="rId110" Target="https://doi.org/10.1016/j.marchem.2005.03.008" TargetMode="External" /><Relationship Type="http://schemas.openxmlformats.org/officeDocument/2006/relationships/hyperlink" Id="rId112" Target="https://doi.org/10.1016/s0302-3524(80)80065-x" TargetMode="External" /><Relationship Type="http://schemas.openxmlformats.org/officeDocument/2006/relationships/hyperlink" Id="rId79" Target="https://doi.org/10.1016/s0304-3800(01)00328-3" TargetMode="External" /><Relationship Type="http://schemas.openxmlformats.org/officeDocument/2006/relationships/hyperlink" Id="rId93" Target="https://doi.org/10.1029/2007jc004663" TargetMode="External" /><Relationship Type="http://schemas.openxmlformats.org/officeDocument/2006/relationships/hyperlink" Id="rId151" Target="https://doi.org/10.1038/nature11205" TargetMode="External" /><Relationship Type="http://schemas.openxmlformats.org/officeDocument/2006/relationships/hyperlink" Id="rId81" Target="https://doi.org/10.1038/s41598-017-05031-7" TargetMode="External" /><Relationship Type="http://schemas.openxmlformats.org/officeDocument/2006/relationships/hyperlink" Id="rId149" Target="https://doi.org/10.1080/iw-6.4.883" TargetMode="External" /><Relationship Type="http://schemas.openxmlformats.org/officeDocument/2006/relationships/hyperlink" Id="rId108" Target="https://doi.org/10.1093/acprof:oso/9780198527084.003.0008" TargetMode="External" /><Relationship Type="http://schemas.openxmlformats.org/officeDocument/2006/relationships/hyperlink" Id="rId122" Target="https://doi.org/10.1139/f01-082" TargetMode="External" /><Relationship Type="http://schemas.openxmlformats.org/officeDocument/2006/relationships/hyperlink" Id="rId87" Target="https://doi.org/10.1146/annurev-marine-120709-142723" TargetMode="External" /><Relationship Type="http://schemas.openxmlformats.org/officeDocument/2006/relationships/hyperlink" Id="rId118" Target="https://doi.org/10.13031/2013.23153" TargetMode="External" /><Relationship Type="http://schemas.openxmlformats.org/officeDocument/2006/relationships/hyperlink" Id="rId145" Target="https://doi.org/10.1672/07-190.1" TargetMode="External" /><Relationship Type="http://schemas.openxmlformats.org/officeDocument/2006/relationships/hyperlink" Id="rId97" Target="https://doi.org/10.3354/meps301023" TargetMode="External" /><Relationship Type="http://schemas.openxmlformats.org/officeDocument/2006/relationships/hyperlink" Id="rId95" Target="https://doi.org/10.4319/lo.1992.37.6.1307" TargetMode="External" /><Relationship Type="http://schemas.openxmlformats.org/officeDocument/2006/relationships/hyperlink" Id="rId106" Target="https://doi.org/10.4319/lo.2010.55.3.1047" TargetMode="External" /><Relationship Type="http://schemas.openxmlformats.org/officeDocument/2006/relationships/hyperlink" Id="rId104" Target="https://doi.org/10.4319/lo.2013.58.6.2089" TargetMode="External" /><Relationship Type="http://schemas.openxmlformats.org/officeDocument/2006/relationships/hyperlink" Id="rId137" Target="https://doi.org/10.4319/lo.2014.59.5.1666" TargetMode="External" /><Relationship Type="http://schemas.openxmlformats.org/officeDocument/2006/relationships/hyperlink" Id="rId147" Target="https://doi.org/10.4319/lom.2014.12.351" TargetMode="External" /><Relationship Type="http://schemas.openxmlformats.org/officeDocument/2006/relationships/hyperlink" Id="rId91" Target="https://doi.org/10.5194/bg-11-2477-2014" TargetMode="External" /><Relationship Type="http://schemas.openxmlformats.org/officeDocument/2006/relationships/hyperlink" Id="rId31" Target="https://fawda123.github.io/EBASE/" TargetMode="External" /><Relationship Type="http://schemas.openxmlformats.org/officeDocument/2006/relationships/hyperlink" Id="rId133"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2023-05-16T15:40:46Z</dcterms:created>
  <dcterms:modified xsi:type="dcterms:W3CDTF">2023-05-16T15:40:46Z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