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23" w:name="materials-and-procedures"/>
    <w:p>
      <w:pPr>
        <w:pStyle w:val="Heading2"/>
      </w:pPr>
      <w:r>
        <w:t xml:space="preserve">2 Materials and Procedures</w:t>
      </w:r>
    </w:p>
    <w:p>
      <w:pPr>
        <w:numPr>
          <w:ilvl w:val="0"/>
          <w:numId w:val="1002"/>
        </w:numPr>
        <w:pStyle w:val="Compact"/>
      </w:pPr>
      <w:r>
        <w:t xml:space="preserve">EBASE theory</w:t>
      </w:r>
    </w:p>
    <w:p>
      <w:pPr>
        <w:numPr>
          <w:ilvl w:val="0"/>
          <w:numId w:val="1002"/>
        </w:numPr>
        <w:pStyle w:val="Compact"/>
      </w:pPr>
      <w:r>
        <w:t xml:space="preserve">EBASE R package</w:t>
      </w:r>
    </w:p>
    <w:bookmarkEnd w:id="23"/>
    <w:bookmarkStart w:id="24" w:name="assessment"/>
    <w:p>
      <w:pPr>
        <w:pStyle w:val="Heading2"/>
      </w:pPr>
      <w:r>
        <w:t xml:space="preserve">3 Assessment</w:t>
      </w:r>
    </w:p>
    <w:p>
      <w:pPr>
        <w:numPr>
          <w:ilvl w:val="0"/>
          <w:numId w:val="1003"/>
        </w:numPr>
        <w:pStyle w:val="Compact"/>
      </w:pPr>
      <w:r>
        <w:t xml:space="preserve">Comparison with Odum and BASEmetab: Fwoxy Appalachicola</w:t>
      </w:r>
    </w:p>
    <w:p>
      <w:pPr>
        <w:numPr>
          <w:ilvl w:val="0"/>
          <w:numId w:val="1003"/>
        </w:numPr>
        <w:pStyle w:val="Compact"/>
      </w:pPr>
      <w:r>
        <w:t xml:space="preserve">Comparison with Odum and BASemetab: Apalachicola,</w:t>
      </w:r>
      <w:r>
        <w:t xml:space="preserve"> </w:t>
      </w:r>
      <w:hyperlink w:anchor="fig-apacmpfig">
        <w:r>
          <w:rPr>
            <w:rStyle w:val="Hyperlink"/>
          </w:rPr>
          <w:t xml:space="preserve">Figure 1</w:t>
        </w:r>
      </w:hyperlink>
    </w:p>
    <w:p>
      <w:pPr>
        <w:pStyle w:val="FirstParagraph"/>
      </w:pPr>
      <w:r>
        <w:t xml:space="preserve">Metabolic estimates from EBASE were compared to those from existing methods to benchmark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from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metabolic estimates returned by each method were converted to volumetric rates by dividing by the depth.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suggested an overall bias in magnitude, whereas the slope was further tested to determine if the estimate was significantly different than one, suggesting a bias that depended on relative value of each observation (e.g., bias may differ between lower or higher values). Comparisons were made for the whole year and by wet (June, July, August, September) or dry (all other months) season observations. Results were also assessed separately for estimates based on the observed or detided disssolved oxygen time series.</w:t>
      </w:r>
    </w:p>
    <w:p>
      <w:pPr>
        <w:numPr>
          <w:ilvl w:val="0"/>
          <w:numId w:val="1004"/>
        </w:numPr>
        <w:pStyle w:val="Compact"/>
      </w:pPr>
      <w:r>
        <w:t xml:space="preserve">Sensitivity analyses:</w:t>
      </w:r>
    </w:p>
    <w:p>
      <w:pPr>
        <w:numPr>
          <w:ilvl w:val="1"/>
          <w:numId w:val="1005"/>
        </w:numPr>
        <w:pStyle w:val="Compact"/>
      </w:pPr>
      <w:r>
        <w:t xml:space="preserve">optimization length</w:t>
      </w:r>
    </w:p>
    <w:p>
      <w:pPr>
        <w:numPr>
          <w:ilvl w:val="1"/>
          <w:numId w:val="1005"/>
        </w:numPr>
        <w:pStyle w:val="Compact"/>
      </w:pPr>
      <w:r>
        <w:t xml:space="preserve">priors</w:t>
      </w:r>
    </w:p>
    <w:p>
      <w:pPr>
        <w:numPr>
          <w:ilvl w:val="0"/>
          <w:numId w:val="1004"/>
        </w:numPr>
        <w:pStyle w:val="Compact"/>
      </w:pPr>
      <w:r>
        <w:t xml:space="preserve">Application to representative NERR sites</w:t>
      </w:r>
    </w:p>
    <w:bookmarkEnd w:id="24"/>
    <w:bookmarkStart w:id="25" w:name="discussion"/>
    <w:p>
      <w:pPr>
        <w:pStyle w:val="Heading2"/>
      </w:pPr>
      <w:r>
        <w:t xml:space="preserve">4 Discussion</w:t>
      </w:r>
    </w:p>
    <w:bookmarkEnd w:id="25"/>
    <w:bookmarkStart w:id="26" w:name="comments-and-recommendations"/>
    <w:p>
      <w:pPr>
        <w:pStyle w:val="Heading2"/>
      </w:pPr>
      <w:r>
        <w:t xml:space="preserve">5 Comments and Recommendations</w:t>
      </w:r>
    </w:p>
    <w:bookmarkEnd w:id="26"/>
    <w:bookmarkStart w:id="27" w:name="acknowledgments"/>
    <w:p>
      <w:pPr>
        <w:pStyle w:val="Heading2"/>
      </w:pPr>
      <w:r>
        <w:t xml:space="preserve">Acknowledgments</w:t>
      </w:r>
    </w:p>
    <w:bookmarkEnd w:id="27"/>
    <w:bookmarkStart w:id="32"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31" w:name="fig-apacmpfig"/>
          <w:p>
            <w:pPr>
              <w:pStyle w:val="Figure"/>
              <w:jc w:val="center"/>
            </w:pPr>
            <w:r>
              <w:drawing>
                <wp:inline>
                  <wp:extent cx="5943600" cy="6686550"/>
                  <wp:effectExtent b="0" l="0" r="0" t="0"/>
                  <wp:docPr descr="" title="" id="29" name="Picture"/>
                  <a:graphic>
                    <a:graphicData uri="http://schemas.openxmlformats.org/drawingml/2006/picture">
                      <pic:pic>
                        <pic:nvPicPr>
                          <pic:cNvPr descr="figs/apacmpfig.png" id="30" name="Picture"/>
                          <pic:cNvPicPr>
                            <a:picLocks noChangeArrowheads="1" noChangeAspect="1"/>
                          </pic:cNvPicPr>
                        </pic:nvPicPr>
                        <pic:blipFill>
                          <a:blip r:embed="rId28"/>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31"/>
        </w:tc>
      </w:tr>
    </w:tbl>
    <w:bookmarkEnd w:id="32"/>
    <w:bookmarkStart w:id="33"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bookmarkEnd w:id="33"/>
    <w:bookmarkStart w:id="39" w:name="references"/>
    <w:p>
      <w:pPr>
        <w:pStyle w:val="Heading2"/>
      </w:pPr>
      <w:r>
        <w:t xml:space="preserve">References</w:t>
      </w:r>
    </w:p>
    <w:bookmarkStart w:id="38" w:name="refs"/>
    <w:bookmarkStart w:id="35"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4">
        <w:r>
          <w:rPr>
            <w:rStyle w:val="Hyperlink"/>
          </w:rPr>
          <w:t xml:space="preserve">10.1002/lom3.10062</w:t>
        </w:r>
      </w:hyperlink>
    </w:p>
    <w:bookmarkEnd w:id="35"/>
    <w:bookmarkStart w:id="37"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36">
        <w:r>
          <w:rPr>
            <w:rStyle w:val="Hyperlink"/>
          </w:rPr>
          <w:t xml:space="preserve">10.1002/lom3.10011</w:t>
        </w:r>
      </w:hyperlink>
    </w:p>
    <w:bookmarkEnd w:id="37"/>
    <w:bookmarkEnd w:id="38"/>
    <w:bookmarkEnd w:id="39"/>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36" Target="https://doi.org/10.1002/lom3.10011" TargetMode="External" /><Relationship Type="http://schemas.openxmlformats.org/officeDocument/2006/relationships/hyperlink" Id="rId34" Target="https://doi.org/10.1002/lom3.10062"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lom3.10011" TargetMode="External" /><Relationship Type="http://schemas.openxmlformats.org/officeDocument/2006/relationships/hyperlink" Id="rId34" Target="https://doi.org/10.1002/lom3.10062"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2022-12-16T17:44:43Z</dcterms:created>
  <dcterms:modified xsi:type="dcterms:W3CDTF">2022-12-16T17:44:43Z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