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5.png" ContentType="image/png"/>
  <Override PartName="/word/media/rId145.png" ContentType="image/png"/>
  <Override PartName="/word/media/rId153.png" ContentType="image/png"/>
  <Override PartName="/word/media/rId149.png" ContentType="image/png"/>
  <Override PartName="/word/media/rId137.png" ContentType="image/png"/>
  <Override PartName="/word/media/rId141.png" ContentType="image/png"/>
  <Override PartName="/word/media/rId157.png" ContentType="image/png"/>
  <Override PartName="/word/media/rId16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unphysical results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2"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river, ocean, and atmosphere. As materials are transported from land to rivers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(i.e., outgassing), the sediments (i.e., burial), and the ocean (i.e., advection).</w:t>
      </w:r>
    </w:p>
    <w:p>
      <w:pPr>
        <w:pStyle w:val="BodyText"/>
      </w:pPr>
      <w:r>
        <w:t xml:space="preserve">Methods for estimating metabolism in aquatic environments are numerous and include open-water techniques, bottle-based incubations, ecosystem budgets, oxygen isotopes, use of inert gases, and aquatic eddy covariance</w:t>
      </w:r>
      <w:r>
        <w:t xml:space="preserve"> </w:t>
      </w:r>
      <w:r>
        <w:t xml:space="preserve">(Kemp and Testa 2011; Staehr et al. 2011; Berg et al. 2022)</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an assumption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Note that R is often expressed as a negative value indicating consumption of dissolved oxygen. Here and throughout, we express correct values of R as positive values given the metabolic model described below.</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statistical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the gas transfer velocity using this approach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Z</m:t>
        </m:r>
      </m:oMath>
      <w:r>
        <w:t xml:space="preserve"> </w:t>
      </w:r>
      <w:r>
        <w:t xml:space="preserve">and no lateral transport processes:</w:t>
      </w:r>
    </w:p>
    <w:p>
      <w:pPr>
        <w:pStyle w:val="BodyText"/>
      </w:pPr>
      <w:bookmarkStart w:id="23" w:name="eq-ebase"/>
      <m:oMathPara>
        <m:oMathParaPr>
          <m:jc m:val="center"/>
        </m:oMathParaPr>
        <m:oMath>
          <m:r>
            <m:t>Z</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Both</w:t>
      </w:r>
      <w:r>
        <w:t xml:space="preserve"> </w:t>
      </w:r>
      <m:oMath>
        <m:r>
          <m:t>P</m:t>
        </m:r>
      </m:oMath>
      <w:r>
        <w:t xml:space="preserve"> </w:t>
      </w:r>
      <w:r>
        <w:t xml:space="preserve">and</w:t>
      </w:r>
      <w:r>
        <w:t xml:space="preserve"> </w:t>
      </w:r>
      <m:oMath>
        <m:r>
          <m:t>R</m:t>
        </m:r>
      </m:oMath>
      <w:r>
        <w:t xml:space="preserve"> </w:t>
      </w:r>
      <w:r>
        <w:t xml:space="preserve">are expressed as positive values, whereas</w:t>
      </w:r>
      <w:r>
        <w:t xml:space="preserve"> </w:t>
      </w:r>
      <m:oMath>
        <m:r>
          <m:t>D</m:t>
        </m:r>
      </m:oMath>
      <w:r>
        <w:t xml:space="preserve"> </w:t>
      </w:r>
      <w:r>
        <w:t xml:space="preserve">can be positive (outgassing) or negative (ingassing). The equation has dimensions of moles per unit area and time.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 (</w:t>
      </w:r>
      <w:hyperlink w:anchor="tbl-ebaseiotab">
        <w:r>
          <w:rPr>
            <w:rStyle w:val="Hyperlink"/>
          </w:rPr>
          <w:t xml:space="preserve">Table 1</w:t>
        </w:r>
      </w:hyperlink>
      <w:r>
        <w:t xml:space="preserve">).</w:t>
      </w:r>
    </w:p>
    <w:bookmarkStart w:id="27"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Z</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the well-established wind- and temperature-based parameterization for gas exchange of</w:t>
      </w:r>
      <w:r>
        <w:t xml:space="preserve"> </w:t>
      </w:r>
      <w:r>
        <w:t xml:space="preserve">Wanninkhof (2014)</w:t>
      </w:r>
      <w:r>
        <w:t xml:space="preserve"> </w:t>
      </w:r>
      <w:r>
        <w:t xml:space="preserve">was used for EBASE, but allowing</w:t>
      </w:r>
      <w:r>
        <w:t xml:space="preserve"> </w:t>
      </w:r>
      <m:oMath>
        <m:r>
          <m:t>b</m:t>
        </m:r>
      </m:oMath>
      <w:r>
        <w:t xml:space="preserve">, which was estimated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EBASE differs from BASE in model implementation in two ways. First, users can specify the model optimization period as the amount of time over which the unknown parameters are estimated from the Bayesian prior distributions (i.e.,</w:t>
      </w:r>
      <w:r>
        <w:t xml:space="preserve"> </w:t>
      </w:r>
      <m:oMath>
        <m:r>
          <m:t>a</m:t>
        </m:r>
      </m:oMath>
      <w:r>
        <w:t xml:space="preserve">,</w:t>
      </w:r>
      <w:r>
        <w:t xml:space="preserve"> </w:t>
      </w:r>
      <m:oMath>
        <m:r>
          <m:t>R</m:t>
        </m:r>
      </m:oMath>
      <w:r>
        <w:t xml:space="preserve">, and</w:t>
      </w:r>
      <w:r>
        <w:t xml:space="preserve"> </w:t>
      </w:r>
      <m:oMath>
        <m:r>
          <m:t>b</m:t>
        </m:r>
      </m:oMath>
      <w:r>
        <w:t xml:space="preserve">). The optimization period determines how much data are used to estimate each parameter. Only one estimate for each of</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is returned for each optimization period as defined by the model, although</w:t>
      </w:r>
      <w:r>
        <w:t xml:space="preserve"> </w:t>
      </w:r>
      <m:oMath>
        <m:r>
          <m:t>P</m:t>
        </m:r>
      </m:oMath>
      <w:r>
        <w:t xml:space="preserve"> </w:t>
      </w:r>
      <w:r>
        <w:t xml:space="preserve">and</w:t>
      </w:r>
      <w:r>
        <w:t xml:space="preserve"> </w:t>
      </w:r>
      <m:oMath>
        <m:r>
          <m:t>D</m:t>
        </m:r>
      </m:oMath>
      <w:r>
        <w:t xml:space="preserve"> </w:t>
      </w:r>
      <w:r>
        <w:t xml:space="preserve">can vary continuously given the dependence on other inputs that can vary at each time step (e.g.,</w:t>
      </w:r>
      <w:r>
        <w:t xml:space="preserve"> </w:t>
      </w:r>
      <m:oMath>
        <m:r>
          <m:t>P</m:t>
        </m:r>
        <m:r>
          <m:t>A</m:t>
        </m:r>
        <m:r>
          <m:t>R</m:t>
        </m:r>
      </m:oMath>
      <w:r>
        <w:t xml:space="preserve"> </w:t>
      </w:r>
      <w:r>
        <w:t xml:space="preserve">and wind). The optimization period can vary from a minimum of 1 day (defined as midnight to midnight the following day) to a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All gaps are linearly interpolated to allow the model estimation to proceed continuously and any results for an optimization period with gaps larger than 12 hours are removed, eliminating the need to pre- and post-process the data when using EBASE. The user can vary the criteria for removing results (e.g., 6 hours as a more conservative criteria). Again, this feature was not included in the original BASE method and a complete time series was required for use. A detailed web page (</w:t>
      </w:r>
      <w:hyperlink w:anchor="X6589fc6ab0dc82cf12099d1c2d40ab994e8410c">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w:t>
      </w:r>
    </w:p>
    <w:bookmarkEnd w:id="27"/>
    <w:bookmarkStart w:id="31"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(default 10,000)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All parameter inputs and outputs for EBASE are shown in</w:t>
      </w:r>
      <w:r>
        <w:t xml:space="preserve"> </w:t>
      </w:r>
      <w:hyperlink w:anchor="tbl-ebaseiotab">
        <w:r>
          <w:rPr>
            <w:rStyle w:val="Hyperlink"/>
          </w:rPr>
          <w:t xml:space="preserve">Table 1</w:t>
        </w:r>
      </w:hyperlink>
      <w:r>
        <w:t xml:space="preserve">.</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28"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1"/>
    <w:bookmarkEnd w:id="32"/>
    <w:bookmarkStart w:id="39" w:name="assessment"/>
    <w:p>
      <w:pPr>
        <w:pStyle w:val="Heading2"/>
      </w:pPr>
      <w:r>
        <w:t xml:space="preserve">Assessment</w:t>
      </w:r>
    </w:p>
    <w:bookmarkStart w:id="37"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w:t>
      </w:r>
      <w:r>
        <w:t xml:space="preserve"> </w:t>
      </w:r>
      <w:r>
        <w:t xml:space="preserve">(NOAA NERRS 2023)</w:t>
      </w:r>
      <w:r>
        <w:t xml:space="preserve">.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estimated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yet noisier than, that of light efficiency,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availability and high temperature; and (3) the air–water gas flux mimic productivity on short time scales, with ingassing during high productivity and outgassing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3"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3"/>
    <w:bookmarkStart w:id="35"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 metabolic parameters.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to the synthetic one-year time series ($b$ was fixed for the sensitivity analysis) based on daily averages for both the synthetic and EBASE results. For the latter, parameters that are only returned as individual values for each optimization period ($a$, $R$, and $b$) were assigned as daily values for comparability of summary statistics where $n$ is the same across analyses.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resutls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5"/>
    <w:bookmarkStart w:id="36"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where the detided results are simply the predictions at average tidal height</w:t>
      </w:r>
      <w:r>
        <w:t xml:space="preserve"> </w:t>
      </w:r>
      <w:r>
        <w:t xml:space="preserve">(see Beck et al. 2015 for details)</w:t>
      </w:r>
      <w:r>
        <w:t xml:space="preserve">. This method was only applied to dissolved oxygen since it has not been evaluated with any other parameters.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6"/>
    <w:bookmarkEnd w:id="37"/>
    <w:bookmarkStart w:id="38"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8"/>
    <w:bookmarkEnd w:id="39"/>
    <w:bookmarkStart w:id="40"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depth-dependent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 Further, EBASE could be applied to other non-tidal, lotic systems, although additional comparisons with existing methods are needed and the default uninformed prior distributions should be chosen carefully given the justification herein based primarily on estuarine literature</w:t>
      </w:r>
      <w:r>
        <w:t xml:space="preserve"> </w:t>
      </w:r>
      <w:r>
        <w:t xml:space="preserve">(e.g., Caffrey 2004)</w:t>
      </w:r>
      <w:r>
        <w:t xml:space="preserve">.</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 These hypotheses may also consider frequency of continuous monitoring (e.g., 15 minute vs hourly) and how this may influence the results, as this is currently unknown for EBASE.</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 More conservative gaps can be chosen if, for example, semidiurnal tidal signals operating at time scales less than 12 hours are expected to influence the results. However, detiding is strongly encouraged in these cases and the default gap size of 12 hours that describes the diurnal oxygen signal is likely appropriate after detiding.</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0"/>
    <w:bookmarkStart w:id="41"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1"/>
    <w:bookmarkStart w:id="135" w:name="references"/>
    <w:p>
      <w:pPr>
        <w:pStyle w:val="Heading2"/>
      </w:pPr>
      <w:r>
        <w:t xml:space="preserve">References</w:t>
      </w:r>
    </w:p>
    <w:bookmarkStart w:id="134" w:name="refs"/>
    <w:bookmarkStart w:id="43"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2">
        <w:r>
          <w:rPr>
            <w:rStyle w:val="Hyperlink"/>
          </w:rPr>
          <w:t xml:space="preserve">10.1007/bf02532251</w:t>
        </w:r>
      </w:hyperlink>
    </w:p>
    <w:bookmarkEnd w:id="43"/>
    <w:bookmarkStart w:id="44" w:name="ref-Beck23a"/>
    <w:p>
      <w:pPr>
        <w:pStyle w:val="Bibliography"/>
      </w:pPr>
      <w:r>
        <w:t xml:space="preserve">Beck, M. W. 2023. WtRegDO: Implement weighted regression on dissolved oxygen time series,.</w:t>
      </w:r>
    </w:p>
    <w:bookmarkEnd w:id="44"/>
    <w:bookmarkStart w:id="46"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5">
        <w:r>
          <w:rPr>
            <w:rStyle w:val="Hyperlink"/>
          </w:rPr>
          <w:t xml:space="preserve">10.1002/lom3.10062</w:t>
        </w:r>
      </w:hyperlink>
    </w:p>
    <w:bookmarkEnd w:id="46"/>
    <w:bookmarkStart w:id="47"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47"/>
    <w:bookmarkStart w:id="49" w:name="ref-berg2022"/>
    <w:p>
      <w:pPr>
        <w:pStyle w:val="Bibliography"/>
      </w:pPr>
      <w:r>
        <w:t xml:space="preserve">Berg, P., M. Huettel, R. N. Glud, C. E. Reimers, and K. M. Attard. 2022.</w:t>
      </w:r>
      <w:r>
        <w:t xml:space="preserve"> </w:t>
      </w:r>
      <w:r>
        <w:t xml:space="preserve">A</w:t>
      </w:r>
      <w:r>
        <w:t xml:space="preserve">quatic</w:t>
      </w:r>
      <w:r>
        <w:t xml:space="preserve"> </w:t>
      </w:r>
      <w:r>
        <w:t xml:space="preserve">E</w:t>
      </w:r>
      <w:r>
        <w:t xml:space="preserve">ddy</w:t>
      </w:r>
      <w:r>
        <w:t xml:space="preserve"> </w:t>
      </w:r>
      <w:r>
        <w:t xml:space="preserve">C</w:t>
      </w:r>
      <w:r>
        <w:t xml:space="preserve">ovariance: The Method and Its Contributions to Defining Oxygen and Carbon Fluxes in Marine Environments. Annual Review of Marine Science</w:t>
      </w:r>
      <w:r>
        <w:t xml:space="preserve"> </w:t>
      </w:r>
      <w:r>
        <w:rPr>
          <w:bCs/>
          <w:b/>
        </w:rPr>
        <w:t xml:space="preserve">14</w:t>
      </w:r>
      <w:r>
        <w:t xml:space="preserve">: 431–455. doi:</w:t>
      </w:r>
      <w:hyperlink r:id="rId48">
        <w:r>
          <w:rPr>
            <w:rStyle w:val="Hyperlink"/>
          </w:rPr>
          <w:t xml:space="preserve">10.1146/annurev-marine-042121-012329</w:t>
        </w:r>
      </w:hyperlink>
    </w:p>
    <w:bookmarkEnd w:id="49"/>
    <w:bookmarkStart w:id="51" w:name="ref-Borges11"/>
    <w:p>
      <w:pPr>
        <w:pStyle w:val="Bibliography"/>
      </w:pPr>
      <w:r>
        <w:t xml:space="preserve">Borges, A. V., and G. Abril. 2011.</w:t>
      </w:r>
      <w:r>
        <w:t xml:space="preserve"> </w:t>
      </w:r>
      <w:hyperlink r:id="rId50">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1"/>
    <w:bookmarkStart w:id="53"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2">
        <w:r>
          <w:rPr>
            <w:rStyle w:val="Hyperlink"/>
          </w:rPr>
          <w:t xml:space="preserve">10.1016/s0304-3800(01)00328-3</w:t>
        </w:r>
      </w:hyperlink>
    </w:p>
    <w:bookmarkEnd w:id="53"/>
    <w:bookmarkStart w:id="55"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4">
        <w:r>
          <w:rPr>
            <w:rStyle w:val="Hyperlink"/>
          </w:rPr>
          <w:t xml:space="preserve">10.1038/s41598-017-05031-7</w:t>
        </w:r>
      </w:hyperlink>
    </w:p>
    <w:bookmarkEnd w:id="55"/>
    <w:bookmarkStart w:id="57" w:name="ref-caffrey2003"/>
    <w:p>
      <w:pPr>
        <w:pStyle w:val="Bibliography"/>
      </w:pPr>
      <w:r>
        <w:t xml:space="preserve">Caffrey, J. M. 2003.</w:t>
      </w:r>
      <w:r>
        <w:t xml:space="preserve"> </w:t>
      </w:r>
      <w:hyperlink r:id="rId56">
        <w:r>
          <w:rPr>
            <w:rStyle w:val="Hyperlink"/>
          </w:rPr>
          <w:t xml:space="preserve">Production, respiration and net ecosystem metabolism in</w:t>
        </w:r>
        <w:r>
          <w:rPr>
            <w:rStyle w:val="Hyperlink"/>
          </w:rPr>
          <w:t xml:space="preserve"> </w:t>
        </w:r>
        <w:r>
          <w:rPr>
            <w:rStyle w:val="Hyperlink"/>
          </w:rPr>
          <w:t xml:space="preserve">U.S.</w:t>
        </w:r>
        <w:r>
          <w:rPr>
            <w:rStyle w:val="Hyperlink"/>
          </w:rPr>
          <w:t xml:space="preserve"> </w:t>
        </w:r>
        <w:r>
          <w:rPr>
            <w:rStyle w:val="Hyperlink"/>
          </w:rPr>
          <w:t xml:space="preserve">estuaries</w:t>
        </w:r>
      </w:hyperlink>
      <w:r>
        <w:t xml:space="preserve">, p. 207–219.</w:t>
      </w:r>
      <w:r>
        <w:t xml:space="preserve"> </w:t>
      </w:r>
      <w:r>
        <w:rPr>
          <w:iCs/>
          <w:i/>
        </w:rPr>
        <w:t xml:space="preserve">In</w:t>
      </w:r>
      <w:r>
        <w:t xml:space="preserve"> </w:t>
      </w:r>
      <w:r>
        <w:t xml:space="preserve">B.D. Melzian, V. Engle, M. McAlister, S. Sandhu, and L.K. Eads [eds.], Coastal monitoring through partnerships. Springer Netherlands.</w:t>
      </w:r>
    </w:p>
    <w:bookmarkEnd w:id="57"/>
    <w:bookmarkStart w:id="59"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58">
        <w:r>
          <w:rPr>
            <w:rStyle w:val="Hyperlink"/>
          </w:rPr>
          <w:t xml:space="preserve">10.1007/bf02803563</w:t>
        </w:r>
      </w:hyperlink>
    </w:p>
    <w:bookmarkEnd w:id="59"/>
    <w:bookmarkStart w:id="61"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60">
        <w:r>
          <w:rPr>
            <w:rStyle w:val="Hyperlink"/>
          </w:rPr>
          <w:t xml:space="preserve">10.1146/annurev-marine-120709-142723</w:t>
        </w:r>
      </w:hyperlink>
    </w:p>
    <w:bookmarkEnd w:id="61"/>
    <w:bookmarkStart w:id="63"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62">
        <w:r>
          <w:rPr>
            <w:rStyle w:val="Hyperlink"/>
          </w:rPr>
          <w:t xml:space="preserve">10.1016/j.ecolmodel.2007.10.025</w:t>
        </w:r>
      </w:hyperlink>
    </w:p>
    <w:bookmarkEnd w:id="63"/>
    <w:bookmarkStart w:id="65"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4">
        <w:r>
          <w:rPr>
            <w:rStyle w:val="Hyperlink"/>
          </w:rPr>
          <w:t xml:space="preserve">10.5194/bg-11-2477-2014</w:t>
        </w:r>
      </w:hyperlink>
    </w:p>
    <w:bookmarkEnd w:id="65"/>
    <w:bookmarkStart w:id="67"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6">
        <w:r>
          <w:rPr>
            <w:rStyle w:val="Hyperlink"/>
          </w:rPr>
          <w:t xml:space="preserve">10.1029/2007jc004663</w:t>
        </w:r>
      </w:hyperlink>
    </w:p>
    <w:bookmarkEnd w:id="67"/>
    <w:bookmarkStart w:id="69" w:name="ref-frew1997"/>
    <w:p>
      <w:pPr>
        <w:pStyle w:val="Bibliography"/>
      </w:pPr>
      <w:r>
        <w:t xml:space="preserve">Frew, N. M. 1997.</w:t>
      </w:r>
      <w:r>
        <w:t xml:space="preserve"> </w:t>
      </w:r>
      <w:hyperlink r:id="rId68">
        <w:r>
          <w:rPr>
            <w:rStyle w:val="Hyperlink"/>
          </w:rPr>
          <w:t xml:space="preserve">The role of organic films in air-sea gas exchange</w:t>
        </w:r>
      </w:hyperlink>
      <w:r>
        <w:t xml:space="preserve">, p. 121–172.</w:t>
      </w:r>
      <w:r>
        <w:t xml:space="preserve"> </w:t>
      </w:r>
      <w:r>
        <w:rPr>
          <w:iCs/>
          <w:i/>
        </w:rPr>
        <w:t xml:space="preserve">In</w:t>
      </w:r>
      <w:r>
        <w:t xml:space="preserve"> </w:t>
      </w:r>
      <w:r>
        <w:t xml:space="preserve">P.S. Liss and R.A. Duce [eds.], The sea surface and global change. Cambridge University Press.</w:t>
      </w:r>
    </w:p>
    <w:bookmarkEnd w:id="69"/>
    <w:bookmarkStart w:id="71"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0">
        <w:r>
          <w:rPr>
            <w:rStyle w:val="Hyperlink"/>
          </w:rPr>
          <w:t xml:space="preserve">10.4319/lo.1992.37.6.1307</w:t>
        </w:r>
      </w:hyperlink>
    </w:p>
    <w:bookmarkEnd w:id="71"/>
    <w:bookmarkStart w:id="73"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2">
        <w:r>
          <w:rPr>
            <w:rStyle w:val="Hyperlink"/>
          </w:rPr>
          <w:t xml:space="preserve">10.3354/meps301023</w:t>
        </w:r>
      </w:hyperlink>
    </w:p>
    <w:bookmarkEnd w:id="73"/>
    <w:bookmarkStart w:id="75"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BASE</w:t>
      </w:r>
      <w:r>
        <w:t xml:space="preserve"> </w:t>
      </w:r>
      <w:r>
        <w:t xml:space="preserve">(</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4">
        <w:r>
          <w:rPr>
            <w:rStyle w:val="Hyperlink"/>
          </w:rPr>
          <w:t xml:space="preserve">10.1002/lom3.10011</w:t>
        </w:r>
      </w:hyperlink>
    </w:p>
    <w:bookmarkEnd w:id="75"/>
    <w:bookmarkStart w:id="76" w:name="ref-Hilborn13"/>
    <w:p>
      <w:pPr>
        <w:pStyle w:val="Bibliography"/>
      </w:pPr>
      <w:r>
        <w:t xml:space="preserve">Hilborn, R., and M. Mangel. 2013. The ecological detective: Confronting models with data, Princeton University Press.</w:t>
      </w:r>
    </w:p>
    <w:bookmarkEnd w:id="76"/>
    <w:bookmarkStart w:id="78"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7">
        <w:r>
          <w:rPr>
            <w:rStyle w:val="Hyperlink"/>
          </w:rPr>
          <w:t xml:space="preserve">10.1002/2016GL068727</w:t>
        </w:r>
      </w:hyperlink>
    </w:p>
    <w:bookmarkEnd w:id="78"/>
    <w:bookmarkStart w:id="80"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79">
        <w:r>
          <w:rPr>
            <w:rStyle w:val="Hyperlink"/>
          </w:rPr>
          <w:t xml:space="preserve">10.4319/lo.2013.58.6.2089</w:t>
        </w:r>
      </w:hyperlink>
    </w:p>
    <w:bookmarkEnd w:id="80"/>
    <w:bookmarkStart w:id="82"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1">
        <w:r>
          <w:rPr>
            <w:rStyle w:val="Hyperlink"/>
          </w:rPr>
          <w:t xml:space="preserve">10.4319/lo.2010.55.3.1047</w:t>
        </w:r>
      </w:hyperlink>
    </w:p>
    <w:bookmarkEnd w:id="82"/>
    <w:bookmarkStart w:id="84" w:name="ref-hopkinson2005"/>
    <w:p>
      <w:pPr>
        <w:pStyle w:val="Bibliography"/>
      </w:pPr>
      <w:r>
        <w:t xml:space="preserve">Hopkinson, C. S., and E. M. Smith. 2005.</w:t>
      </w:r>
      <w:r>
        <w:t xml:space="preserve"> </w:t>
      </w:r>
      <w:hyperlink r:id="rId83">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P. Del Giorgio and P. Williams [eds.], Respiration in aquatic ecosystems. Oxford University Press.</w:t>
      </w:r>
    </w:p>
    <w:bookmarkEnd w:id="84"/>
    <w:bookmarkStart w:id="86"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5">
        <w:r>
          <w:rPr>
            <w:rStyle w:val="Hyperlink"/>
          </w:rPr>
          <w:t xml:space="preserve">10.1016/j.marchem.2005.03.008</w:t>
        </w:r>
      </w:hyperlink>
    </w:p>
    <w:bookmarkEnd w:id="86"/>
    <w:bookmarkStart w:id="88"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7">
        <w:r>
          <w:rPr>
            <w:rStyle w:val="Hyperlink"/>
          </w:rPr>
          <w:t xml:space="preserve">10.1016/j.agrformet.2003.10.001</w:t>
        </w:r>
      </w:hyperlink>
    </w:p>
    <w:bookmarkEnd w:id="88"/>
    <w:bookmarkStart w:id="90"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89">
        <w:r>
          <w:rPr>
            <w:rStyle w:val="Hyperlink"/>
          </w:rPr>
          <w:t xml:space="preserve">10.1016/s0302-3524(80)80065-x</w:t>
        </w:r>
      </w:hyperlink>
    </w:p>
    <w:bookmarkEnd w:id="90"/>
    <w:bookmarkStart w:id="92" w:name="ref-kemp2011"/>
    <w:p>
      <w:pPr>
        <w:pStyle w:val="Bibliography"/>
      </w:pPr>
      <w:r>
        <w:t xml:space="preserve">Kemp, W. M., and J. M. Testa. 2011.</w:t>
      </w:r>
      <w:r>
        <w:t xml:space="preserve"> </w:t>
      </w:r>
      <w:hyperlink r:id="rId91">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 Wolanski and D. McLusky [eds.], Treatise on estuarine and coastal science. Elsevier.</w:t>
      </w:r>
    </w:p>
    <w:bookmarkEnd w:id="92"/>
    <w:bookmarkStart w:id="94"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3">
        <w:r>
          <w:rPr>
            <w:rStyle w:val="Hyperlink"/>
          </w:rPr>
          <w:t xml:space="preserve">10.1175/1520-0477(1997)078&lt;0197:eagmeb&gt;2.0.co;2</w:t>
        </w:r>
      </w:hyperlink>
    </w:p>
    <w:bookmarkEnd w:id="94"/>
    <w:bookmarkStart w:id="96"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5">
        <w:r>
          <w:rPr>
            <w:rStyle w:val="Hyperlink"/>
          </w:rPr>
          <w:t xml:space="preserve">10.13031/2013.23153</w:t>
        </w:r>
      </w:hyperlink>
    </w:p>
    <w:bookmarkEnd w:id="96"/>
    <w:bookmarkStart w:id="98"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97">
        <w:r>
          <w:rPr>
            <w:rStyle w:val="Hyperlink"/>
          </w:rPr>
          <w:t xml:space="preserve">10.1007/s12237-017-0328-9</w:t>
        </w:r>
      </w:hyperlink>
    </w:p>
    <w:bookmarkEnd w:id="98"/>
    <w:bookmarkStart w:id="100"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99">
        <w:r>
          <w:rPr>
            <w:rStyle w:val="Hyperlink"/>
          </w:rPr>
          <w:t xml:space="preserve">10.1139/f01-082</w:t>
        </w:r>
      </w:hyperlink>
    </w:p>
    <w:bookmarkEnd w:id="100"/>
    <w:bookmarkStart w:id="101"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w:t>
      </w:r>
      <w:r>
        <w:rPr>
          <w:iCs/>
          <w:i/>
        </w:rPr>
        <w:t xml:space="preserve">halassia testudinum</w:t>
      </w:r>
      <w:r>
        <w:t xml:space="preserve"> </w:t>
      </w:r>
      <w:r>
        <w:t xml:space="preserve">communities throughout</w:t>
      </w:r>
      <w:r>
        <w:t xml:space="preserve"> </w:t>
      </w:r>
      <w:r>
        <w:t xml:space="preserve">F</w:t>
      </w:r>
      <w:r>
        <w:t xml:space="preserve">lorida</w:t>
      </w:r>
      <w:r>
        <w:t xml:space="preserve"> </w:t>
      </w:r>
      <w:r>
        <w:t xml:space="preserve">B</w:t>
      </w:r>
      <w:r>
        <w:t xml:space="preserve">ay. Contributions in Marine Science</w:t>
      </w:r>
      <w:r>
        <w:t xml:space="preserve"> </w:t>
      </w:r>
      <w:r>
        <w:rPr>
          <w:bCs/>
          <w:b/>
        </w:rPr>
        <w:t xml:space="preserve">38</w:t>
      </w:r>
      <w:r>
        <w:t xml:space="preserve">: 91–108.</w:t>
      </w:r>
    </w:p>
    <w:bookmarkEnd w:id="101"/>
    <w:bookmarkStart w:id="103" w:name="ref-najjar2018"/>
    <w:p>
      <w:pPr>
        <w:pStyle w:val="Bibliography"/>
      </w:pPr>
      <w:r>
        <w:t xml:space="preserve">Najjar, R. G., M. Herrmann, R. Alexander, and others. 2018. Carbon budget of tidal wetlands, estuaries, and shelf waters of eastern</w:t>
      </w:r>
      <w:r>
        <w:t xml:space="preserve"> </w:t>
      </w:r>
      <w:r>
        <w:t xml:space="preserve">N</w:t>
      </w:r>
      <w:r>
        <w:t xml:space="preserve">orth</w:t>
      </w:r>
      <w:r>
        <w:t xml:space="preserve"> </w:t>
      </w:r>
      <w:r>
        <w:t xml:space="preserve">A</w:t>
      </w:r>
      <w:r>
        <w:t xml:space="preserve">merica. Global Biogeochemical Cycles</w:t>
      </w:r>
      <w:r>
        <w:t xml:space="preserve"> </w:t>
      </w:r>
      <w:r>
        <w:rPr>
          <w:bCs/>
          <w:b/>
        </w:rPr>
        <w:t xml:space="preserve">32</w:t>
      </w:r>
      <w:r>
        <w:t xml:space="preserve">: 389–416. doi:</w:t>
      </w:r>
      <w:hyperlink r:id="rId102">
        <w:r>
          <w:rPr>
            <w:rStyle w:val="Hyperlink"/>
          </w:rPr>
          <w:t xml:space="preserve">10.1002/2017gb005790</w:t>
        </w:r>
      </w:hyperlink>
    </w:p>
    <w:bookmarkEnd w:id="103"/>
    <w:bookmarkStart w:id="105"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4">
        <w:r>
          <w:rPr>
            <w:rStyle w:val="Hyperlink"/>
          </w:rPr>
          <w:t xml:space="preserve">10.1016/0022-1694(70)90255-6</w:t>
        </w:r>
      </w:hyperlink>
    </w:p>
    <w:bookmarkEnd w:id="105"/>
    <w:bookmarkStart w:id="107"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06">
        <w:r>
          <w:rPr>
            <w:rStyle w:val="Hyperlink"/>
          </w:rPr>
          <w:t xml:space="preserve">10.1007/s12237-013-9765-2</w:t>
        </w:r>
      </w:hyperlink>
    </w:p>
    <w:bookmarkEnd w:id="107"/>
    <w:bookmarkStart w:id="109" w:name="ref-nerr2023"/>
    <w:p>
      <w:pPr>
        <w:pStyle w:val="Bibliography"/>
      </w:pPr>
      <w:r>
        <w:t xml:space="preserve">NOAA NERRS. 2023.</w:t>
      </w:r>
      <w:r>
        <w:t xml:space="preserve"> </w:t>
      </w:r>
      <w:r>
        <w:t xml:space="preserve">NOAA</w:t>
      </w:r>
      <w:r>
        <w:t xml:space="preserve"> </w:t>
      </w:r>
      <w:r>
        <w:t xml:space="preserve">N</w:t>
      </w:r>
      <w:r>
        <w:t xml:space="preserve">ational</w:t>
      </w:r>
      <w:r>
        <w:t xml:space="preserve"> </w:t>
      </w:r>
      <w:r>
        <w:t xml:space="preserve">E</w:t>
      </w:r>
      <w:r>
        <w:t xml:space="preserve">stuarine</w:t>
      </w:r>
      <w:r>
        <w:t xml:space="preserve"> </w:t>
      </w:r>
      <w:r>
        <w:t xml:space="preserve">R</w:t>
      </w:r>
      <w:r>
        <w:t xml:space="preserve">esearch</w:t>
      </w:r>
      <w:r>
        <w:t xml:space="preserve"> </w:t>
      </w:r>
      <w:r>
        <w:t xml:space="preserve">R</w:t>
      </w:r>
      <w:r>
        <w:t xml:space="preserve">eserve</w:t>
      </w:r>
      <w:r>
        <w:t xml:space="preserve"> </w:t>
      </w:r>
      <w:r>
        <w:t xml:space="preserve">S</w:t>
      </w:r>
      <w:r>
        <w:t xml:space="preserve">ystem (</w:t>
      </w:r>
      <w:r>
        <w:t xml:space="preserve">NERRS</w:t>
      </w:r>
      <w:r>
        <w:t xml:space="preserve">).</w:t>
      </w:r>
      <w:r>
        <w:t xml:space="preserve"> </w:t>
      </w:r>
      <w:r>
        <w:t xml:space="preserve">S</w:t>
      </w:r>
      <w:r>
        <w:t xml:space="preserve">ystem-wide monitoring program.</w:t>
      </w:r>
      <w:r>
        <w:t xml:space="preserve"> </w:t>
      </w:r>
      <w:r>
        <w:t xml:space="preserve">D</w:t>
      </w:r>
      <w:r>
        <w:t xml:space="preserve">ata accessed from the</w:t>
      </w:r>
      <w:r>
        <w:t xml:space="preserve"> </w:t>
      </w:r>
      <w:r>
        <w:t xml:space="preserve">NOAA NERRS</w:t>
      </w:r>
      <w:r>
        <w:t xml:space="preserve"> </w:t>
      </w:r>
      <w:r>
        <w:t xml:space="preserve">C</w:t>
      </w:r>
      <w:r>
        <w:t xml:space="preserve">entralized</w:t>
      </w:r>
      <w:r>
        <w:t xml:space="preserve"> </w:t>
      </w:r>
      <w:r>
        <w:t xml:space="preserve">D</w:t>
      </w:r>
      <w:r>
        <w:t xml:space="preserve">ata</w:t>
      </w:r>
      <w:r>
        <w:t xml:space="preserve"> </w:t>
      </w:r>
      <w:r>
        <w:t xml:space="preserve">M</w:t>
      </w:r>
      <w:r>
        <w:t xml:space="preserve">anagement</w:t>
      </w:r>
      <w:r>
        <w:t xml:space="preserve"> </w:t>
      </w:r>
      <w:r>
        <w:t xml:space="preserve">O</w:t>
      </w:r>
      <w:r>
        <w:t xml:space="preserve">ffice website</w:t>
      </w:r>
      <w:r>
        <w:t xml:space="preserve"> </w:t>
      </w:r>
      <w:hyperlink r:id="rId108">
        <w:r>
          <w:rPr>
            <w:rStyle w:val="Hyperlink"/>
          </w:rPr>
          <w:t xml:space="preserve">http://www.nerrsdata.org</w:t>
        </w:r>
      </w:hyperlink>
      <w:r>
        <w:t xml:space="preserve">; accessed july 2023.</w:t>
      </w:r>
    </w:p>
    <w:bookmarkEnd w:id="109"/>
    <w:bookmarkStart w:id="110"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10"/>
    <w:bookmarkStart w:id="111"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w:t>
      </w:r>
      <w:r>
        <w:t xml:space="preserve"> </w:t>
      </w:r>
      <w:r>
        <w:t xml:space="preserve">G</w:t>
      </w:r>
      <w:r>
        <w:t xml:space="preserve">ibbs sampling.</w:t>
      </w:r>
      <w:r>
        <w:t xml:space="preserve"> </w:t>
      </w:r>
      <w:r>
        <w:rPr>
          <w:iCs/>
          <w:i/>
        </w:rPr>
        <w:t xml:space="preserve">Proceedings of the 3rd international workshop on distributed statistical computing</w:t>
      </w:r>
      <w:r>
        <w:t xml:space="preserve">. Vienna, Austria. 1–10.</w:t>
      </w:r>
    </w:p>
    <w:bookmarkEnd w:id="111"/>
    <w:bookmarkStart w:id="113" w:name="ref-RCT23"/>
    <w:p>
      <w:pPr>
        <w:pStyle w:val="Bibliography"/>
      </w:pPr>
      <w:r>
        <w:t xml:space="preserve">R Core Team. 2023.</w:t>
      </w:r>
      <w:r>
        <w:t xml:space="preserve"> </w:t>
      </w:r>
      <w:hyperlink r:id="rId112">
        <w:r>
          <w:rPr>
            <w:rStyle w:val="Hyperlink"/>
          </w:rPr>
          <w:t xml:space="preserve">R: A language and environment for statistical computing</w:t>
        </w:r>
      </w:hyperlink>
      <w:r>
        <w:t xml:space="preserve">, R Foundation for Statistical Computing.</w:t>
      </w:r>
    </w:p>
    <w:bookmarkEnd w:id="113"/>
    <w:bookmarkStart w:id="115"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4">
        <w:r>
          <w:rPr>
            <w:rStyle w:val="Hyperlink"/>
          </w:rPr>
          <w:t xml:space="preserve">10.1899/12-058.1</w:t>
        </w:r>
      </w:hyperlink>
    </w:p>
    <w:bookmarkEnd w:id="115"/>
    <w:bookmarkStart w:id="117"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16">
        <w:r>
          <w:rPr>
            <w:rStyle w:val="Hyperlink"/>
          </w:rPr>
          <w:t xml:space="preserve">10.1007/bf02782974</w:t>
        </w:r>
      </w:hyperlink>
    </w:p>
    <w:bookmarkEnd w:id="117"/>
    <w:bookmarkStart w:id="119" w:name="ref-sarmiento2013"/>
    <w:p>
      <w:pPr>
        <w:pStyle w:val="Bibliography"/>
      </w:pPr>
      <w:r>
        <w:t xml:space="preserve">Sarmiento, J. L., and N. Gruber. 2013.</w:t>
      </w:r>
      <w:r>
        <w:t xml:space="preserve"> </w:t>
      </w:r>
      <w:hyperlink r:id="rId118">
        <w:r>
          <w:rPr>
            <w:rStyle w:val="Hyperlink"/>
          </w:rPr>
          <w:t xml:space="preserve">Oceanic carbon cycle, atmospheric CO2, and climate</w:t>
        </w:r>
      </w:hyperlink>
      <w:r>
        <w:t xml:space="preserve">,</w:t>
      </w:r>
      <w:r>
        <w:t xml:space="preserve"> </w:t>
      </w:r>
      <w:r>
        <w:rPr>
          <w:iCs/>
          <w:i/>
        </w:rPr>
        <w:t xml:space="preserve">In</w:t>
      </w:r>
      <w:r>
        <w:t xml:space="preserve"> </w:t>
      </w:r>
      <w:r>
        <w:t xml:space="preserve">J.L. Sarmiento [ed.], Ocean biogeochemical dynamics. Princeton University Press.</w:t>
      </w:r>
    </w:p>
    <w:bookmarkEnd w:id="119"/>
    <w:bookmarkStart w:id="121" w:name="ref-schubel1984"/>
    <w:p>
      <w:pPr>
        <w:pStyle w:val="Bibliography"/>
      </w:pPr>
      <w:r>
        <w:t xml:space="preserve">Schubel, J. R., and V. S. Kennedy. 1984.</w:t>
      </w:r>
      <w:r>
        <w:t xml:space="preserve"> </w:t>
      </w:r>
      <w:hyperlink r:id="rId120">
        <w:r>
          <w:rPr>
            <w:rStyle w:val="Hyperlink"/>
          </w:rPr>
          <w:t xml:space="preserve">The estuary as a filter: An introduction</w:t>
        </w:r>
      </w:hyperlink>
      <w:r>
        <w:t xml:space="preserve">, p. 1–11.</w:t>
      </w:r>
      <w:r>
        <w:t xml:space="preserve"> </w:t>
      </w:r>
      <w:r>
        <w:rPr>
          <w:iCs/>
          <w:i/>
        </w:rPr>
        <w:t xml:space="preserve">In</w:t>
      </w:r>
      <w:r>
        <w:t xml:space="preserve"> </w:t>
      </w:r>
      <w:r>
        <w:t xml:space="preserve">V.S. Kennedy [ed.], The estuary as a filter. Elsevier.</w:t>
      </w:r>
    </w:p>
    <w:bookmarkEnd w:id="121"/>
    <w:bookmarkStart w:id="123"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22">
        <w:r>
          <w:rPr>
            <w:rStyle w:val="Hyperlink"/>
          </w:rPr>
          <w:t xml:space="preserve">10.1007/s00027-011-0199-2</w:t>
        </w:r>
      </w:hyperlink>
    </w:p>
    <w:bookmarkEnd w:id="123"/>
    <w:bookmarkStart w:id="125"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4">
        <w:r>
          <w:rPr>
            <w:rStyle w:val="Hyperlink"/>
          </w:rPr>
          <w:t xml:space="preserve">10.1007/s12237-019-00526-0</w:t>
        </w:r>
      </w:hyperlink>
    </w:p>
    <w:bookmarkEnd w:id="125"/>
    <w:bookmarkStart w:id="127"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26">
        <w:r>
          <w:rPr>
            <w:rStyle w:val="Hyperlink"/>
          </w:rPr>
          <w:t xml:space="preserve">10.1672/07-190.1</w:t>
        </w:r>
      </w:hyperlink>
    </w:p>
    <w:bookmarkEnd w:id="127"/>
    <w:bookmarkStart w:id="129"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28">
        <w:r>
          <w:rPr>
            <w:rStyle w:val="Hyperlink"/>
          </w:rPr>
          <w:t xml:space="preserve">10.4319/lom.2014.12.351</w:t>
        </w:r>
      </w:hyperlink>
    </w:p>
    <w:bookmarkEnd w:id="129"/>
    <w:bookmarkStart w:id="131"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30">
        <w:r>
          <w:rPr>
            <w:rStyle w:val="Hyperlink"/>
          </w:rPr>
          <w:t xml:space="preserve">10.1080/iw-6.4.883</w:t>
        </w:r>
      </w:hyperlink>
    </w:p>
    <w:bookmarkEnd w:id="131"/>
    <w:bookmarkStart w:id="133"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32">
        <w:r>
          <w:rPr>
            <w:rStyle w:val="Hyperlink"/>
          </w:rPr>
          <w:t xml:space="preserve">10.1038/nature11205</w:t>
        </w:r>
      </w:hyperlink>
    </w:p>
    <w:bookmarkEnd w:id="133"/>
    <w:bookmarkEnd w:id="134"/>
    <w:bookmarkEnd w:id="135"/>
    <w:bookmarkStart w:id="136"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136"/>
    <w:bookmarkStart w:id="169"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40" w:name="fig-priorplot"/>
          <w:p>
            <w:pPr>
              <w:pStyle w:val="Compact"/>
              <w:jc w:val="center"/>
            </w:pPr>
            <w:r>
              <w:drawing>
                <wp:inline>
                  <wp:extent cx="5943600" cy="2286000"/>
                  <wp:effectExtent b="0" l="0" r="0" t="0"/>
                  <wp:docPr descr="" title="" id="138" name="Picture"/>
                  <a:graphic>
                    <a:graphicData uri="http://schemas.openxmlformats.org/drawingml/2006/picture">
                      <pic:pic>
                        <pic:nvPicPr>
                          <pic:cNvPr descr="figs/priorplot.png" id="139" name="Picture"/>
                          <pic:cNvPicPr>
                            <a:picLocks noChangeArrowheads="1" noChangeAspect="1"/>
                          </pic:cNvPicPr>
                        </pic:nvPicPr>
                        <pic:blipFill>
                          <a:blip r:embed="rId137"/>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14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4" w:name="fig-synapa"/>
          <w:p>
            <w:pPr>
              <w:pStyle w:val="Compact"/>
              <w:jc w:val="center"/>
            </w:pPr>
            <w:r>
              <w:drawing>
                <wp:inline>
                  <wp:extent cx="5943600" cy="5943600"/>
                  <wp:effectExtent b="0" l="0" r="0" t="0"/>
                  <wp:docPr descr="" title="" id="142" name="Picture"/>
                  <a:graphic>
                    <a:graphicData uri="http://schemas.openxmlformats.org/drawingml/2006/picture">
                      <pic:pic>
                        <pic:nvPicPr>
                          <pic:cNvPr descr="figs/synapa.png" id="143" name="Picture"/>
                          <pic:cNvPicPr>
                            <a:picLocks noChangeArrowheads="1" noChangeAspect="1"/>
                          </pic:cNvPicPr>
                        </pic:nvPicPr>
                        <pic:blipFill>
                          <a:blip r:embed="rId141"/>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8" w:name="fig-defplo"/>
          <w:p>
            <w:pPr>
              <w:pStyle w:val="Compact"/>
              <w:jc w:val="center"/>
            </w:pPr>
            <w:r>
              <w:drawing>
                <wp:inline>
                  <wp:extent cx="5943600" cy="5943600"/>
                  <wp:effectExtent b="0" l="0" r="0" t="0"/>
                  <wp:docPr descr="" title="" id="146" name="Picture"/>
                  <a:graphic>
                    <a:graphicData uri="http://schemas.openxmlformats.org/drawingml/2006/picture">
                      <pic:pic>
                        <pic:nvPicPr>
                          <pic:cNvPr descr="figs/defplo.png" id="147" name="Picture"/>
                          <pic:cNvPicPr>
                            <a:picLocks noChangeArrowheads="1" noChangeAspect="1"/>
                          </pic:cNvPicPr>
                        </pic:nvPicPr>
                        <pic:blipFill>
                          <a:blip r:embed="rId1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w:t>
            </w:r>
          </w:p>
          <w:bookmarkEnd w:id="1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2" w:name="fig-priorcomp"/>
          <w:p>
            <w:pPr>
              <w:pStyle w:val="Compact"/>
              <w:jc w:val="center"/>
            </w:pPr>
            <w:r>
              <w:drawing>
                <wp:inline>
                  <wp:extent cx="5497394" cy="3664929"/>
                  <wp:effectExtent b="0" l="0" r="0" t="0"/>
                  <wp:docPr descr="" title="" id="150" name="Picture"/>
                  <a:graphic>
                    <a:graphicData uri="http://schemas.openxmlformats.org/drawingml/2006/picture">
                      <pic:pic>
                        <pic:nvPicPr>
                          <pic:cNvPr descr="figs/priorcomp.png" id="151" name="Picture"/>
                          <pic:cNvPicPr>
                            <a:picLocks noChangeArrowheads="1" noChangeAspect="1"/>
                          </pic:cNvPicPr>
                        </pic:nvPicPr>
                        <pic:blipFill>
                          <a:blip r:embed="rId149"/>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6" w:name="fig-optex"/>
          <w:p>
            <w:pPr>
              <w:pStyle w:val="Compact"/>
              <w:jc w:val="center"/>
            </w:pPr>
            <w:r>
              <w:drawing>
                <wp:inline>
                  <wp:extent cx="5943600" cy="5283200"/>
                  <wp:effectExtent b="0" l="0" r="0" t="0"/>
                  <wp:docPr descr="" title="" id="154" name="Picture"/>
                  <a:graphic>
                    <a:graphicData uri="http://schemas.openxmlformats.org/drawingml/2006/picture">
                      <pic:pic>
                        <pic:nvPicPr>
                          <pic:cNvPr descr="figs/optex.png" id="155" name="Picture"/>
                          <pic:cNvPicPr>
                            <a:picLocks noChangeArrowheads="1" noChangeAspect="1"/>
                          </pic:cNvPicPr>
                        </pic:nvPicPr>
                        <pic:blipFill>
                          <a:blip r:embed="rId153"/>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0" w:name="fig-synapanos"/>
          <w:p>
            <w:pPr>
              <w:pStyle w:val="Compact"/>
              <w:jc w:val="center"/>
            </w:pPr>
            <w:r>
              <w:drawing>
                <wp:inline>
                  <wp:extent cx="5943600" cy="4457700"/>
                  <wp:effectExtent b="0" l="0" r="0" t="0"/>
                  <wp:docPr descr="" title="" id="158" name="Picture"/>
                  <a:graphic>
                    <a:graphicData uri="http://schemas.openxmlformats.org/drawingml/2006/picture">
                      <pic:pic>
                        <pic:nvPicPr>
                          <pic:cNvPr descr="figs/synapanos.png" id="159" name="Picture"/>
                          <pic:cNvPicPr>
                            <a:picLocks noChangeArrowheads="1" noChangeAspect="1"/>
                          </pic:cNvPicPr>
                        </pic:nvPicPr>
                        <pic:blipFill>
                          <a:blip r:embed="rId157"/>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4" w:name="fig-synapanoscmp"/>
          <w:p>
            <w:pPr>
              <w:pStyle w:val="Compact"/>
              <w:jc w:val="center"/>
            </w:pPr>
            <w:r>
              <w:drawing>
                <wp:inline>
                  <wp:extent cx="5943600" cy="4669971"/>
                  <wp:effectExtent b="0" l="0" r="0" t="0"/>
                  <wp:docPr descr="" title="" id="162" name="Picture"/>
                  <a:graphic>
                    <a:graphicData uri="http://schemas.openxmlformats.org/drawingml/2006/picture">
                      <pic:pic>
                        <pic:nvPicPr>
                          <pic:cNvPr descr="figs/synapanoscmp.png" id="163" name="Picture"/>
                          <pic:cNvPicPr>
                            <a:picLocks noChangeArrowheads="1" noChangeAspect="1"/>
                          </pic:cNvPicPr>
                        </pic:nvPicPr>
                        <pic:blipFill>
                          <a:blip r:embed="rId161"/>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8" w:name="fig-apacmpfig"/>
          <w:p>
            <w:pPr>
              <w:pStyle w:val="Compact"/>
              <w:jc w:val="center"/>
            </w:pPr>
            <w:r>
              <w:drawing>
                <wp:inline>
                  <wp:extent cx="3206813" cy="6413627"/>
                  <wp:effectExtent b="0" l="0" r="0" t="0"/>
                  <wp:docPr descr="" title="" id="166" name="Picture"/>
                  <a:graphic>
                    <a:graphicData uri="http://schemas.openxmlformats.org/drawingml/2006/picture">
                      <pic:pic>
                        <pic:nvPicPr>
                          <pic:cNvPr descr="figs/apacmpfig.png" id="167" name="Picture"/>
                          <pic:cNvPicPr>
                            <a:picLocks noChangeArrowheads="1" noChangeAspect="1"/>
                          </pic:cNvPicPr>
                        </pic:nvPicPr>
                        <pic:blipFill>
                          <a:blip r:embed="rId165"/>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68"/>
        </w:tc>
      </w:tr>
    </w:tbl>
    <w:p>
      <w:r>
        <w:br w:type="page"/>
      </w:r>
    </w:p>
    <w:bookmarkEnd w:id="169"/>
    <w:bookmarkStart w:id="172"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170" w:name="tbl-ebaseiotab"/>
          <w:p>
            <w:pPr>
              <w:jc w:val="center"/>
            </w:pPr>
            <w:pPr>
              <w:jc w:val="start"/>
              <w:spacing w:before="200"/>
              <w:pStyle w:val="ImageCaption"/>
            </w:pPr>
            <w:r>
              <w:t xml:space="preserve">Table 1: EBASE model parameters showing the required input, parameters derived from the model input, and model output.</w:t>
            </w:r>
          </w:p>
          <w:tbl>
            <w:tblPr>
              <w:tblStyle w:val="Table"/>
              <w:tblW w:type="pct" w:w="5000"/>
              <w:tblLook w:firstRow="1" w:lastRow="0" w:firstColumn="0" w:lastColumn="0" w:noHBand="0" w:noVBand="0" w:val="0020"/>
              <w:jc w:val="start"/>
              <w:tblLayout w:type="fixed"/>
            </w:tblPr>
            <w:tblGrid>
              <w:gridCol w:w="833"/>
              <w:gridCol w:w="4108"/>
              <w:gridCol w:w="893"/>
              <w:gridCol w:w="2084"/>
            </w:tblGrid>
            <w:tr>
              <w:trPr>
                <w:tblHeader w:val="true"/>
              </w:trPr>
              <w:tc>
                <w:tcPr/>
                <w:p>
                  <w:pPr>
                    <w:pStyle w:val="Compact"/>
                    <w:jc w:val="left"/>
                    <w:jc w:val="center"/>
                  </w:pPr>
                  <w:r>
                    <w:t xml:space="preserve">Type</w:t>
                  </w:r>
                </w:p>
              </w:tc>
              <w:tc>
                <w:tcPr/>
                <w:p>
                  <w:pPr>
                    <w:pStyle w:val="Compact"/>
                    <w:jc w:val="left"/>
                    <w:jc w:val="center"/>
                  </w:pPr>
                  <w:r>
                    <w:t xml:space="preserve">Description</w:t>
                  </w:r>
                </w:p>
              </w:tc>
              <w:tc>
                <w:tcPr/>
                <w:p>
                  <w:pPr>
                    <w:pStyle w:val="Compact"/>
                    <w:jc w:val="left"/>
                    <w:jc w:val="center"/>
                  </w:pPr>
                  <w:r>
                    <w:t xml:space="preserve">Model notation</w:t>
                  </w:r>
                </w:p>
              </w:tc>
              <w:tc>
                <w:tcPr/>
                <w:p>
                  <w:pPr>
                    <w:pStyle w:val="Compact"/>
                    <w:jc w:val="left"/>
                    <w:jc w:val="center"/>
                  </w:pPr>
                  <w:r>
                    <w:t xml:space="preserve">Units</w:t>
                  </w:r>
                </w:p>
              </w:tc>
            </w:tr>
            <w:tr>
              <w:tc>
                <w:tcPr/>
                <w:p>
                  <w:pPr>
                    <w:pStyle w:val="Compact"/>
                    <w:jc w:val="left"/>
                    <w:jc w:val="center"/>
                  </w:pPr>
                  <w:r>
                    <w:t xml:space="preserve">Input</w:t>
                  </w:r>
                </w:p>
              </w:tc>
              <w:tc>
                <w:tcPr/>
                <w:p>
                  <w:pPr>
                    <w:pStyle w:val="Compact"/>
                    <w:jc w:val="left"/>
                    <w:jc w:val="center"/>
                  </w:pPr>
                  <w:r>
                    <w:t xml:space="preserve">Dissolved oxygen (observed)</w:t>
                  </w:r>
                </w:p>
              </w:tc>
              <w:tc>
                <w:tcPr/>
                <w:p>
                  <w:pPr>
                    <w:pStyle w:val="Compact"/>
                    <w:jc w:val="left"/>
                    <w:jc w:val="center"/>
                  </w:pPr>
                  <w:r>
                    <w:t xml:space="preserve">C</w:t>
                  </w:r>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Water temperature</w:t>
                  </w:r>
                </w:p>
              </w:tc>
              <w:tc>
                <w:tcPr/>
                <w:p>
                  <w:pPr>
                    <w:pStyle w:val="Compact"/>
                    <w:jc w:val="left"/>
                    <w:jc w:val="center"/>
                  </w:pPr>
                  <w:r>
                    <w:t xml:space="preserve">-</w:t>
                  </w:r>
                </w:p>
              </w:tc>
              <w:tc>
                <w:tcPr/>
                <w:p>
                  <w:pPr>
                    <w:pStyle w:val="Compact"/>
                    <w:jc w:val="left"/>
                    <w:jc w:val="center"/>
                  </w:pPr>
                  <m:oMath>
                    <m:sSup>
                      <m:e>
                        <m:r>
                          <m:t>​</m:t>
                        </m:r>
                      </m:e>
                      <m:sup>
                        <m:r>
                          <m:rPr>
                            <m:sty m:val="p"/>
                          </m:rPr>
                          <m:t>∘</m:t>
                        </m:r>
                      </m:sup>
                    </m:sSup>
                  </m:oMath>
                  <w:r>
                    <w:t xml:space="preserve">C</w:t>
                  </w:r>
                </w:p>
              </w:tc>
            </w:tr>
            <w:tr>
              <w:tc>
                <w:tcPr/>
                <w:p>
                  <w:pPr>
                    <w:pStyle w:val="Compact"/>
                  </w:pPr>
                </w:p>
              </w:tc>
              <w:tc>
                <w:tcPr/>
                <w:p>
                  <w:pPr>
                    <w:pStyle w:val="Compact"/>
                    <w:jc w:val="left"/>
                    <w:jc w:val="center"/>
                  </w:pPr>
                  <w:r>
                    <w:t xml:space="preserve">Salinity</w:t>
                  </w:r>
                </w:p>
              </w:tc>
              <w:tc>
                <w:tcPr/>
                <w:p>
                  <w:pPr>
                    <w:pStyle w:val="Compact"/>
                    <w:jc w:val="left"/>
                    <w:jc w:val="center"/>
                  </w:pPr>
                  <w:r>
                    <w:t xml:space="preserve">-</w:t>
                  </w:r>
                </w:p>
              </w:tc>
              <w:tc>
                <w:tcPr/>
                <w:p>
                  <w:pPr>
                    <w:pStyle w:val="Compact"/>
                    <w:jc w:val="left"/>
                    <w:jc w:val="center"/>
                  </w:pPr>
                  <w:r>
                    <w:t xml:space="preserve">psu</w:t>
                  </w:r>
                </w:p>
              </w:tc>
            </w:tr>
            <w:tr>
              <w:tc>
                <w:tcPr/>
                <w:p>
                  <w:pPr>
                    <w:pStyle w:val="Compact"/>
                  </w:pPr>
                </w:p>
              </w:tc>
              <w:tc>
                <w:tcPr/>
                <w:p>
                  <w:pPr>
                    <w:pStyle w:val="Compact"/>
                    <w:jc w:val="left"/>
                    <w:jc w:val="center"/>
                  </w:pPr>
                  <w:r>
                    <w:t xml:space="preserve">Total photosynthetically active radiation</w:t>
                  </w:r>
                </w:p>
              </w:tc>
              <w:tc>
                <w:tcPr/>
                <w:p>
                  <w:pPr>
                    <w:pStyle w:val="Compact"/>
                    <w:jc w:val="left"/>
                    <w:jc w:val="center"/>
                  </w:pPr>
                  <w:r>
                    <w:t xml:space="preserve">PAR</w:t>
                  </w:r>
                </w:p>
              </w:tc>
              <w:tc>
                <w:tcPr/>
                <w:p>
                  <w:pPr>
                    <w:pStyle w:val="Compact"/>
                    <w:jc w:val="left"/>
                    <w:jc w:val="center"/>
                  </w:pPr>
                  <w:r>
                    <w:t xml:space="preserve">W m</w:t>
                  </w:r>
                  <m:oMath>
                    <m:sSup>
                      <m:e>
                        <m:r>
                          <m:t>​</m:t>
                        </m:r>
                      </m:e>
                      <m:sup>
                        <m:r>
                          <m:rPr>
                            <m:sty m:val="p"/>
                          </m:rPr>
                          <m:t>−</m:t>
                        </m:r>
                        <m:r>
                          <m:t>2</m:t>
                        </m:r>
                      </m:sup>
                    </m:sSup>
                  </m:oMath>
                </w:p>
              </w:tc>
            </w:tr>
            <w:tr>
              <w:tc>
                <w:tcPr/>
                <w:p>
                  <w:pPr>
                    <w:pStyle w:val="Compact"/>
                  </w:pPr>
                </w:p>
              </w:tc>
              <w:tc>
                <w:tcPr/>
                <w:p>
                  <w:pPr>
                    <w:pStyle w:val="Compact"/>
                    <w:jc w:val="left"/>
                    <w:jc w:val="center"/>
                  </w:pPr>
                  <w:r>
                    <w:t xml:space="preserve">Wind speed</w:t>
                  </w:r>
                </w:p>
              </w:tc>
              <w:tc>
                <w:tcPr/>
                <w:p>
                  <w:pPr>
                    <w:pStyle w:val="Compact"/>
                    <w:jc w:val="left"/>
                    <w:jc w:val="center"/>
                  </w:pPr>
                  <w:r>
                    <w:t xml:space="preserve">-</w:t>
                  </w:r>
                </w:p>
              </w:tc>
              <w:tc>
                <w:tcPr/>
                <w:p>
                  <w:pPr>
                    <w:pStyle w:val="Compact"/>
                    <w:jc w:val="left"/>
                    <w:jc w:val="center"/>
                  </w:pPr>
                  <w:r>
                    <w:t xml:space="preserve">m s</w:t>
                  </w:r>
                  <m:oMath>
                    <m:sSup>
                      <m:e>
                        <m:r>
                          <m:t>​</m:t>
                        </m:r>
                      </m:e>
                      <m:sup>
                        <m:r>
                          <m:rPr>
                            <m:sty m:val="p"/>
                          </m:rPr>
                          <m:t>−</m:t>
                        </m:r>
                        <m:r>
                          <m:t>1</m:t>
                        </m:r>
                      </m:sup>
                    </m:sSup>
                  </m:oMath>
                </w:p>
              </w:tc>
            </w:tr>
            <w:tr>
              <w:tc>
                <w:tcPr/>
                <w:p>
                  <w:pPr>
                    <w:pStyle w:val="Compact"/>
                  </w:pPr>
                </w:p>
              </w:tc>
              <w:tc>
                <w:tcPr/>
                <w:p>
                  <w:pPr>
                    <w:pStyle w:val="Compact"/>
                    <w:jc w:val="left"/>
                    <w:jc w:val="center"/>
                  </w:pPr>
                  <w:r>
                    <w:t xml:space="preserve">Water column depth</w:t>
                  </w:r>
                </w:p>
              </w:tc>
              <w:tc>
                <w:tcPr/>
                <w:p>
                  <w:pPr>
                    <w:pStyle w:val="Compact"/>
                    <w:jc w:val="left"/>
                    <w:jc w:val="center"/>
                  </w:pPr>
                  <w:r>
                    <w:t xml:space="preserve">Z</w:t>
                  </w:r>
                </w:p>
              </w:tc>
              <w:tc>
                <w:tcPr/>
                <w:p>
                  <w:pPr>
                    <w:pStyle w:val="Compact"/>
                    <w:jc w:val="left"/>
                    <w:jc w:val="center"/>
                  </w:pPr>
                  <w:r>
                    <w:t xml:space="preserve">m</w:t>
                  </w:r>
                </w:p>
              </w:tc>
            </w:tr>
            <w:tr>
              <w:tc>
                <w:tcPr/>
                <w:p>
                  <w:pPr>
                    <w:pStyle w:val="Compact"/>
                    <w:jc w:val="left"/>
                    <w:jc w:val="center"/>
                  </w:pPr>
                  <w:r>
                    <w:t xml:space="preserve">Input-derived</w:t>
                  </w:r>
                </w:p>
              </w:tc>
              <w:tc>
                <w:tcPr/>
                <w:p>
                  <w:pPr>
                    <w:pStyle w:val="Compact"/>
                    <w:jc w:val="left"/>
                    <w:jc w:val="center"/>
                  </w:pPr>
                  <w:r>
                    <w:t xml:space="preserve">Wind speed at 10 meter height, squared</w:t>
                  </w:r>
                </w:p>
              </w:tc>
              <w:tc>
                <w:tcPr/>
                <w:p>
                  <w:pPr>
                    <w:pStyle w:val="Compact"/>
                    <w:jc w:val="left"/>
                    <w:jc w:val="center"/>
                  </w:pPr>
                  <w:r>
                    <w:t xml:space="preserve">U</w:t>
                  </w:r>
                  <m:oMath>
                    <m:sSubSup>
                      <m:e>
                        <m:r>
                          <m:t>​</m:t>
                        </m:r>
                      </m:e>
                      <m:sub>
                        <m:r>
                          <m:t>10</m:t>
                        </m:r>
                      </m:sub>
                      <m:sup>
                        <m:r>
                          <m:t>2</m:t>
                        </m:r>
                      </m:sup>
                    </m:sSubSup>
                  </m:oMath>
                </w:p>
              </w:tc>
              <w:tc>
                <w:tcPr/>
                <w:p>
                  <w:pPr>
                    <w:pStyle w:val="Compact"/>
                    <w:jc w:val="left"/>
                    <w:jc w:val="center"/>
                  </w:pPr>
                  <w:r>
                    <w:t xml:space="preserve">m</w:t>
                  </w:r>
                  <m:oMath>
                    <m:sSup>
                      <m:e>
                        <m:r>
                          <m:t>​</m:t>
                        </m:r>
                      </m:e>
                      <m:sup>
                        <m:r>
                          <m:t>2</m:t>
                        </m:r>
                      </m:sup>
                    </m:sSup>
                  </m:oMath>
                  <w:r>
                    <w:t xml:space="preserve"> </w:t>
                  </w:r>
                  <w:r>
                    <w:t xml:space="preserve">s</w:t>
                  </w:r>
                  <m:oMath>
                    <m:sSup>
                      <m:e>
                        <m:r>
                          <m:t>​</m:t>
                        </m:r>
                      </m:e>
                      <m:sup>
                        <m:r>
                          <m:rPr>
                            <m:sty m:val="p"/>
                          </m:rPr>
                          <m:t>−</m:t>
                        </m:r>
                        <m:r>
                          <m:t>2</m:t>
                        </m:r>
                      </m:sup>
                    </m:sSup>
                  </m:oMath>
                </w:p>
              </w:tc>
            </w:tr>
            <w:tr>
              <w:tc>
                <w:tcPr/>
                <w:p>
                  <w:pPr>
                    <w:pStyle w:val="Compact"/>
                  </w:pPr>
                </w:p>
              </w:tc>
              <w:tc>
                <w:tcPr/>
                <w:p>
                  <w:pPr>
                    <w:pStyle w:val="Compact"/>
                    <w:jc w:val="left"/>
                    <w:jc w:val="center"/>
                  </w:pPr>
                  <w:r>
                    <w:t xml:space="preserve">Schmidt number (from water temperature and salinity)</w:t>
                  </w:r>
                </w:p>
              </w:tc>
              <w:tc>
                <w:tcPr/>
                <w:p>
                  <w:pPr>
                    <w:pStyle w:val="Compact"/>
                    <w:jc w:val="left"/>
                    <w:jc w:val="center"/>
                  </w:pPr>
                  <w:r>
                    <w:t xml:space="preserve">Sc</w:t>
                  </w:r>
                </w:p>
              </w:tc>
              <w:tc>
                <w:tcPr/>
                <w:p>
                  <w:pPr>
                    <w:pStyle w:val="Compact"/>
                    <w:jc w:val="left"/>
                    <w:jc w:val="center"/>
                  </w:pPr>
                  <w:r>
                    <w:t xml:space="preserve">unitless</w:t>
                  </w:r>
                </w:p>
              </w:tc>
            </w:tr>
            <w:tr>
              <w:tc>
                <w:tcPr/>
                <w:p>
                  <w:pPr>
                    <w:pStyle w:val="Compact"/>
                  </w:pPr>
                </w:p>
              </w:tc>
              <w:tc>
                <w:tcPr/>
                <w:p>
                  <w:pPr>
                    <w:pStyle w:val="Compact"/>
                    <w:jc w:val="left"/>
                    <w:jc w:val="center"/>
                  </w:pPr>
                  <w:r>
                    <w:t xml:space="preserve">Dissolved oxygen at saturation (from water temperature and salinity)</w:t>
                  </w:r>
                </w:p>
              </w:tc>
              <w:tc>
                <w:tcPr/>
                <w:p>
                  <w:pPr>
                    <w:pStyle w:val="Compact"/>
                    <w:jc w:val="left"/>
                    <w:jc w:val="center"/>
                  </w:pPr>
                  <w:r>
                    <w:t xml:space="preserve">C</w:t>
                  </w:r>
                  <m:oMath>
                    <m:sSub>
                      <m:e>
                        <m:r>
                          <m:t>​</m:t>
                        </m:r>
                      </m:e>
                      <m:sub>
                        <m:r>
                          <m:t>s</m:t>
                        </m:r>
                        <m:r>
                          <m:t>a</m:t>
                        </m:r>
                        <m:r>
                          <m:t>t</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jc w:val="left"/>
                    <w:jc w:val="center"/>
                  </w:pPr>
                  <w:r>
                    <w:t xml:space="preserve">Output</w:t>
                  </w:r>
                </w:p>
              </w:tc>
              <w:tc>
                <w:tcPr/>
                <w:p>
                  <w:pPr>
                    <w:pStyle w:val="Compact"/>
                    <w:jc w:val="left"/>
                    <w:jc w:val="center"/>
                  </w:pPr>
                  <w:r>
                    <w:t xml:space="preserve">Dissolved oxygen (modelled)</w:t>
                  </w:r>
                </w:p>
              </w:tc>
              <w:tc>
                <w:tcPr/>
                <w:p>
                  <w:pPr>
                    <w:pStyle w:val="Compact"/>
                    <w:jc w:val="left"/>
                    <w:jc w:val="center"/>
                  </w:pPr>
                  <w:r>
                    <w:t xml:space="preserve">C</w:t>
                  </w:r>
                  <m:oMath>
                    <m:sSub>
                      <m:e>
                        <m:r>
                          <m:t>​</m:t>
                        </m:r>
                      </m:e>
                      <m:sub>
                        <m:r>
                          <m:t>m</m:t>
                        </m:r>
                        <m:r>
                          <m:t>o</m:t>
                        </m:r>
                        <m:r>
                          <m:t>d</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Production</w:t>
                  </w:r>
                </w:p>
              </w:tc>
              <w:tc>
                <w:tcPr/>
                <w:p>
                  <w:pPr>
                    <w:pStyle w:val="Compact"/>
                    <w:jc w:val="left"/>
                    <w:jc w:val="center"/>
                  </w:pPr>
                  <w:r>
                    <w:t xml:space="preserve">P</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Respiration</w:t>
                  </w:r>
                </w:p>
              </w:tc>
              <w:tc>
                <w:tcPr/>
                <w:p>
                  <w:pPr>
                    <w:pStyle w:val="Compact"/>
                    <w:jc w:val="left"/>
                    <w:jc w:val="center"/>
                  </w:pPr>
                  <w:r>
                    <w:t xml:space="preserve">R</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Gas exchange</w:t>
                  </w:r>
                </w:p>
              </w:tc>
              <w:tc>
                <w:tcPr/>
                <w:p>
                  <w:pPr>
                    <w:pStyle w:val="Compact"/>
                    <w:jc w:val="left"/>
                    <w:jc w:val="center"/>
                  </w:pPr>
                  <w:r>
                    <w:t xml:space="preserve">D</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Light efficiency</w:t>
                  </w:r>
                </w:p>
              </w:tc>
              <w:tc>
                <w:tcPr/>
                <w:p>
                  <w:pPr>
                    <w:pStyle w:val="Compact"/>
                    <w:jc w:val="left"/>
                    <w:jc w:val="center"/>
                  </w:pPr>
                  <w:r>
                    <w:t xml:space="preserve">a</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r>
                    <w:t xml:space="preserve">)/(W m</w:t>
                  </w:r>
                  <m:oMath>
                    <m:sSup>
                      <m:e>
                        <m:r>
                          <m:t>​</m:t>
                        </m:r>
                      </m:e>
                      <m:sup>
                        <m:r>
                          <m:rPr>
                            <m:sty m:val="p"/>
                          </m:rPr>
                          <m:t>−</m:t>
                        </m:r>
                        <m:r>
                          <m:t>2</m:t>
                        </m:r>
                      </m:sup>
                    </m:sSup>
                  </m:oMath>
                  <w:r>
                    <w:t xml:space="preserve">)</w:t>
                  </w:r>
                </w:p>
              </w:tc>
            </w:tr>
            <w:tr>
              <w:tc>
                <w:tcPr/>
                <w:p>
                  <w:pPr>
                    <w:pStyle w:val="Compact"/>
                  </w:pPr>
                </w:p>
              </w:tc>
              <w:tc>
                <w:tcPr/>
                <w:p>
                  <w:pPr>
                    <w:pStyle w:val="Compact"/>
                    <w:jc w:val="left"/>
                    <w:jc w:val="center"/>
                  </w:pPr>
                  <w:r>
                    <w:t xml:space="preserve">Sensitivity of gas transfer to wind speed</w:t>
                  </w:r>
                </w:p>
              </w:tc>
              <w:tc>
                <w:tcPr/>
                <w:p>
                  <w:pPr>
                    <w:pStyle w:val="Compact"/>
                    <w:jc w:val="left"/>
                    <w:jc w:val="center"/>
                  </w:pPr>
                  <w:r>
                    <w:t xml:space="preserve">b</w:t>
                  </w:r>
                </w:p>
              </w:tc>
              <w:tc>
                <w:tcPr/>
                <w:p>
                  <w:pPr>
                    <w:pStyle w:val="Compact"/>
                    <w:jc w:val="left"/>
                    <w:jc w:val="center"/>
                  </w:pPr>
                  <w:r>
                    <w:t xml:space="preserve">(cm hr</w:t>
                  </w:r>
                  <m:oMath>
                    <m:sSup>
                      <m:e>
                        <m:r>
                          <m:t>​</m:t>
                        </m:r>
                      </m:e>
                      <m:sup>
                        <m:r>
                          <m:rPr>
                            <m:sty m:val="p"/>
                          </m:rPr>
                          <m:t>−</m:t>
                        </m:r>
                        <m:r>
                          <m:t>1</m:t>
                        </m:r>
                      </m:sup>
                    </m:sSup>
                  </m:oMath>
                  <w:r>
                    <w:t xml:space="preserve">)/(m</w:t>
                  </w:r>
                  <m:oMath>
                    <m:sSup>
                      <m:e>
                        <m:r>
                          <m:t>​</m:t>
                        </m:r>
                      </m:e>
                      <m:sup>
                        <m:r>
                          <m:t>2</m:t>
                        </m:r>
                      </m:sup>
                    </m:sSup>
                  </m:oMath>
                  <w:r>
                    <w:t xml:space="preserve"> </w:t>
                  </w:r>
                  <w:r>
                    <w:t xml:space="preserve">s</w:t>
                  </w:r>
                  <m:oMath>
                    <m:sSup>
                      <m:e>
                        <m:r>
                          <m:t>​</m:t>
                        </m:r>
                      </m:e>
                      <m:sup>
                        <m:r>
                          <m:rPr>
                            <m:sty m:val="p"/>
                          </m:rPr>
                          <m:t>−</m:t>
                        </m:r>
                        <m:r>
                          <m:t>2</m:t>
                        </m:r>
                      </m:sup>
                    </m:sSup>
                  </m:oMath>
                  <w:r>
                    <w:t xml:space="preserve">)</w:t>
                  </w:r>
                </w:p>
              </w:tc>
            </w:tr>
          </w:tbl>
          <w:bookmarkEnd w:id="17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1" w:name="tbl-apacmptab"/>
          <w:p>
            <w:pPr>
              <w:jc w:val="center"/>
            </w:pPr>
            <w:pPr>
              <w:jc w:val="start"/>
              <w:spacing w:before="200"/>
              <w:pStyle w:val="ImageCaption"/>
            </w:pPr>
            <w:r>
              <w:t xml:space="preserve">Table 2: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Parameter</w:t>
                  </w:r>
                </w:p>
              </w:tc>
              <w:tc>
                <w:tcPr/>
                <w:p>
                  <w:pPr>
                    <w:pStyle w:val="Compact"/>
                    <w:jc w:val="left"/>
                    <w:jc w:val="center"/>
                  </w:pPr>
                  <m:oMath>
                    <m:r>
                      <m:t>ρ</m:t>
                    </m:r>
                  </m:oMath>
                </w:p>
              </w:tc>
              <w:tc>
                <w:tcPr/>
                <w:p>
                  <w:pPr>
                    <w:pStyle w:val="Compact"/>
                    <w:jc w:val="left"/>
                    <w:jc w:val="center"/>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jc w:val="center"/>
                  </w:pPr>
                  <w:r>
                    <w:t xml:space="preserve">P</w:t>
                  </w:r>
                </w:p>
              </w:tc>
              <w:tc>
                <w:tcPr/>
                <w:p>
                  <w:pPr>
                    <w:pStyle w:val="Compact"/>
                    <w:jc w:val="left"/>
                    <w:jc w:val="center"/>
                  </w:pPr>
                  <w:r>
                    <w:t xml:space="preserve">0.7 / 0.71</w:t>
                  </w:r>
                </w:p>
              </w:tc>
              <w:tc>
                <w:tcPr/>
                <w:p>
                  <w:pPr>
                    <w:pStyle w:val="Compact"/>
                    <w:jc w:val="left"/>
                    <w:jc w:val="center"/>
                  </w:pPr>
                  <w:r>
                    <w:t xml:space="preserve">76.17 / 14.9</w:t>
                  </w:r>
                </w:p>
              </w:tc>
            </w:tr>
            <w:tr>
              <w:tc>
                <w:tcPr/>
                <w:p>
                  <w:pPr>
                    <w:pStyle w:val="Compact"/>
                    <w:jc w:val="left"/>
                    <w:jc w:val="center"/>
                  </w:pPr>
                  <w:r>
                    <w:t xml:space="preserve">R</w:t>
                  </w:r>
                </w:p>
              </w:tc>
              <w:tc>
                <w:tcPr/>
                <w:p>
                  <w:pPr>
                    <w:pStyle w:val="Compact"/>
                    <w:jc w:val="left"/>
                    <w:jc w:val="center"/>
                  </w:pPr>
                  <w:r>
                    <w:t xml:space="preserve">0.51 / 0.49</w:t>
                  </w:r>
                </w:p>
              </w:tc>
              <w:tc>
                <w:tcPr/>
                <w:p>
                  <w:pPr>
                    <w:pStyle w:val="Compact"/>
                    <w:jc w:val="left"/>
                    <w:jc w:val="center"/>
                  </w:pPr>
                  <w:r>
                    <w:t xml:space="preserve">98.76 / 27.29</w:t>
                  </w:r>
                </w:p>
              </w:tc>
            </w:tr>
            <w:tr>
              <w:tc>
                <w:tcPr/>
                <w:p>
                  <w:pPr>
                    <w:pStyle w:val="Compact"/>
                    <w:jc w:val="left"/>
                    <w:jc w:val="center"/>
                  </w:pPr>
                  <w:r>
                    <w:t xml:space="preserve">NEM</w:t>
                  </w:r>
                </w:p>
              </w:tc>
              <w:tc>
                <w:tcPr/>
                <w:p>
                  <w:pPr>
                    <w:pStyle w:val="Compact"/>
                    <w:jc w:val="left"/>
                    <w:jc w:val="center"/>
                  </w:pPr>
                  <w:r>
                    <w:t xml:space="preserve">0.36 / 0.52</w:t>
                  </w:r>
                </w:p>
              </w:tc>
              <w:tc>
                <w:tcPr/>
                <w:p>
                  <w:pPr>
                    <w:pStyle w:val="Compact"/>
                    <w:jc w:val="left"/>
                    <w:jc w:val="center"/>
                  </w:pPr>
                  <w:r>
                    <w:t xml:space="preserve">42.28 / 17.98</w:t>
                  </w:r>
                </w:p>
              </w:tc>
            </w:tr>
          </w:tbl>
          <w:bookmarkEnd w:id="171"/>
          <w:p/>
        </w:tc>
      </w:tr>
    </w:tbl>
    <w:bookmarkEnd w:id="172"/>
    <w:sectPr w:rsidR="00AE5EEA" w:rsidRPr="00AE5EEA" w:rsidSect="00CF7C25">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15695F4"/>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D5C22D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C2D050E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6700F85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B7A6E4E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16cid:durableId="772284873" w:numId="14">
    <w:abstractNumId w:val="10"/>
  </w:num>
  <w:num w16cid:durableId="1770469793" w:numId="15">
    <w:abstractNumId w:val="5"/>
  </w:num>
  <w:num w16cid:durableId="201554886" w:numId="16">
    <w:abstractNumId w:val="4"/>
  </w:num>
  <w:num w16cid:durableId="586883080" w:numId="17">
    <w:abstractNumId w:val="3"/>
  </w:num>
  <w:num w16cid:durableId="1743603724" w:numId="18">
    <w:abstractNumId w:val="2"/>
  </w:num>
  <w:num w16cid:durableId="1194463478" w:numId="19">
    <w:abstractNumId w:val="10"/>
  </w:num>
  <w:num w16cid:durableId="1808552402" w:numId="20">
    <w:abstractNumId w:val="5"/>
  </w:num>
  <w:num w16cid:durableId="442387816" w:numId="21">
    <w:abstractNumId w:val="4"/>
  </w:num>
  <w:num w16cid:durableId="1906530101" w:numId="22">
    <w:abstractNumId w:val="3"/>
  </w:num>
  <w:num w16cid:durableId="431709079" w:numId="2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EB4874"/>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65" Target="media/rId165.png" /><Relationship Type="http://schemas.openxmlformats.org/officeDocument/2006/relationships/image" Id="rId145" Target="media/rId145.png" /><Relationship Type="http://schemas.openxmlformats.org/officeDocument/2006/relationships/image" Id="rId153" Target="media/rId153.png" /><Relationship Type="http://schemas.openxmlformats.org/officeDocument/2006/relationships/image" Id="rId149" Target="media/rId149.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hyperlink" Id="rId108" Target="http://www.nerrsdata.org" TargetMode="External" /><Relationship Type="http://schemas.openxmlformats.org/officeDocument/2006/relationships/hyperlink" Id="rId77" Target="https://doi.org/10.1002/2016GL068727" TargetMode="External" /><Relationship Type="http://schemas.openxmlformats.org/officeDocument/2006/relationships/hyperlink" Id="rId102" Target="https://doi.org/10.1002/2017gb005790" TargetMode="External" /><Relationship Type="http://schemas.openxmlformats.org/officeDocument/2006/relationships/hyperlink" Id="rId74" Target="https://doi.org/10.1002/lom3.10011" TargetMode="External" /><Relationship Type="http://schemas.openxmlformats.org/officeDocument/2006/relationships/hyperlink" Id="rId45" Target="https://doi.org/10.1002/lom3.10062" TargetMode="External" /><Relationship Type="http://schemas.openxmlformats.org/officeDocument/2006/relationships/hyperlink" Id="rId56" Target="https://doi.org/10.1007/978-94-017-0299-7_19" TargetMode="External" /><Relationship Type="http://schemas.openxmlformats.org/officeDocument/2006/relationships/hyperlink" Id="rId42" Target="https://doi.org/10.1007/bf02532251" TargetMode="External" /><Relationship Type="http://schemas.openxmlformats.org/officeDocument/2006/relationships/hyperlink" Id="rId116" Target="https://doi.org/10.1007/bf02782974" TargetMode="External" /><Relationship Type="http://schemas.openxmlformats.org/officeDocument/2006/relationships/hyperlink" Id="rId58" Target="https://doi.org/10.1007/bf02803563" TargetMode="External" /><Relationship Type="http://schemas.openxmlformats.org/officeDocument/2006/relationships/hyperlink" Id="rId122" Target="https://doi.org/10.1007/s00027-011-0199-2" TargetMode="External" /><Relationship Type="http://schemas.openxmlformats.org/officeDocument/2006/relationships/hyperlink" Id="rId106" Target="https://doi.org/10.1007/s12237-013-9765-2" TargetMode="External" /><Relationship Type="http://schemas.openxmlformats.org/officeDocument/2006/relationships/hyperlink" Id="rId97" Target="https://doi.org/10.1007/s12237-017-0328-9" TargetMode="External" /><Relationship Type="http://schemas.openxmlformats.org/officeDocument/2006/relationships/hyperlink" Id="rId124" Target="https://doi.org/10.1007/s12237-019-00526-0" TargetMode="External" /><Relationship Type="http://schemas.openxmlformats.org/officeDocument/2006/relationships/hyperlink" Id="rId104" Target="https://doi.org/10.1016/0022-1694(70)90255-6" TargetMode="External" /><Relationship Type="http://schemas.openxmlformats.org/officeDocument/2006/relationships/hyperlink" Id="rId50" Target="https://doi.org/10.1016/b978-0-12-374711-2.00504-0" TargetMode="External" /><Relationship Type="http://schemas.openxmlformats.org/officeDocument/2006/relationships/hyperlink" Id="rId91" Target="https://doi.org/10.1016/b978-0-12-374711-2.00706-3" TargetMode="External" /><Relationship Type="http://schemas.openxmlformats.org/officeDocument/2006/relationships/hyperlink" Id="rId120" Target="https://doi.org/10.1016/b978-0-12-405070-9.50007-4" TargetMode="External" /><Relationship Type="http://schemas.openxmlformats.org/officeDocument/2006/relationships/hyperlink" Id="rId87" Target="https://doi.org/10.1016/j.agrformet.2003.10.001" TargetMode="External" /><Relationship Type="http://schemas.openxmlformats.org/officeDocument/2006/relationships/hyperlink" Id="rId62" Target="https://doi.org/10.1016/j.ecolmodel.2007.10.025" TargetMode="External" /><Relationship Type="http://schemas.openxmlformats.org/officeDocument/2006/relationships/hyperlink" Id="rId85" Target="https://doi.org/10.1016/j.marchem.2005.03.008" TargetMode="External" /><Relationship Type="http://schemas.openxmlformats.org/officeDocument/2006/relationships/hyperlink" Id="rId89" Target="https://doi.org/10.1016/s0302-3524(80)80065-x" TargetMode="External" /><Relationship Type="http://schemas.openxmlformats.org/officeDocument/2006/relationships/hyperlink" Id="rId52" Target="https://doi.org/10.1016/s0304-3800(01)00328-3" TargetMode="External" /><Relationship Type="http://schemas.openxmlformats.org/officeDocument/2006/relationships/hyperlink" Id="rId68" Target="https://doi.org/10.1017/cbo9780511525025.006" TargetMode="External" /><Relationship Type="http://schemas.openxmlformats.org/officeDocument/2006/relationships/hyperlink" Id="rId66" Target="https://doi.org/10.1029/2007jc004663" TargetMode="External" /><Relationship Type="http://schemas.openxmlformats.org/officeDocument/2006/relationships/hyperlink" Id="rId132" Target="https://doi.org/10.1038/nature11205" TargetMode="External" /><Relationship Type="http://schemas.openxmlformats.org/officeDocument/2006/relationships/hyperlink" Id="rId54" Target="https://doi.org/10.1038/s41598-017-05031-7" TargetMode="External" /><Relationship Type="http://schemas.openxmlformats.org/officeDocument/2006/relationships/hyperlink" Id="rId130" Target="https://doi.org/10.1080/iw-6.4.883" TargetMode="External" /><Relationship Type="http://schemas.openxmlformats.org/officeDocument/2006/relationships/hyperlink" Id="rId83" Target="https://doi.org/10.1093/acprof:oso/9780198527084.003.0008" TargetMode="External" /><Relationship Type="http://schemas.openxmlformats.org/officeDocument/2006/relationships/hyperlink" Id="rId99" Target="https://doi.org/10.1139/f01-082" TargetMode="External" /><Relationship Type="http://schemas.openxmlformats.org/officeDocument/2006/relationships/hyperlink" Id="rId48" Target="https://doi.org/10.1146/annurev-marine-042121-012329" TargetMode="External" /><Relationship Type="http://schemas.openxmlformats.org/officeDocument/2006/relationships/hyperlink" Id="rId60" Target="https://doi.org/10.1146/annurev-marine-120709-142723" TargetMode="External" /><Relationship Type="http://schemas.openxmlformats.org/officeDocument/2006/relationships/hyperlink" Id="rId93" Target="https://doi.org/10.1175/1520-0477(1997)078&lt;0197:eagmeb&gt;2.0.co;2" TargetMode="External" /><Relationship Type="http://schemas.openxmlformats.org/officeDocument/2006/relationships/hyperlink" Id="rId95" Target="https://doi.org/10.13031/2013.23153" TargetMode="External" /><Relationship Type="http://schemas.openxmlformats.org/officeDocument/2006/relationships/hyperlink" Id="rId126" Target="https://doi.org/10.1672/07-190.1" TargetMode="External" /><Relationship Type="http://schemas.openxmlformats.org/officeDocument/2006/relationships/hyperlink" Id="rId114" Target="https://doi.org/10.1899/12-058.1" TargetMode="External" /><Relationship Type="http://schemas.openxmlformats.org/officeDocument/2006/relationships/hyperlink" Id="rId118" Target="https://doi.org/10.2307/j.ctt3fgxqx" TargetMode="External" /><Relationship Type="http://schemas.openxmlformats.org/officeDocument/2006/relationships/hyperlink" Id="rId72" Target="https://doi.org/10.3354/meps301023" TargetMode="External" /><Relationship Type="http://schemas.openxmlformats.org/officeDocument/2006/relationships/hyperlink" Id="rId70" Target="https://doi.org/10.4319/lo.1992.37.6.1307" TargetMode="External" /><Relationship Type="http://schemas.openxmlformats.org/officeDocument/2006/relationships/hyperlink" Id="rId81" Target="https://doi.org/10.4319/lo.2010.55.3.1047" TargetMode="External" /><Relationship Type="http://schemas.openxmlformats.org/officeDocument/2006/relationships/hyperlink" Id="rId79" Target="https://doi.org/10.4319/lo.2013.58.6.2089" TargetMode="External" /><Relationship Type="http://schemas.openxmlformats.org/officeDocument/2006/relationships/hyperlink" Id="rId128" Target="https://doi.org/10.4319/lom.2014.12.351" TargetMode="External" /><Relationship Type="http://schemas.openxmlformats.org/officeDocument/2006/relationships/hyperlink" Id="rId64" Target="https://doi.org/10.5194/bg-11-2477-2014" TargetMode="External" /><Relationship Type="http://schemas.openxmlformats.org/officeDocument/2006/relationships/hyperlink" Id="rId26" Target="https://github.com/dgiling/BASEmetab" TargetMode="External" /><Relationship Type="http://schemas.openxmlformats.org/officeDocument/2006/relationships/hyperlink" Id="rId112"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8" Target="http://www.nerrsdata.org" TargetMode="External" /><Relationship Type="http://schemas.openxmlformats.org/officeDocument/2006/relationships/hyperlink" Id="rId77" Target="https://doi.org/10.1002/2016GL068727" TargetMode="External" /><Relationship Type="http://schemas.openxmlformats.org/officeDocument/2006/relationships/hyperlink" Id="rId102" Target="https://doi.org/10.1002/2017gb005790" TargetMode="External" /><Relationship Type="http://schemas.openxmlformats.org/officeDocument/2006/relationships/hyperlink" Id="rId74" Target="https://doi.org/10.1002/lom3.10011" TargetMode="External" /><Relationship Type="http://schemas.openxmlformats.org/officeDocument/2006/relationships/hyperlink" Id="rId45" Target="https://doi.org/10.1002/lom3.10062" TargetMode="External" /><Relationship Type="http://schemas.openxmlformats.org/officeDocument/2006/relationships/hyperlink" Id="rId56" Target="https://doi.org/10.1007/978-94-017-0299-7_19" TargetMode="External" /><Relationship Type="http://schemas.openxmlformats.org/officeDocument/2006/relationships/hyperlink" Id="rId42" Target="https://doi.org/10.1007/bf02532251" TargetMode="External" /><Relationship Type="http://schemas.openxmlformats.org/officeDocument/2006/relationships/hyperlink" Id="rId116" Target="https://doi.org/10.1007/bf02782974" TargetMode="External" /><Relationship Type="http://schemas.openxmlformats.org/officeDocument/2006/relationships/hyperlink" Id="rId58" Target="https://doi.org/10.1007/bf02803563" TargetMode="External" /><Relationship Type="http://schemas.openxmlformats.org/officeDocument/2006/relationships/hyperlink" Id="rId122" Target="https://doi.org/10.1007/s00027-011-0199-2" TargetMode="External" /><Relationship Type="http://schemas.openxmlformats.org/officeDocument/2006/relationships/hyperlink" Id="rId106" Target="https://doi.org/10.1007/s12237-013-9765-2" TargetMode="External" /><Relationship Type="http://schemas.openxmlformats.org/officeDocument/2006/relationships/hyperlink" Id="rId97" Target="https://doi.org/10.1007/s12237-017-0328-9" TargetMode="External" /><Relationship Type="http://schemas.openxmlformats.org/officeDocument/2006/relationships/hyperlink" Id="rId124" Target="https://doi.org/10.1007/s12237-019-00526-0" TargetMode="External" /><Relationship Type="http://schemas.openxmlformats.org/officeDocument/2006/relationships/hyperlink" Id="rId104" Target="https://doi.org/10.1016/0022-1694(70)90255-6" TargetMode="External" /><Relationship Type="http://schemas.openxmlformats.org/officeDocument/2006/relationships/hyperlink" Id="rId50" Target="https://doi.org/10.1016/b978-0-12-374711-2.00504-0" TargetMode="External" /><Relationship Type="http://schemas.openxmlformats.org/officeDocument/2006/relationships/hyperlink" Id="rId91" Target="https://doi.org/10.1016/b978-0-12-374711-2.00706-3" TargetMode="External" /><Relationship Type="http://schemas.openxmlformats.org/officeDocument/2006/relationships/hyperlink" Id="rId120" Target="https://doi.org/10.1016/b978-0-12-405070-9.50007-4" TargetMode="External" /><Relationship Type="http://schemas.openxmlformats.org/officeDocument/2006/relationships/hyperlink" Id="rId87" Target="https://doi.org/10.1016/j.agrformet.2003.10.001" TargetMode="External" /><Relationship Type="http://schemas.openxmlformats.org/officeDocument/2006/relationships/hyperlink" Id="rId62" Target="https://doi.org/10.1016/j.ecolmodel.2007.10.025" TargetMode="External" /><Relationship Type="http://schemas.openxmlformats.org/officeDocument/2006/relationships/hyperlink" Id="rId85" Target="https://doi.org/10.1016/j.marchem.2005.03.008" TargetMode="External" /><Relationship Type="http://schemas.openxmlformats.org/officeDocument/2006/relationships/hyperlink" Id="rId89" Target="https://doi.org/10.1016/s0302-3524(80)80065-x" TargetMode="External" /><Relationship Type="http://schemas.openxmlformats.org/officeDocument/2006/relationships/hyperlink" Id="rId52" Target="https://doi.org/10.1016/s0304-3800(01)00328-3" TargetMode="External" /><Relationship Type="http://schemas.openxmlformats.org/officeDocument/2006/relationships/hyperlink" Id="rId68" Target="https://doi.org/10.1017/cbo9780511525025.006" TargetMode="External" /><Relationship Type="http://schemas.openxmlformats.org/officeDocument/2006/relationships/hyperlink" Id="rId66" Target="https://doi.org/10.1029/2007jc004663" TargetMode="External" /><Relationship Type="http://schemas.openxmlformats.org/officeDocument/2006/relationships/hyperlink" Id="rId132" Target="https://doi.org/10.1038/nature11205" TargetMode="External" /><Relationship Type="http://schemas.openxmlformats.org/officeDocument/2006/relationships/hyperlink" Id="rId54" Target="https://doi.org/10.1038/s41598-017-05031-7" TargetMode="External" /><Relationship Type="http://schemas.openxmlformats.org/officeDocument/2006/relationships/hyperlink" Id="rId130" Target="https://doi.org/10.1080/iw-6.4.883" TargetMode="External" /><Relationship Type="http://schemas.openxmlformats.org/officeDocument/2006/relationships/hyperlink" Id="rId83" Target="https://doi.org/10.1093/acprof:oso/9780198527084.003.0008" TargetMode="External" /><Relationship Type="http://schemas.openxmlformats.org/officeDocument/2006/relationships/hyperlink" Id="rId99" Target="https://doi.org/10.1139/f01-082" TargetMode="External" /><Relationship Type="http://schemas.openxmlformats.org/officeDocument/2006/relationships/hyperlink" Id="rId48" Target="https://doi.org/10.1146/annurev-marine-042121-012329" TargetMode="External" /><Relationship Type="http://schemas.openxmlformats.org/officeDocument/2006/relationships/hyperlink" Id="rId60" Target="https://doi.org/10.1146/annurev-marine-120709-142723" TargetMode="External" /><Relationship Type="http://schemas.openxmlformats.org/officeDocument/2006/relationships/hyperlink" Id="rId93" Target="https://doi.org/10.1175/1520-0477(1997)078&lt;0197:eagmeb&gt;2.0.co;2" TargetMode="External" /><Relationship Type="http://schemas.openxmlformats.org/officeDocument/2006/relationships/hyperlink" Id="rId95" Target="https://doi.org/10.13031/2013.23153" TargetMode="External" /><Relationship Type="http://schemas.openxmlformats.org/officeDocument/2006/relationships/hyperlink" Id="rId126" Target="https://doi.org/10.1672/07-190.1" TargetMode="External" /><Relationship Type="http://schemas.openxmlformats.org/officeDocument/2006/relationships/hyperlink" Id="rId114" Target="https://doi.org/10.1899/12-058.1" TargetMode="External" /><Relationship Type="http://schemas.openxmlformats.org/officeDocument/2006/relationships/hyperlink" Id="rId118" Target="https://doi.org/10.2307/j.ctt3fgxqx" TargetMode="External" /><Relationship Type="http://schemas.openxmlformats.org/officeDocument/2006/relationships/hyperlink" Id="rId72" Target="https://doi.org/10.3354/meps301023" TargetMode="External" /><Relationship Type="http://schemas.openxmlformats.org/officeDocument/2006/relationships/hyperlink" Id="rId70" Target="https://doi.org/10.4319/lo.1992.37.6.1307" TargetMode="External" /><Relationship Type="http://schemas.openxmlformats.org/officeDocument/2006/relationships/hyperlink" Id="rId81" Target="https://doi.org/10.4319/lo.2010.55.3.1047" TargetMode="External" /><Relationship Type="http://schemas.openxmlformats.org/officeDocument/2006/relationships/hyperlink" Id="rId79" Target="https://doi.org/10.4319/lo.2013.58.6.2089" TargetMode="External" /><Relationship Type="http://schemas.openxmlformats.org/officeDocument/2006/relationships/hyperlink" Id="rId128" Target="https://doi.org/10.4319/lom.2014.12.351" TargetMode="External" /><Relationship Type="http://schemas.openxmlformats.org/officeDocument/2006/relationships/hyperlink" Id="rId64" Target="https://doi.org/10.5194/bg-11-2477-2014" TargetMode="External" /><Relationship Type="http://schemas.openxmlformats.org/officeDocument/2006/relationships/hyperlink" Id="rId26" Target="https://github.com/dgiling/BASEmetab" TargetMode="External" /><Relationship Type="http://schemas.openxmlformats.org/officeDocument/2006/relationships/hyperlink" Id="rId112"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1284</Characters>
  <Application>Microsoft Office Word</Application>
  <DocSecurity>0</DocSecurity>
  <Lines>10</Lines>
  <Paragraphs>3</Paragraphs>
  <ScaleCrop>false</ScaleCrop>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Herrmann2, and Raymond G Najjar2</dc:creator>
  <cp:keywords/>
  <dcterms:created xsi:type="dcterms:W3CDTF">2024-02-28T22:02:23Z</dcterms:created>
  <dcterms:modified xsi:type="dcterms:W3CDTF">2024-02-28T22:02:23Z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