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27"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estimates are based on a mass balance equation described in</w:t>
      </w:r>
      <w:r>
        <w:t xml:space="preserve"> </w:t>
      </w:r>
      <w:r>
        <w:t xml:space="preserve">Grace et al. (2015)</w:t>
      </w:r>
      <w:r>
        <w:t xml:space="preserve"> </w:t>
      </w:r>
      <w:r>
        <w:t xml:space="preserve">that is modified using a gas exchange calculation described in</w:t>
      </w:r>
      <w:r>
        <w:t xml:space="preserve"> </w:t>
      </w:r>
      <w:r>
        <w:t xml:space="preserve">Wanninkhof (2014)</w:t>
      </w:r>
      <w:r>
        <w:t xml:space="preserve"> </w:t>
      </w:r>
      <w:r>
        <w:t xml:space="preserve">(</w:t>
      </w:r>
      <w:hyperlink w:anchor="eq-ebase">
        <w:r>
          <w:rPr>
            <w:rStyle w:val="Hyperlink"/>
          </w:rPr>
          <w:t xml:space="preserve">Equation 1</w:t>
        </w:r>
      </w:hyperlink>
      <w:r>
        <w:t xml:space="preserve">).</w:t>
      </w:r>
    </w:p>
    <w:p>
      <w:pPr>
        <w:pStyle w:val="BodyText"/>
      </w:pPr>
      <w:bookmarkStart w:id="23"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The metabolic estimates are defined by the change in dissolved oxygen over the time step</w:t>
      </w:r>
      <w:r>
        <w:t xml:space="preserve"> </w:t>
      </w:r>
      <m:oMath>
        <m:f>
          <m:fPr>
            <m:type m:val="bar"/>
          </m:fPr>
          <m:num>
            <m:r>
              <m:t>δ</m:t>
            </m:r>
            <m:sSub>
              <m:e>
                <m:r>
                  <m:t>C</m:t>
                </m:r>
              </m:e>
              <m:sub>
                <m:r>
                  <m:t>d</m:t>
                </m:r>
              </m:sub>
            </m:sSub>
          </m:num>
          <m:den>
            <m:r>
              <m:t>δ</m:t>
            </m:r>
            <m:r>
              <m:t>t</m:t>
            </m:r>
          </m:den>
        </m:f>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Required data for the equation are dissolved oxygen concentration as</w:t>
      </w:r>
      <w:r>
        <w:t xml:space="preserve"> </w:t>
      </w:r>
      <m:oMath>
        <m:sSub>
          <m:e>
            <m:r>
              <m:t>C</m:t>
            </m:r>
          </m:e>
          <m:sub>
            <m:r>
              <m:t>d</m:t>
            </m:r>
          </m:sub>
        </m:sSub>
      </m:oMath>
      <w:r>
        <w:t xml:space="preserve"> </w:t>
      </w:r>
      <w:r>
        <w:t xml:space="preserve">(mmol/m</w:t>
      </w:r>
      <m:oMath>
        <m:sSup>
          <m:e>
            <m:r>
              <m:t>​</m:t>
            </m:r>
          </m:e>
          <m:sup>
            <m:r>
              <m:t>3</m:t>
            </m:r>
          </m:sup>
        </m:sSup>
      </m:oMath>
      <w:r>
        <w:t xml:space="preserve">), solar radiation as</w:t>
      </w:r>
      <w:r>
        <w:t xml:space="preserve"> </w:t>
      </w:r>
      <m:oMath>
        <m:r>
          <m:t>P</m:t>
        </m:r>
        <m:r>
          <m:t>A</m:t>
        </m:r>
        <m:r>
          <m:t>R</m:t>
        </m:r>
      </m:oMath>
      <w:r>
        <w:t xml:space="preserve"> </w:t>
      </w:r>
      <w:r>
        <w:t xml:space="preserve">(W/m</w:t>
      </w:r>
      <m:oMath>
        <m:sSup>
          <m:e>
            <m:r>
              <m:t>​</m:t>
            </m:r>
          </m:e>
          <m:sup>
            <m:r>
              <m:t>2</m:t>
            </m:r>
          </m:sup>
        </m:sSup>
      </m:oMath>
      <w:r>
        <w:t xml:space="preserve">/s), water column depth as</w:t>
      </w:r>
      <w:r>
        <w:t xml:space="preserve"> </w:t>
      </w:r>
      <m:oMath>
        <m:r>
          <m:t>H</m:t>
        </m:r>
      </m:oMath>
      <w:r>
        <w:t xml:space="preserve"> </w:t>
      </w:r>
      <w:r>
        <w:t xml:space="preserve">(m), and wind speed at 10 m height as</w:t>
      </w:r>
      <w:r>
        <w:t xml:space="preserve"> </w:t>
      </w:r>
      <m:oMath>
        <m:r>
          <m:t>U</m:t>
        </m:r>
      </m:oMath>
      <w:r>
        <w:t xml:space="preserve"> </w:t>
      </w:r>
      <w:r>
        <w:t xml:space="preserve">(m/s). The schmidt number</w:t>
      </w:r>
      <w:r>
        <w:t xml:space="preserve"> </w:t>
      </w:r>
      <m:oMath>
        <m:sSub>
          <m:e>
            <m:r>
              <m:t>s</m:t>
            </m:r>
          </m:e>
          <m:sub>
            <m:r>
              <m:t>c</m:t>
            </m:r>
          </m:sub>
        </m:sSub>
      </m:oMath>
      <w:r>
        <w:t xml:space="preserve"> </w:t>
      </w:r>
      <w:r>
        <w:t xml:space="preserve">is the ratio of the kinematic viscosity of water to the molecular diffusivity of oxygen calculated as a function of water tempererature and salinity using the polynomial wit of</w:t>
      </w:r>
      <w:r>
        <w:t xml:space="preserve"> </w:t>
      </w:r>
      <w:r>
        <w:t xml:space="preserve">Wanninkhof (2014)</w:t>
      </w:r>
      <w:r>
        <w:t xml:space="preserve">.</w:t>
      </w:r>
    </w:p>
    <w:p>
      <w:pPr>
        <w:pStyle w:val="BodyText"/>
      </w:pPr>
      <w:r>
        <w:t xml:space="preserve">Dissolved oxygen at saturation</w:t>
      </w:r>
      <w:r>
        <w:t xml:space="preserve"> </w:t>
      </w:r>
      <m:oMath>
        <m:sSub>
          <m:e>
            <m:r>
              <m:t>C</m:t>
            </m:r>
          </m:e>
          <m:sub>
            <m:r>
              <m:t>S</m:t>
            </m:r>
            <m:r>
              <m:t>a</m:t>
            </m:r>
            <m:r>
              <m:t>t</m:t>
            </m:r>
          </m:sub>
        </m:sSub>
      </m:oMath>
      <w:r>
        <w:t xml:space="preserve"> </w:t>
      </w:r>
      <w:r>
        <w:t xml:space="preserve">is calculated from the input data using</w:t>
      </w:r>
      <w:r>
        <w:t xml:space="preserve"> </w:t>
      </w:r>
      <w:r>
        <w:t xml:space="preserve">García and Gordon (1992)</w:t>
      </w:r>
      <w:r>
        <w:t xml:space="preserve"> </w:t>
      </w:r>
      <w:r>
        <w:t xml:space="preserve">as a function of water temperature (C,</w:t>
      </w:r>
      <w:r>
        <w:t xml:space="preserve"> </w:t>
      </w:r>
      <m:oMath>
        <m:r>
          <m:t>T</m:t>
        </m:r>
      </m:oMath>
      <w:r>
        <w:t xml:space="preserve">) and salinity (psu,</w:t>
      </w:r>
      <w:r>
        <w:t xml:space="preserve"> </w:t>
      </w:r>
      <m:oMath>
        <m:r>
          <m:t>s</m:t>
        </m:r>
        <m:r>
          <m:t>a</m:t>
        </m:r>
        <m:r>
          <m:t>l</m:t>
        </m:r>
      </m:oMath>
      <w:r>
        <w:t xml:space="preserve">).</w:t>
      </w:r>
      <w:r>
        <w:t xml:space="preserve"> </w:t>
      </w:r>
      <w:hyperlink w:anchor="eq-ts">
        <w:r>
          <w:rPr>
            <w:rStyle w:val="Hyperlink"/>
          </w:rPr>
          <w:t xml:space="preserve">Equation 2</w:t>
        </w:r>
      </w:hyperlink>
      <w:r>
        <w:t xml:space="preserve"> </w:t>
      </w:r>
      <w:r>
        <w:t xml:space="preserve">is temperature scaled, as input to</w:t>
      </w:r>
      <w:r>
        <w:t xml:space="preserve"> </w:t>
      </w:r>
      <w:hyperlink w:anchor="eq-co">
        <w:r>
          <w:rPr>
            <w:rStyle w:val="Hyperlink"/>
          </w:rPr>
          <w:t xml:space="preserve">Equation 3</w:t>
        </w:r>
      </w:hyperlink>
      <w:r>
        <w:t xml:space="preserve"> </w:t>
      </w:r>
      <w:r>
        <w:t xml:space="preserve">that calculates the solubility of dissolved oxygen per volume of seawater at the given temperature. The coefficients are A</w:t>
      </w:r>
      <m:oMath>
        <m:sSub>
          <m:e>
            <m:r>
              <m:t>​</m:t>
            </m:r>
          </m:e>
          <m:sub>
            <m:r>
              <m:t>0</m:t>
            </m:r>
          </m:sub>
        </m:sSub>
      </m:oMath>
      <w:r>
        <w:t xml:space="preserve"> </w:t>
      </w:r>
      <w:r>
        <w:t xml:space="preserve">= 5.80818, A</w:t>
      </w:r>
      <m:oMath>
        <m:sSub>
          <m:e>
            <m:r>
              <m:t>​</m:t>
            </m:r>
          </m:e>
          <m:sub>
            <m:r>
              <m:t>1</m:t>
            </m:r>
          </m:sub>
        </m:sSub>
      </m:oMath>
      <w:r>
        <w:t xml:space="preserve"> </w:t>
      </w:r>
      <w:r>
        <w:t xml:space="preserve">= 3.20684, A</w:t>
      </w:r>
      <m:oMath>
        <m:sSub>
          <m:e>
            <m:r>
              <m:t>​</m:t>
            </m:r>
          </m:e>
          <m:sub>
            <m:r>
              <m:t>2</m:t>
            </m:r>
          </m:sub>
        </m:sSub>
      </m:oMath>
      <w:r>
        <w:t xml:space="preserve"> </w:t>
      </w:r>
      <w:r>
        <w:t xml:space="preserve">= 4.11890, A</w:t>
      </w:r>
      <m:oMath>
        <m:sSub>
          <m:e>
            <m:r>
              <m:t>​</m:t>
            </m:r>
          </m:e>
          <m:sub>
            <m:r>
              <m:t>3</m:t>
            </m:r>
          </m:sub>
        </m:sSub>
      </m:oMath>
      <w:r>
        <w:t xml:space="preserve"> </w:t>
      </w:r>
      <w:r>
        <w:t xml:space="preserve">= 4.93845, A</w:t>
      </w:r>
      <m:oMath>
        <m:sSub>
          <m:e>
            <m:r>
              <m:t>​</m:t>
            </m:r>
          </m:e>
          <m:sub>
            <m:r>
              <m:t>4</m:t>
            </m:r>
          </m:sub>
        </m:sSub>
      </m:oMath>
      <w:r>
        <w:t xml:space="preserve"> </w:t>
      </w:r>
      <w:r>
        <w:t xml:space="preserve">= 1.01567, A</w:t>
      </w:r>
      <m:oMath>
        <m:sSub>
          <m:e>
            <m:r>
              <m:t>​</m:t>
            </m:r>
          </m:e>
          <m:sub>
            <m:r>
              <m:t>5</m:t>
            </m:r>
          </m:sub>
        </m:sSub>
      </m:oMath>
      <w:r>
        <w:t xml:space="preserve"> </w:t>
      </w:r>
      <w:r>
        <w:t xml:space="preserve">= 1.41575, B</w:t>
      </w:r>
      <m:oMath>
        <m:sSub>
          <m:e>
            <m:r>
              <m:t>​</m:t>
            </m:r>
          </m:e>
          <m:sub>
            <m:r>
              <m:t>0</m:t>
            </m:r>
          </m:sub>
        </m:sSub>
      </m:oMath>
      <w:r>
        <w:t xml:space="preserve"> </w:t>
      </w:r>
      <w:r>
        <w:t xml:space="preserve">= -7.01211e-3, B</w:t>
      </w:r>
      <m:oMath>
        <m:sSub>
          <m:e>
            <m:r>
              <m:t>​</m:t>
            </m:r>
          </m:e>
          <m:sub>
            <m:r>
              <m:t>1</m:t>
            </m:r>
          </m:sub>
        </m:sSub>
      </m:oMath>
      <w:r>
        <w:t xml:space="preserve"> </w:t>
      </w:r>
      <w:r>
        <w:t xml:space="preserve">= -7.25958e-3, B</w:t>
      </w:r>
      <m:oMath>
        <m:sSub>
          <m:e>
            <m:r>
              <m:t>​</m:t>
            </m:r>
          </m:e>
          <m:sub>
            <m:r>
              <m:t>2</m:t>
            </m:r>
          </m:sub>
        </m:sSub>
      </m:oMath>
      <w:r>
        <w:t xml:space="preserve"> </w:t>
      </w:r>
      <w:r>
        <w:t xml:space="preserve">= -7.93334e-3, B</w:t>
      </w:r>
      <m:oMath>
        <m:sSub>
          <m:e>
            <m:r>
              <m:t>​</m:t>
            </m:r>
          </m:e>
          <m:sub>
            <m:r>
              <m:t>3</m:t>
            </m:r>
          </m:sub>
        </m:sSub>
      </m:oMath>
      <w:r>
        <w:t xml:space="preserve"> </w:t>
      </w:r>
      <w:r>
        <w:t xml:space="preserve">= -5.54491e-3, and C</w:t>
      </w:r>
      <m:oMath>
        <m:sSub>
          <m:e>
            <m:r>
              <m:t>​</m:t>
            </m:r>
          </m:e>
          <m:sub>
            <m:r>
              <m:t>0</m:t>
            </m:r>
          </m:sub>
        </m:sSub>
      </m:oMath>
      <w:r>
        <w:t xml:space="preserve"> </w:t>
      </w:r>
      <w:r>
        <w:t xml:space="preserve">= -1.32412e-7.</w:t>
      </w:r>
    </w:p>
    <w:p>
      <w:pPr>
        <w:pStyle w:val="BodyText"/>
      </w:pPr>
      <w:bookmarkStart w:id="24"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2</m:t>
              </m:r>
            </m:e>
          </m:d>
        </m:oMath>
      </m:oMathPara>
      <w:bookmarkEnd w:id="24"/>
    </w:p>
    <w:p>
      <w:pPr>
        <w:pStyle w:val="FirstParagraph"/>
      </w:pPr>
      <w:bookmarkStart w:id="25"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3</m:t>
              </m:r>
            </m:e>
          </m:d>
        </m:oMath>
      </m:oMathPara>
      <w:bookmarkEnd w:id="25"/>
    </w:p>
    <w:p>
      <w:pPr>
        <w:pStyle w:val="FirstParagraph"/>
      </w:pPr>
      <w:r>
        <w:t xml:space="preserve">Dissolved oxygen saturation is then calculated by multiplying</w:t>
      </w:r>
      <w:r>
        <w:t xml:space="preserve"> </w:t>
      </w:r>
      <m:oMath>
        <m:sSub>
          <m:e>
            <m:r>
              <m:t>C</m:t>
            </m:r>
          </m:e>
          <m:sub>
            <m:r>
              <m:t>o</m:t>
            </m:r>
          </m:sub>
        </m:sSub>
      </m:oMath>
      <w:r>
        <w:t xml:space="preserve"> </w:t>
      </w:r>
      <w:r>
        <w:t xml:space="preserve">by the density of seawater given temperature and salinity (</w:t>
      </w:r>
      <w:hyperlink w:anchor="eq-csat">
        <w:r>
          <w:rPr>
            <w:rStyle w:val="Hyperlink"/>
          </w:rPr>
          <w:t xml:space="preserve">Equation 4</w:t>
        </w:r>
      </w:hyperlink>
      <w:r>
        <w:t xml:space="preserve">). The parameter</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p>
    <w:p>
      <w:pPr>
        <w:pStyle w:val="BodyText"/>
      </w:pPr>
      <w:bookmarkStart w:id="26"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4</m:t>
              </m:r>
            </m:e>
          </m:d>
        </m:oMath>
      </m:oMathPara>
      <w:bookmarkEnd w:id="26"/>
    </w:p>
    <w:p>
      <w:pPr>
        <w:pStyle w:val="FirstParagraph"/>
      </w:pPr>
      <w:r>
        <w:t xml:space="preserve">The remaining three parameters</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are estimated by likelihood given the observed data with the JAGS model using prior distributions shown in the model file. At each time step, the change in oxygen concentration between time steps is calculated from the equation using model inputs and parameter guesses, and then a finite difference approximation is used to estimate modeled oxygen concentration. The estimated concentration is also returned, which can be compared to observed as one measure of model performance.</w:t>
      </w:r>
    </w:p>
    <w:p>
      <w:pPr>
        <w:numPr>
          <w:ilvl w:val="0"/>
          <w:numId w:val="1002"/>
        </w:numPr>
        <w:pStyle w:val="Compact"/>
      </w:pPr>
      <w:r>
        <w:t xml:space="preserve">EBASE theory</w:t>
      </w:r>
    </w:p>
    <w:p>
      <w:pPr>
        <w:numPr>
          <w:ilvl w:val="0"/>
          <w:numId w:val="1002"/>
        </w:numPr>
        <w:pStyle w:val="Compact"/>
      </w:pPr>
      <w:r>
        <w:t xml:space="preserve">EBASE R package</w:t>
      </w:r>
    </w:p>
    <w:bookmarkEnd w:id="27"/>
    <w:bookmarkStart w:id="32" w:name="assessment"/>
    <w:p>
      <w:pPr>
        <w:pStyle w:val="Heading2"/>
      </w:pPr>
      <w:r>
        <w:t xml:space="preserve">3 Assessment</w:t>
      </w:r>
    </w:p>
    <w:bookmarkStart w:id="28" w:name="X0d02bab476da195afb173dba74198ce7a19589a"/>
    <w:p>
      <w:pPr>
        <w:pStyle w:val="Heading3"/>
      </w:pPr>
      <w:r>
        <w:t xml:space="preserve">3.1 EBASE comparison with modelled observations</w:t>
      </w:r>
    </w:p>
    <w:p>
      <w:pPr>
        <w:numPr>
          <w:ilvl w:val="0"/>
          <w:numId w:val="1003"/>
        </w:numPr>
        <w:pStyle w:val="Compact"/>
      </w:pPr>
      <w:r>
        <w:t xml:space="preserve">Comparison with Odum and BASEmetab: Fwoxy Appalachicola</w:t>
      </w:r>
    </w:p>
    <w:bookmarkEnd w:id="28"/>
    <w:bookmarkStart w:id="29" w:name="sensitivity-analyses"/>
    <w:p>
      <w:pPr>
        <w:pStyle w:val="Heading3"/>
      </w:pPr>
      <w:r>
        <w:t xml:space="preserve">3.2 Sensitivity analyses</w:t>
      </w:r>
    </w:p>
    <w:p>
      <w:pPr>
        <w:pStyle w:val="FirstParagraph"/>
      </w:pPr>
      <w:r>
        <w:t xml:space="preserve">Several configurations of the EBASE model can influence how the metabolic rates are estimated. A simulated time series with known values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that are returned by EBASE was used to determine if 1) EBASE estimates similar values, and 2) how the estimated values change with different model configurations.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The metabolic estimates returned from each analysis were compared to the known values to identify priors the model was most sensitive to and if the conclusions varied by optimization period. Estimates for the modeled dissolved oxygen, gross production, respiration (</w:t>
      </w:r>
      <m:oMath>
        <m:r>
          <m:t>r</m:t>
        </m:r>
      </m:oMath>
      <w:r>
        <w:t xml:space="preserve">), gas exchange (</w:t>
      </w:r>
      <m:oMath>
        <m:r>
          <m:t>D</m:t>
        </m:r>
      </m:oMath>
      <w:r>
        <w:t xml:space="preserve">), and</w:t>
      </w:r>
      <w:r>
        <w:t xml:space="preserve"> </w:t>
      </w:r>
      <m:oMath>
        <m:r>
          <m:t>a</m:t>
        </m:r>
      </m:oMath>
      <w:r>
        <w:t xml:space="preserve"> </w:t>
      </w:r>
      <w:r>
        <w:t xml:space="preserve">were compared to those from the simulated time series using coefficient of variation (</w:t>
      </w:r>
      <m:oMath>
        <m:sSup>
          <m:e>
            <m:r>
              <m:t>R</m:t>
            </m:r>
          </m:e>
          <m:sup>
            <m:r>
              <m:t>2</m:t>
            </m:r>
          </m:sup>
        </m:sSup>
      </m:oMath>
      <w:r>
        <w:t xml:space="preserve">) and root mean square error (</w:t>
      </w:r>
      <m:oMath>
        <m:r>
          <m:t>R</m:t>
        </m:r>
        <m:r>
          <m:t>M</m:t>
        </m:r>
        <m:r>
          <m:t>S</m:t>
        </m:r>
        <m:r>
          <m:t>E</m:t>
        </m:r>
      </m:oMath>
      <w:r>
        <w:t xml:space="preserve">) summaries of the 1:1 comparison of the estimated vs simulated values. For the one day optimization period, all parameter estimates returned at the time step of the input data (i.e., modeled dissoled oxygen,</w:t>
      </w:r>
      <w:r>
        <w:t xml:space="preserve"> </w:t>
      </w:r>
      <m:oMath>
        <m:r>
          <m:t>D</m:t>
        </m:r>
      </m:oMath>
      <w:r>
        <w:t xml:space="preserve">, and</w:t>
      </w:r>
      <w:r>
        <w:t xml:space="preserve"> </w:t>
      </w:r>
      <m:oMath>
        <m:r>
          <m:t>a</m:t>
        </m:r>
      </m:oMath>
      <w:r>
        <w:t xml:space="preserve">) were daily-averaged for comparison. For the seven day optimization period, all parameter estimates and those from the known time series were weekly-averaged. Estimates for the</w:t>
      </w:r>
      <w:r>
        <w:t xml:space="preserve"> </w:t>
      </w:r>
      <m:oMath>
        <m:r>
          <m:t>b</m:t>
        </m:r>
      </m:oMath>
      <w:r>
        <w:t xml:space="preserve"> </w:t>
      </w:r>
      <w:r>
        <w:t xml:space="preserve">parameter were evaluated only by visual comparison because a single value was used in the simulated time series, preventing the estimate of quantitative comparisons.</w:t>
      </w:r>
    </w:p>
    <w:bookmarkEnd w:id="29"/>
    <w:bookmarkStart w:id="30" w:name="ebase-comparison-with-real-observations"/>
    <w:p>
      <w:pPr>
        <w:pStyle w:val="Heading3"/>
      </w:pPr>
      <w:r>
        <w:t xml:space="preserve">3.3 EBASE comparison with real observations</w:t>
      </w:r>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1</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BASmetab methods.</w:t>
      </w:r>
    </w:p>
    <w:bookmarkEnd w:id="30"/>
    <w:bookmarkStart w:id="31" w:name="application-to-represenatiave-nerr-sites"/>
    <w:p>
      <w:pPr>
        <w:pStyle w:val="Heading3"/>
      </w:pPr>
      <w:r>
        <w:t xml:space="preserve">3.4 Application to represenatiave NERR sites</w:t>
      </w:r>
    </w:p>
    <w:bookmarkEnd w:id="31"/>
    <w:bookmarkEnd w:id="32"/>
    <w:bookmarkStart w:id="33" w:name="discussion"/>
    <w:p>
      <w:pPr>
        <w:pStyle w:val="Heading2"/>
      </w:pPr>
      <w:r>
        <w:t xml:space="preserve">4 Discussion</w:t>
      </w:r>
    </w:p>
    <w:bookmarkEnd w:id="33"/>
    <w:bookmarkStart w:id="34" w:name="comments-and-recommendations"/>
    <w:p>
      <w:pPr>
        <w:pStyle w:val="Heading2"/>
      </w:pPr>
      <w:r>
        <w:t xml:space="preserve">5 Comments and Recommendations</w:t>
      </w:r>
    </w:p>
    <w:bookmarkEnd w:id="34"/>
    <w:bookmarkStart w:id="35" w:name="acknowledgments"/>
    <w:p>
      <w:pPr>
        <w:pStyle w:val="Heading2"/>
      </w:pPr>
      <w:r>
        <w:t xml:space="preserve">Acknowledgments</w:t>
      </w:r>
    </w:p>
    <w:bookmarkEnd w:id="35"/>
    <w:bookmarkStart w:id="40"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39" w:name="fig-apacmpfig"/>
          <w:p>
            <w:pPr>
              <w:pStyle w:val="Figure"/>
              <w:jc w:val="center"/>
            </w:pPr>
            <w:r>
              <w:drawing>
                <wp:inline>
                  <wp:extent cx="5943600" cy="6686550"/>
                  <wp:effectExtent b="0" l="0" r="0" t="0"/>
                  <wp:docPr descr="" title="" id="37" name="Picture"/>
                  <a:graphic>
                    <a:graphicData uri="http://schemas.openxmlformats.org/drawingml/2006/picture">
                      <pic:pic>
                        <pic:nvPicPr>
                          <pic:cNvPr descr="figs/apacmpfig.png" id="38" name="Picture"/>
                          <pic:cNvPicPr>
                            <a:picLocks noChangeArrowheads="1" noChangeAspect="1"/>
                          </pic:cNvPicPr>
                        </pic:nvPicPr>
                        <pic:blipFill>
                          <a:blip r:embed="rId36"/>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39"/>
        </w:tc>
      </w:tr>
    </w:tbl>
    <w:bookmarkEnd w:id="40"/>
    <w:bookmarkStart w:id="41"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076dc79-efb9-4c5b-88e7-ad8fd9b61f56"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76dc79-efb9-4c5b-88e7-ad8fd9b61f56"/>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41"/>
    <w:bookmarkStart w:id="53" w:name="references"/>
    <w:p>
      <w:pPr>
        <w:pStyle w:val="Heading2"/>
      </w:pPr>
      <w:r>
        <w:t xml:space="preserve">References</w:t>
      </w:r>
    </w:p>
    <w:bookmarkStart w:id="52" w:name="refs"/>
    <w:bookmarkStart w:id="43"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42">
        <w:r>
          <w:rPr>
            <w:rStyle w:val="Hyperlink"/>
          </w:rPr>
          <w:t xml:space="preserve">10.1002/lom3.10062</w:t>
        </w:r>
      </w:hyperlink>
    </w:p>
    <w:bookmarkEnd w:id="43"/>
    <w:bookmarkStart w:id="45"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44">
        <w:r>
          <w:rPr>
            <w:rStyle w:val="Hyperlink"/>
          </w:rPr>
          <w:t xml:space="preserve">10.4319/lo.1992.37.6.1307</w:t>
        </w:r>
      </w:hyperlink>
    </w:p>
    <w:bookmarkEnd w:id="45"/>
    <w:bookmarkStart w:id="47"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46">
        <w:r>
          <w:rPr>
            <w:rStyle w:val="Hyperlink"/>
          </w:rPr>
          <w:t xml:space="preserve">10.1002/lom3.10011</w:t>
        </w:r>
      </w:hyperlink>
    </w:p>
    <w:bookmarkEnd w:id="47"/>
    <w:bookmarkStart w:id="49"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48">
        <w:r>
          <w:rPr>
            <w:rStyle w:val="Hyperlink"/>
          </w:rPr>
          <w:t xml:space="preserve">10.1016/0198-0149(81)90122-9</w:t>
        </w:r>
      </w:hyperlink>
    </w:p>
    <w:bookmarkEnd w:id="49"/>
    <w:bookmarkStart w:id="51"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50">
        <w:r>
          <w:rPr>
            <w:rStyle w:val="Hyperlink"/>
          </w:rPr>
          <w:t xml:space="preserve">10.4319/lom.2014.12.351</w:t>
        </w:r>
      </w:hyperlink>
    </w:p>
    <w:bookmarkEnd w:id="51"/>
    <w:bookmarkEnd w:id="52"/>
    <w:bookmarkEnd w:id="5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hyperlink" Id="rId46" Target="https://doi.org/10.1002/lom3.10011" TargetMode="External" /><Relationship Type="http://schemas.openxmlformats.org/officeDocument/2006/relationships/hyperlink" Id="rId42" Target="https://doi.org/10.1002/lom3.10062" TargetMode="External" /><Relationship Type="http://schemas.openxmlformats.org/officeDocument/2006/relationships/hyperlink" Id="rId48" Target="https://doi.org/10.1016/0198-0149(81)90122-9" TargetMode="External" /><Relationship Type="http://schemas.openxmlformats.org/officeDocument/2006/relationships/hyperlink" Id="rId44" Target="https://doi.org/10.4319/lo.1992.37.6.1307" TargetMode="External" /><Relationship Type="http://schemas.openxmlformats.org/officeDocument/2006/relationships/hyperlink" Id="rId50" Target="https://doi.org/10.4319/lom.2014.12.351"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lom3.10011" TargetMode="External" /><Relationship Type="http://schemas.openxmlformats.org/officeDocument/2006/relationships/hyperlink" Id="rId42" Target="https://doi.org/10.1002/lom3.10062" TargetMode="External" /><Relationship Type="http://schemas.openxmlformats.org/officeDocument/2006/relationships/hyperlink" Id="rId48" Target="https://doi.org/10.1016/0198-0149(81)90122-9" TargetMode="External" /><Relationship Type="http://schemas.openxmlformats.org/officeDocument/2006/relationships/hyperlink" Id="rId44" Target="https://doi.org/10.4319/lo.1992.37.6.1307" TargetMode="External" /><Relationship Type="http://schemas.openxmlformats.org/officeDocument/2006/relationships/hyperlink" Id="rId50" Target="https://doi.org/10.4319/lom.2014.12.351"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2022-12-20T21:27:19Z</dcterms:created>
  <dcterms:modified xsi:type="dcterms:W3CDTF">2022-12-20T21:27:19Z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