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BASEmetab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atmospheric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gets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uses the following for the gas transfer in BASEmetab:</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BASEmetab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BASEmetab, the metabolic estimates in EBASE are defined by the change in dissolved oxygen over the time step,</w:t>
      </w:r>
      <w:r>
        <w:t xml:space="preserve"> </w:t>
      </w:r>
      <m:oMath>
        <m:r>
          <m:t>δ</m:t>
        </m:r>
        <m:sSub>
          <m:e>
            <m:r>
              <m:t>C</m:t>
            </m:r>
          </m:e>
          <m:sub>
            <m:r>
              <m:t>d</m:t>
            </m:r>
          </m:sub>
        </m:sSub>
        <m:r>
          <m:rPr>
            <m:sty m:val="p"/>
          </m:rPr>
          <m:t>/</m:t>
        </m:r>
        <m:r>
          <m:t>δ</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observed as one measure of model performance.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BASEmetab model, relatively uninformed prior distributions following a normal Gaussian distribution are used by default, although the priors can of course be changed based on previous knowledge of parameters specific to an ecosystem or as informed by other metabolic modeling approaches. The default priors were based on those that returned reasonable parameter estimates using a forward-feeding oxygen mass balance equation call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2</w:t>
        </w:r>
      </w:hyperlink>
      <w:r>
        <w:t xml:space="preserve">.</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Additional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BASEmetab approach where the optimization period is set at one day. All results provided herein were generated using the EBASE R package.</w:t>
      </w:r>
    </w:p>
    <w:bookmarkEnd w:id="38"/>
    <w:bookmarkEnd w:id="39"/>
    <w:bookmarkStart w:id="43" w:name="assessment"/>
    <w:p>
      <w:pPr>
        <w:pStyle w:val="Heading2"/>
      </w:pPr>
      <w:r>
        <w:t xml:space="preserve">3 Assessment</w:t>
      </w:r>
    </w:p>
    <w:bookmarkStart w:id="40" w:name="X0d02bab476da195afb173dba74198ce7a19589a"/>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The only parameter that could not be simulated by Fwoxy was</w:t>
      </w:r>
      <w:r>
        <w:t xml:space="preserve"> </w:t>
      </w:r>
      <m:oMath>
        <m:r>
          <m:t>b</m:t>
        </m:r>
      </m:oMath>
      <w:r>
        <w:t xml:space="preserve">, which was set to 0.251.</w:t>
      </w:r>
    </w:p>
    <w:p>
      <w:pPr>
        <w:pStyle w:val="BodyText"/>
      </w:pPr>
      <w:r>
        <w:t xml:space="preserve">The simulated time series is shown in figure……</w:t>
      </w:r>
    </w:p>
    <w:p>
      <w:pPr>
        <w:pStyle w:val="BodyText"/>
      </w:pPr>
      <w:r>
        <w:t xml:space="preserve">Several configurations of the EBASE model can influence how the metabolic rates are estimated.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identify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(i.e., modeled dissolved oxygen,</w:t>
      </w:r>
      <w:r>
        <w:t xml:space="preserve"> </w:t>
      </w:r>
      <m:oMath>
        <m:r>
          <m:t>D</m:t>
        </m:r>
      </m:oMath>
      <w:r>
        <w:t xml:space="preserve">, and</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p>
      <w:pPr>
        <w:pStyle w:val="BodyText"/>
      </w:pPr>
      <w:r>
        <w:t xml:space="preserve">Results for the sensitivity analyses are shown in ……</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same one year continuous time series described above for water quality and weather data from Apalachicola Bay was used to compare metabolic estimates from EBASE, BASEmetab,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used a gas-exchange approach described in</w:t>
      </w:r>
      <w:r>
        <w:t xml:space="preserve"> </w:t>
      </w:r>
      <w:r>
        <w:t xml:space="preserve">Thébault et al. (2008)</w:t>
      </w:r>
      <w:r>
        <w:t xml:space="preserve">. For better comparison with the other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BASEmetab methods.</w:t>
      </w:r>
    </w:p>
    <w:bookmarkEnd w:id="41"/>
    <w:bookmarkStart w:id="42" w:name="application-to-representative-nerr-sites"/>
    <w:p>
      <w:pPr>
        <w:pStyle w:val="Heading3"/>
      </w:pPr>
      <w:r>
        <w:t xml:space="preserve">3.3 Application to representative NERR sites</w:t>
      </w:r>
    </w:p>
    <w:bookmarkEnd w:id="42"/>
    <w:bookmarkEnd w:id="43"/>
    <w:bookmarkStart w:id="44" w:name="discussion"/>
    <w:p>
      <w:pPr>
        <w:pStyle w:val="Heading2"/>
      </w:pPr>
      <w:r>
        <w:t xml:space="preserve">4 Discussion</w:t>
      </w:r>
    </w:p>
    <w:bookmarkEnd w:id="44"/>
    <w:bookmarkStart w:id="45" w:name="comments-and-recommendations"/>
    <w:p>
      <w:pPr>
        <w:pStyle w:val="Heading2"/>
      </w:pPr>
      <w:r>
        <w:t xml:space="preserve">5 Comments and Recommendations</w:t>
      </w:r>
    </w:p>
    <w:bookmarkEnd w:id="45"/>
    <w:bookmarkStart w:id="46" w:name="acknowledgments"/>
    <w:p>
      <w:pPr>
        <w:pStyle w:val="Heading2"/>
      </w:pPr>
      <w:r>
        <w:t xml:space="preserve">Acknowledgments</w:t>
      </w:r>
    </w:p>
    <w:bookmarkEnd w:id="46"/>
    <w:bookmarkStart w:id="55"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50" w:name="fig-apacmpfig"/>
          <w:p>
            <w:pPr>
              <w:pStyle w:val="Figure"/>
              <w:jc w:val="center"/>
            </w:pPr>
            <w:r>
              <w:drawing>
                <wp:inline>
                  <wp:extent cx="5943600" cy="6686550"/>
                  <wp:effectExtent b="0" l="0" r="0" t="0"/>
                  <wp:docPr descr="" title="" id="48" name="Picture"/>
                  <a:graphic>
                    <a:graphicData uri="http://schemas.openxmlformats.org/drawingml/2006/picture">
                      <pic:pic>
                        <pic:nvPicPr>
                          <pic:cNvPr descr="figs/apacmpfig.png" id="49" name="Picture"/>
                          <pic:cNvPicPr>
                            <a:picLocks noChangeArrowheads="1" noChangeAspect="1"/>
                          </pic:cNvPicPr>
                        </pic:nvPicPr>
                        <pic:blipFill>
                          <a:blip r:embed="rId47"/>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50"/>
        </w:tc>
      </w:tr>
    </w:tbl>
    <w:p>
      <w:r>
        <w:br w:type="page"/>
      </w:r>
    </w:p>
    <w:tbl>
      <w:tblPr>
        <w:tblStyle w:val="Table"/>
        <w:tblW w:type="pct" w:w="5000"/>
        <w:tblLook w:firstRow="0" w:lastRow="0" w:firstColumn="0" w:lastColumn="0" w:noHBand="0" w:noVBand="0" w:val="0000"/>
      </w:tblPr>
      <w:tblGrid>
        <w:gridCol w:w="7920"/>
      </w:tblGrid>
      <w:tr>
        <w:tc>
          <w:tcPr/>
          <w:bookmarkStart w:id="54" w:name="fig-priorplot"/>
          <w:p>
            <w:pPr>
              <w:pStyle w:val="Figure"/>
              <w:jc w:val="center"/>
            </w:pPr>
            <w:r>
              <w:drawing>
                <wp:inline>
                  <wp:extent cx="5943600" cy="2228850"/>
                  <wp:effectExtent b="0" l="0" r="0" t="0"/>
                  <wp:docPr descr="" title="" id="52" name="Picture"/>
                  <a:graphic>
                    <a:graphicData uri="http://schemas.openxmlformats.org/drawingml/2006/picture">
                      <pic:pic>
                        <pic:nvPicPr>
                          <pic:cNvPr descr="figs/priorplot.png" id="53" name="Picture"/>
                          <pic:cNvPicPr>
                            <a:picLocks noChangeArrowheads="1" noChangeAspect="1"/>
                          </pic:cNvPicPr>
                        </pic:nvPicPr>
                        <pic:blipFill>
                          <a:blip r:embed="rId51"/>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54"/>
        </w:tc>
      </w:tr>
    </w:tbl>
    <w:bookmarkEnd w:id="55"/>
    <w:bookmarkStart w:id="56"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572cbd6-355b-4c3c-9087-e0395d927d6e"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72cbd6-355b-4c3c-9087-e0395d927d6e"/>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56"/>
    <w:bookmarkStart w:id="83" w:name="references"/>
    <w:p>
      <w:pPr>
        <w:pStyle w:val="Heading2"/>
      </w:pPr>
      <w:r>
        <w:t xml:space="preserve">References</w:t>
      </w:r>
    </w:p>
    <w:bookmarkStart w:id="82" w:name="refs"/>
    <w:bookmarkStart w:id="57" w:name="ref-Arriola22"/>
    <w:p>
      <w:pPr>
        <w:pStyle w:val="Bibliography"/>
      </w:pPr>
      <w:r>
        <w:t xml:space="preserve">Arriola, J. M., and M. Herrmann. 2022. Fwoxy:</w:t>
      </w:r>
      <w:r>
        <w:t xml:space="preserve"> </w:t>
      </w:r>
      <w:r>
        <w:t xml:space="preserve">F</w:t>
      </w:r>
      <w:r>
        <w:t xml:space="preserve">orward model of estuary dissolved oxygen time series,.</w:t>
      </w:r>
    </w:p>
    <w:bookmarkEnd w:id="57"/>
    <w:bookmarkStart w:id="58" w:name="ref-Beck21"/>
    <w:p>
      <w:pPr>
        <w:pStyle w:val="Bibliography"/>
      </w:pPr>
      <w:r>
        <w:t xml:space="preserve">Beck, M. W. 2021. WtRegDO: Implement weighted regression on dissolved oxygen time series,.</w:t>
      </w:r>
    </w:p>
    <w:bookmarkEnd w:id="58"/>
    <w:bookmarkStart w:id="60"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59">
        <w:r>
          <w:rPr>
            <w:rStyle w:val="Hyperlink"/>
          </w:rPr>
          <w:t xml:space="preserve">10.1002/lom3.10062</w:t>
        </w:r>
      </w:hyperlink>
    </w:p>
    <w:bookmarkEnd w:id="60"/>
    <w:bookmarkStart w:id="61"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61"/>
    <w:bookmarkStart w:id="63"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62">
        <w:r>
          <w:rPr>
            <w:rStyle w:val="Hyperlink"/>
          </w:rPr>
          <w:t xml:space="preserve">10.4319/lo.1992.37.6.1307</w:t>
        </w:r>
      </w:hyperlink>
    </w:p>
    <w:bookmarkEnd w:id="63"/>
    <w:bookmarkStart w:id="65"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64">
        <w:r>
          <w:rPr>
            <w:rStyle w:val="Hyperlink"/>
          </w:rPr>
          <w:t xml:space="preserve">10.1002/lom3.10011</w:t>
        </w:r>
      </w:hyperlink>
    </w:p>
    <w:bookmarkEnd w:id="65"/>
    <w:bookmarkStart w:id="67"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66">
        <w:r>
          <w:rPr>
            <w:rStyle w:val="Hyperlink"/>
          </w:rPr>
          <w:t xml:space="preserve">10.1002/2016GL068727</w:t>
        </w:r>
      </w:hyperlink>
    </w:p>
    <w:bookmarkEnd w:id="67"/>
    <w:bookmarkStart w:id="69"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68">
        <w:r>
          <w:rPr>
            <w:rStyle w:val="Hyperlink"/>
          </w:rPr>
          <w:t xml:space="preserve">10.4319/lo.2010.55.3.1047</w:t>
        </w:r>
      </w:hyperlink>
    </w:p>
    <w:bookmarkEnd w:id="69"/>
    <w:bookmarkStart w:id="71"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70">
        <w:r>
          <w:rPr>
            <w:rStyle w:val="Hyperlink"/>
          </w:rPr>
          <w:t xml:space="preserve">10.1016/0198-0149(81)90122-9</w:t>
        </w:r>
      </w:hyperlink>
    </w:p>
    <w:bookmarkEnd w:id="71"/>
    <w:bookmarkStart w:id="73"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72">
        <w:r>
          <w:rPr>
            <w:rStyle w:val="Hyperlink"/>
          </w:rPr>
          <w:t xml:space="preserve">10.1007/s12237-017-0328-9</w:t>
        </w:r>
      </w:hyperlink>
    </w:p>
    <w:bookmarkEnd w:id="73"/>
    <w:bookmarkStart w:id="74"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74"/>
    <w:bookmarkStart w:id="75"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75"/>
    <w:bookmarkStart w:id="77" w:name="ref-RCT22"/>
    <w:p>
      <w:pPr>
        <w:pStyle w:val="Bibliography"/>
      </w:pPr>
      <w:r>
        <w:t xml:space="preserve">R Core Team. 2022.</w:t>
      </w:r>
      <w:r>
        <w:t xml:space="preserve"> </w:t>
      </w:r>
      <w:hyperlink r:id="rId76">
        <w:r>
          <w:rPr>
            <w:rStyle w:val="Hyperlink"/>
          </w:rPr>
          <w:t xml:space="preserve">R: A language and environment for statistical computing</w:t>
        </w:r>
      </w:hyperlink>
      <w:r>
        <w:t xml:space="preserve">, R Foundation for Statistical Computing.</w:t>
      </w:r>
    </w:p>
    <w:bookmarkEnd w:id="77"/>
    <w:bookmarkStart w:id="79"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78">
        <w:r>
          <w:rPr>
            <w:rStyle w:val="Hyperlink"/>
          </w:rPr>
          <w:t xml:space="preserve">10.1672/07-190.1</w:t>
        </w:r>
      </w:hyperlink>
    </w:p>
    <w:bookmarkEnd w:id="79"/>
    <w:bookmarkStart w:id="81"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80">
        <w:r>
          <w:rPr>
            <w:rStyle w:val="Hyperlink"/>
          </w:rPr>
          <w:t xml:space="preserve">10.4319/lom.2014.12.351</w:t>
        </w:r>
      </w:hyperlink>
    </w:p>
    <w:bookmarkEnd w:id="81"/>
    <w:bookmarkEnd w:id="82"/>
    <w:bookmarkEnd w:id="8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66" Target="https://doi.org/10.1002/2016GL068727" TargetMode="External" /><Relationship Type="http://schemas.openxmlformats.org/officeDocument/2006/relationships/hyperlink" Id="rId64" Target="https://doi.org/10.1002/lom3.10011" TargetMode="External" /><Relationship Type="http://schemas.openxmlformats.org/officeDocument/2006/relationships/hyperlink" Id="rId59" Target="https://doi.org/10.1002/lom3.10062" TargetMode="External" /><Relationship Type="http://schemas.openxmlformats.org/officeDocument/2006/relationships/hyperlink" Id="rId72" Target="https://doi.org/10.1007/s12237-017-0328-9" TargetMode="External" /><Relationship Type="http://schemas.openxmlformats.org/officeDocument/2006/relationships/hyperlink" Id="rId70" Target="https://doi.org/10.1016/0198-0149(81)90122-9" TargetMode="External" /><Relationship Type="http://schemas.openxmlformats.org/officeDocument/2006/relationships/hyperlink" Id="rId78" Target="https://doi.org/10.1672/07-190.1" TargetMode="External" /><Relationship Type="http://schemas.openxmlformats.org/officeDocument/2006/relationships/hyperlink" Id="rId62" Target="https://doi.org/10.4319/lo.1992.37.6.1307" TargetMode="External" /><Relationship Type="http://schemas.openxmlformats.org/officeDocument/2006/relationships/hyperlink" Id="rId68" Target="https://doi.org/10.4319/lo.2010.55.3.1047" TargetMode="External" /><Relationship Type="http://schemas.openxmlformats.org/officeDocument/2006/relationships/hyperlink" Id="rId80"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76"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2016GL068727" TargetMode="External" /><Relationship Type="http://schemas.openxmlformats.org/officeDocument/2006/relationships/hyperlink" Id="rId64" Target="https://doi.org/10.1002/lom3.10011" TargetMode="External" /><Relationship Type="http://schemas.openxmlformats.org/officeDocument/2006/relationships/hyperlink" Id="rId59" Target="https://doi.org/10.1002/lom3.10062" TargetMode="External" /><Relationship Type="http://schemas.openxmlformats.org/officeDocument/2006/relationships/hyperlink" Id="rId72" Target="https://doi.org/10.1007/s12237-017-0328-9" TargetMode="External" /><Relationship Type="http://schemas.openxmlformats.org/officeDocument/2006/relationships/hyperlink" Id="rId70" Target="https://doi.org/10.1016/0198-0149(81)90122-9" TargetMode="External" /><Relationship Type="http://schemas.openxmlformats.org/officeDocument/2006/relationships/hyperlink" Id="rId78" Target="https://doi.org/10.1672/07-190.1" TargetMode="External" /><Relationship Type="http://schemas.openxmlformats.org/officeDocument/2006/relationships/hyperlink" Id="rId62" Target="https://doi.org/10.4319/lo.1992.37.6.1307" TargetMode="External" /><Relationship Type="http://schemas.openxmlformats.org/officeDocument/2006/relationships/hyperlink" Id="rId68" Target="https://doi.org/10.4319/lo.2010.55.3.1047" TargetMode="External" /><Relationship Type="http://schemas.openxmlformats.org/officeDocument/2006/relationships/hyperlink" Id="rId80"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76"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2023-01-05T22:02:27Z</dcterms:created>
  <dcterms:modified xsi:type="dcterms:W3CDTF">2023-01-05T22:02:27Z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