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6.png" ContentType="image/png"/>
  <Override PartName="/word/media/rId48.png" ContentType="image/png"/>
  <Override PartName="/word/media/rId52.png" ContentType="image/png"/>
  <Override PartName="/word/media/rId40.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3"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mass balance equation is:</w:t>
      </w:r>
    </w:p>
    <w:p>
      <w:pPr>
        <w:pStyle w:val="BodyText"/>
      </w:pPr>
      <w:bookmarkStart w:id="23"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Production is modeled linearly as a function of surface irradiance (</w:t>
      </w:r>
      <m:oMath>
        <m:r>
          <m:t>P</m:t>
        </m:r>
        <m:r>
          <m:t>A</m:t>
        </m:r>
        <m:r>
          <m:t>R</m:t>
        </m:r>
      </m:oMath>
      <w:r>
        <w:t xml:space="preserve">, Watts m</w:t>
      </w:r>
      <m:oMath>
        <m:sSup>
          <m:e>
            <m:r>
              <m:t>​</m:t>
            </m:r>
          </m:e>
          <m:sup>
            <m:r>
              <m:rPr>
                <m:sty m:val="p"/>
              </m:rPr>
              <m:t>−</m:t>
            </m:r>
            <m:r>
              <m:t>2</m:t>
            </m:r>
          </m:sup>
        </m:sSup>
      </m:oMath>
      <w:r>
        <w:t xml:space="preserve">) and</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Respiration is modeled with the single parameter</w:t>
      </w:r>
      <w:r>
        <w:t xml:space="preserve"> </w:t>
      </w:r>
      <m:oMath>
        <m:r>
          <m:t>r</m:t>
        </m:r>
      </m:oMath>
      <w:r>
        <w:t xml:space="preserve"> </w:t>
      </w:r>
      <w:r>
        <w:t xml:space="preserve">(</w:t>
      </w:r>
      <m:oMath>
        <m:r>
          <m:rPr>
            <m:nor/>
            <m:sty m:val="p"/>
          </m:rPr>
          <m:t>mmol</m:t>
        </m:r>
        <m:r>
          <m:rPr>
            <m:sty m:val="p"/>
          </m:rPr>
          <m:t>/</m:t>
        </m:r>
        <m:sSup>
          <m:e>
            <m:r>
              <m:rPr>
                <m:nor/>
                <m:sty m:val="p"/>
              </m:rPr>
              <m:t>m</m:t>
            </m:r>
          </m:e>
          <m:sup>
            <m:r>
              <m:t>3</m:t>
            </m:r>
          </m:sup>
        </m:sSup>
        <m:r>
          <m:rPr>
            <m:sty m:val="p"/>
          </m:rPr>
          <m:t>/</m:t>
        </m:r>
        <m:r>
          <m:rPr>
            <m:nor/>
            <m:sty m:val="p"/>
          </m:rPr>
          <m:t>d</m:t>
        </m:r>
      </m:oMath>
      <w:r>
        <w:t xml:space="preserve">). Gas exchange is modeled using the formulation in</w:t>
      </w:r>
      <w:r>
        <w:t xml:space="preserve"> </w:t>
      </w:r>
      <w:r>
        <w:t xml:space="preserve">Wanninkhof (2014)</w:t>
      </w:r>
      <w:r>
        <w:t xml:space="preserve"> </w:t>
      </w:r>
      <w:r>
        <w:t xml:space="preserve">as a wind-based parameterization for the gas transfer velocity</w:t>
      </w:r>
      <w:r>
        <w:t xml:space="preserve"> </w:t>
      </w:r>
      <w:r>
        <w:t xml:space="preserve">(Ho et al. 2016)</w:t>
      </w:r>
      <w:r>
        <w:t xml:space="preserve"> </w:t>
      </w:r>
      <w:r>
        <w:t xml:space="preserve">multiplied by the oxygen concentration gradient as the difference between the concentration measured in the surface water layer,</w:t>
      </w:r>
      <w:r>
        <w:t xml:space="preserve"> </w:t>
      </w:r>
      <m:oMath>
        <m:sSub>
          <m:e>
            <m:r>
              <m:t>C</m:t>
            </m:r>
          </m:e>
          <m:sub>
            <m:r>
              <m:t>d</m:t>
            </m:r>
          </m:sub>
        </m:sSub>
      </m:oMath>
      <w:r>
        <w:t xml:space="preserve"> </w:t>
      </w:r>
      <w:r>
        <w:t xml:space="preserve">(mmol m</w:t>
      </w:r>
      <m:oMath>
        <m:sSup>
          <m:e>
            <m:r>
              <m:t>​</m:t>
            </m:r>
          </m:e>
          <m:sup>
            <m:r>
              <m:rPr>
                <m:sty m:val="p"/>
              </m:rPr>
              <m:t>−</m:t>
            </m:r>
            <m:r>
              <m:t>3</m:t>
            </m:r>
          </m:sup>
        </m:sSup>
      </m:oMath>
      <w:r>
        <w:t xml:space="preserve">), and the saturation (or equilibrium) concentration,</w:t>
      </w:r>
      <w:r>
        <w:t xml:space="preserve"> </w:t>
      </w:r>
      <m:oMath>
        <m:sSub>
          <m:e>
            <m:r>
              <m:t>C</m:t>
            </m:r>
          </m:e>
          <m:sub>
            <m:r>
              <m:t>S</m:t>
            </m:r>
            <m:r>
              <m:t>a</m:t>
            </m:r>
            <m:r>
              <m:t>t</m:t>
            </m:r>
          </m:sub>
        </m:sSub>
      </m:oMath>
      <w:r>
        <w:t xml:space="preserve"> </w:t>
      </w:r>
      <w:r>
        <w:t xml:space="preserve">(mmol m</w:t>
      </w:r>
      <m:oMath>
        <m:sSup>
          <m:e>
            <m:r>
              <m:t>​</m:t>
            </m:r>
          </m:e>
          <m:sup>
            <m:r>
              <m:rPr>
                <m:sty m:val="p"/>
              </m:rPr>
              <m:t>−</m:t>
            </m:r>
            <m:r>
              <m:t>3</m:t>
            </m:r>
          </m:sup>
        </m:sSup>
      </m:oMath>
      <w:r>
        <w:t xml:space="preserve">), calculated from salinity (psu) and temperature (</w:t>
      </w:r>
      <m:oMath>
        <m:sSup>
          <m:e>
            <m:r>
              <m:t>​</m:t>
            </m:r>
          </m:e>
          <m:sup>
            <m:r>
              <m:rPr>
                <m:sty m:val="p"/>
              </m:rPr>
              <m:t>∘</m:t>
            </m:r>
          </m:sup>
        </m:sSup>
      </m:oMath>
      <w:r>
        <w:t xml:space="preserve">C)</w:t>
      </w:r>
      <w:r>
        <w:t xml:space="preserve"> </w:t>
      </w:r>
      <w:r>
        <w:t xml:space="preserve">(Millero and Poisson 1981; García and Gordon 1992)</w:t>
      </w:r>
      <w:r>
        <w:t xml:space="preserve">. The gas transfer velocity is modeled using wind speed squared at 10 meters above the water (</w:t>
      </w:r>
      <m:oMath>
        <m:sSubSup>
          <m:e>
            <m:r>
              <m:t>U</m:t>
            </m:r>
          </m:e>
          <m:sub>
            <m:r>
              <m:t>10</m:t>
            </m:r>
          </m:sub>
          <m:sup>
            <m:r>
              <m:t>2</m:t>
            </m:r>
          </m:sup>
        </m:sSubSup>
      </m:oMath>
      <w:r>
        <w:t xml:space="preserve">, m</w:t>
      </w:r>
      <m:oMath>
        <m:sSup>
          <m:e>
            <m:r>
              <m:t>​</m:t>
            </m:r>
          </m:e>
          <m:sup>
            <m:r>
              <m:t>2</m:t>
            </m:r>
          </m:sup>
        </m:sSup>
      </m:oMath>
      <w:r>
        <w:t xml:space="preserve"> </w:t>
      </w:r>
      <w:r>
        <w:t xml:space="preserve">s</w:t>
      </w:r>
      <m:oMath>
        <m:sSup>
          <m:e>
            <m:r>
              <m:t>​</m:t>
            </m:r>
          </m:e>
          <m:sup>
            <m:r>
              <m:rPr>
                <m:sty m:val="p"/>
              </m:rPr>
              <m:t>−</m:t>
            </m:r>
            <m:r>
              <m:t>2</m:t>
            </m:r>
          </m:sup>
        </m:sSup>
      </m:oMath>
      <w:r>
        <w:t xml:space="preserve">), water column depth (</w:t>
      </w:r>
      <m:oMath>
        <m:r>
          <m:t>H</m:t>
        </m:r>
      </m:oMath>
      <w:r>
        <w:t xml:space="preserve"> </w:t>
      </w:r>
      <w:r>
        <w:t xml:space="preserve">in meters, as a fixed parameter or time series from a pressure sensor), and the Schmidt number (</w:t>
      </w:r>
      <m:oMath>
        <m:sSub>
          <m:e>
            <m:r>
              <m:t>S</m:t>
            </m:r>
          </m:e>
          <m:sub>
            <m:r>
              <m:t>c</m:t>
            </m:r>
          </m:sub>
        </m:sSub>
      </m:oMath>
      <w:r>
        <w:t xml:space="preserve">) defined as the ratio of the kinematic viscosity of water to the molecular diffusivity of the gas for oxygen</w:t>
      </w:r>
      <w:r>
        <w:t xml:space="preserve"> </w:t>
      </w:r>
      <w:r>
        <w:t xml:space="preserve">(from water temperature and salinity using the polynomial fit in Wanninkhof 2014)</w:t>
      </w:r>
      <w:r>
        <w:t xml:space="preserve">. The</w:t>
      </w:r>
      <w:r>
        <w:t xml:space="preserve"> </w:t>
      </w:r>
      <m:oMath>
        <m:r>
          <m:t>b</m:t>
        </m:r>
      </m:oMath>
      <w:r>
        <w:t xml:space="preserve"> </w:t>
      </w:r>
      <w:r>
        <w:t xml:space="preserve">parameter is estimated from the data and has units of</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As such, the three parameters estimated by EBASE are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using the required input data that includes time series of dissolved oxygen, water temperature, salinity, PAR, wind speed, and water column depth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p>
      <w:pPr>
        <w:pStyle w:val="BodyText"/>
      </w:pPr>
      <w:r>
        <w:t xml:space="preserve">The EBASE approach was based on several modifications to BAyesian Single-station Estimation (BASE) the mass balance equation described in</w:t>
      </w:r>
      <w:r>
        <w:t xml:space="preserve"> </w:t>
      </w:r>
      <w:r>
        <w:t xml:space="preserve">Grace et al. (2015)</w:t>
      </w:r>
      <w:r>
        <w:t xml:space="preserve">:</w:t>
      </w:r>
    </w:p>
    <w:p>
      <w:pPr>
        <w:pStyle w:val="BodyText"/>
      </w:pPr>
      <w:bookmarkStart w:id="24"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2</m:t>
              </m:r>
            </m:e>
          </m:d>
        </m:oMath>
      </m:oMathPara>
      <w:bookmarkEnd w:id="24"/>
    </w:p>
    <w:p>
      <w:pPr>
        <w:pStyle w:val="FirstParagraph"/>
      </w:pPr>
      <w:r>
        <w:t xml:space="preserve">where all parameters are defined as in</w:t>
      </w:r>
      <w:r>
        <w:t xml:space="preserve"> </w:t>
      </w:r>
      <w:hyperlink w:anchor="eq-ebase">
        <w:r>
          <w:rPr>
            <w:rStyle w:val="Hyperlink"/>
          </w:rPr>
          <w:t xml:space="preserve">Equation 1</w:t>
        </w:r>
      </w:hyperlink>
      <w:r>
        <w:t xml:space="preserve">, with the additional parameters</w:t>
      </w:r>
      <w:r>
        <w:t xml:space="preserve"> </w:t>
      </w:r>
      <m:oMath>
        <m:r>
          <m:t>p</m:t>
        </m:r>
      </m:oMath>
      <w:r>
        <w:t xml:space="preserve">,</w:t>
      </w:r>
      <w:r>
        <w:t xml:space="preserve"> </w:t>
      </w:r>
      <m:oMath>
        <m:r>
          <m:t>Θ</m:t>
        </m:r>
      </m:oMath>
      <w:r>
        <w:t xml:space="preserve">, and</w:t>
      </w:r>
      <w:r>
        <w:t xml:space="preserve"> </w:t>
      </w:r>
      <m:oMath>
        <m:r>
          <m:t>K</m:t>
        </m:r>
      </m:oMath>
      <w:r>
        <w:t xml:space="preserve"> </w:t>
      </w:r>
      <w:r>
        <w:t xml:space="preserve">(the rearation coefficient). The BASE approach provides options to estimate</w:t>
      </w:r>
      <w:r>
        <w:t xml:space="preserve"> </w:t>
      </w:r>
      <m:oMath>
        <m:r>
          <m:t>p</m:t>
        </m:r>
      </m:oMath>
      <w:r>
        <w:t xml:space="preserve"> </w:t>
      </w:r>
      <w:r>
        <w:t xml:space="preserve">and</w:t>
      </w:r>
      <w:r>
        <w:t xml:space="preserve"> </w:t>
      </w:r>
      <m:oMath>
        <m:r>
          <m:t>Θ</m:t>
        </m:r>
      </m:oMath>
      <w:r>
        <w:t xml:space="preserve"> </w:t>
      </w:r>
      <w:r>
        <w:t xml:space="preserve">from the data or to set as fixed values. A temperature dependency,</w:t>
      </w:r>
      <w:r>
        <w:t xml:space="preserve"> </w:t>
      </w:r>
      <m:oMath>
        <m:r>
          <m:t>T</m:t>
        </m:r>
      </m:oMath>
      <w:r>
        <w:t xml:space="preserve">, is also included where respiration and gas exchange vary with temperature. The changes to</w:t>
      </w:r>
      <w:r>
        <w:t xml:space="preserve"> </w:t>
      </w:r>
      <w:hyperlink w:anchor="eq-base">
        <w:r>
          <w:rPr>
            <w:rStyle w:val="Hyperlink"/>
          </w:rPr>
          <w:t xml:space="preserve">Equation 2</w:t>
        </w:r>
      </w:hyperlink>
      <w:r>
        <w:t xml:space="preserve"> </w:t>
      </w:r>
      <w:r>
        <w:t xml:space="preserve">for EBASE were necessary for estuarine application and included 1) a linear relationship of production to PAR (</w:t>
      </w:r>
      <m:oMath>
        <m:r>
          <m:t>a</m:t>
        </m:r>
        <m:r>
          <m:t>P</m:t>
        </m:r>
        <m:r>
          <m:t>A</m:t>
        </m:r>
        <m:r>
          <m:t>R</m:t>
        </m:r>
      </m:oMath>
      <w:r>
        <w:t xml:space="preserve">) by setting</w:t>
      </w:r>
      <w:r>
        <w:t xml:space="preserve"> </w:t>
      </w:r>
      <m:oMath>
        <m:r>
          <m:t>p</m:t>
        </m:r>
        <m:r>
          <m:rPr>
            <m:sty m:val="p"/>
          </m:rPr>
          <m:t>=</m:t>
        </m:r>
        <m:r>
          <m:t>1</m:t>
        </m:r>
      </m:oMath>
      <w:r>
        <w:t xml:space="preserve">; 2) constant respiration throughout the time series by removing the temperature dependency; and 3) use of a gas exchange parameterization commonly used in coastal or oceanic settings</w:t>
      </w:r>
      <w:r>
        <w:t xml:space="preserve"> </w:t>
      </w:r>
      <w:r>
        <w:t xml:space="preserve">(i.e., Grace et al. 2015 used a littoral parameterization)</w:t>
      </w:r>
      <w:r>
        <w:t xml:space="preserve">. The justification for these changes is as follows.</w:t>
      </w:r>
    </w:p>
    <w:bookmarkStart w:id="27" w:name="changes-to-base"/>
    <w:p>
      <w:pPr>
        <w:pStyle w:val="Heading3"/>
      </w:pPr>
      <w:r>
        <w:t xml:space="preserve">2.1 Changes to BASE</w:t>
      </w:r>
    </w:p>
    <w:p>
      <w:pPr>
        <w:pStyle w:val="FirstParagraph"/>
      </w:pPr>
      <w:r>
        <w:t xml:space="preserve">A common theory behind most gas exchange parameterizations for metabolism estimates is that the transfer of gases of relatively low solubility, like oxygen, is proportional to the concentration gradient in a thin film of water at the air–water interface. It is also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5"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3</m:t>
              </m:r>
            </m:e>
          </m:d>
        </m:oMath>
      </m:oMathPara>
      <w:bookmarkEnd w:id="25"/>
    </w:p>
    <w:p>
      <w:pPr>
        <w:pStyle w:val="FirstParagraph"/>
      </w:pPr>
      <w:r>
        <w:t xml:space="preserve">The gas transfer velocity,</w:t>
      </w:r>
      <w:r>
        <w:t xml:space="preserve"> </w:t>
      </w:r>
      <m:oMath>
        <m:sSub>
          <m:e>
            <m:r>
              <m:t>k</m:t>
            </m:r>
          </m:e>
          <m:sub>
            <m:r>
              <m:t>w</m:t>
            </m:r>
          </m:sub>
        </m:sSub>
      </m:oMath>
      <w:r>
        <w:t xml:space="preserve">, has dimensions of length over time and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e.g.,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the film of water at the air-sea interface becomes more thin as the random motion of gas and water molecules increases at higher temperatures and transfer of molecules across the film increases. This dependence of</w:t>
      </w:r>
      <w:r>
        <w:t xml:space="preserve"> </w:t>
      </w:r>
      <m:oMath>
        <m:sSub>
          <m:e>
            <m:r>
              <m:t>k</m:t>
            </m:r>
          </m:e>
          <m:sub>
            <m:r>
              <m:t>w</m:t>
            </m:r>
          </m:sub>
        </m:sSub>
      </m:oMath>
      <w:r>
        <w:t xml:space="preserve"> </w:t>
      </w:r>
      <w:r>
        <w:t xml:space="preserve">on temperature is usually modeled with the Schmidt number as in</w:t>
      </w:r>
      <w:r>
        <w:t xml:space="preserve"> </w:t>
      </w:r>
      <w:hyperlink w:anchor="eq-ebase">
        <w:r>
          <w:rPr>
            <w:rStyle w:val="Hyperlink"/>
          </w:rPr>
          <w:t xml:space="preserve">Equation 1</w:t>
        </w:r>
      </w:hyperlink>
      <w:r>
        <w:t xml:space="preserve">, which combines information on the viscosity of the fluid and the diffusivity of the gas.</w:t>
      </w:r>
    </w:p>
    <w:p>
      <w:pPr>
        <w:pStyle w:val="BodyText"/>
      </w:pPr>
      <w:r>
        <w:t xml:space="preserve">Grace et al. (2015)</w:t>
      </w:r>
      <w:r>
        <w:t xml:space="preserve"> </w:t>
      </w:r>
      <w:r>
        <w:t xml:space="preserve">used the following for the gas transfer in BASE:</w:t>
      </w:r>
    </w:p>
    <w:p>
      <w:pPr>
        <w:pStyle w:val="BodyText"/>
      </w:pPr>
      <w:bookmarkStart w:id="26"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4</m:t>
              </m:r>
            </m:e>
          </m:d>
        </m:oMath>
      </m:oMathPara>
      <w:bookmarkEnd w:id="26"/>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reaeration coefficient estimated from the data.</w:t>
      </w:r>
      <w:r>
        <w:t xml:space="preserve"> </w:t>
      </w:r>
      <w:hyperlink w:anchor="eq-gasexbase">
        <w:r>
          <w:rPr>
            <w:rStyle w:val="Hyperlink"/>
          </w:rPr>
          <w:t xml:space="preserve">Equation 4</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An expectation is that</w:t>
      </w:r>
      <w:r>
        <w:t xml:space="preserve"> </w:t>
      </w:r>
      <m:oMath>
        <m:sSub>
          <m:e>
            <m:r>
              <m:t>k</m:t>
            </m:r>
          </m:e>
          <m:sub>
            <m:r>
              <m:t>w</m:t>
            </m:r>
          </m:sub>
        </m:sSub>
      </m:oMath>
      <w:r>
        <w:t xml:space="preserve"> </w:t>
      </w:r>
      <w:r>
        <w:t xml:space="preserve">would increase as water depth decreases for a given current speed because turbulence generated at the sediment–water interface by currents would more easily reach the surface</w:t>
      </w:r>
      <w:r>
        <w:t xml:space="preserve"> </w:t>
      </w:r>
      <w:r>
        <w:t xml:space="preserve">(Ho et al. 2016)</w:t>
      </w:r>
      <w:r>
        <w:t xml:space="preserve">. Based on these differences, the wind-based parameterization for gas exchange was used for EBASE</w:t>
      </w:r>
      <w:r>
        <w:t xml:space="preserve"> </w:t>
      </w:r>
      <w:r>
        <w:t xml:space="preserve">(Wanninkhof 2014)</w:t>
      </w:r>
      <w:r>
        <w:t xml:space="preserve">. Additionally,</w:t>
      </w:r>
      <w:r>
        <w:t xml:space="preserve"> </w:t>
      </w:r>
      <m:oMath>
        <m:sSub>
          <m:e>
            <m:r>
              <m:t>C</m:t>
            </m:r>
          </m:e>
          <m:sub>
            <m:r>
              <m:t>s</m:t>
            </m:r>
            <m:r>
              <m:t>a</m:t>
            </m:r>
            <m:r>
              <m:t>t</m:t>
            </m:r>
          </m:sub>
        </m:sSub>
      </m:oMath>
      <w:r>
        <w:t xml:space="preserve"> </w:t>
      </w:r>
      <w:r>
        <w:t xml:space="preserve">was calculated using only temperature and salinity, removing the need for barometric pressure used in BASE.</w:t>
      </w:r>
    </w:p>
    <w:p>
      <w:pPr>
        <w:pStyle w:val="BodyText"/>
      </w:pPr>
      <w:r>
        <w:t xml:space="preserve">The additional modifications to</w:t>
      </w:r>
      <w:r>
        <w:t xml:space="preserve"> </w:t>
      </w:r>
      <w:hyperlink w:anchor="eq-base">
        <w:r>
          <w:rPr>
            <w:rStyle w:val="Hyperlink"/>
          </w:rPr>
          <w:t xml:space="preserve">Equation 2</w:t>
        </w:r>
      </w:hyperlink>
      <w:r>
        <w:t xml:space="preserve"> </w:t>
      </w:r>
      <w:r>
        <w:t xml:space="preserve">for EBASE were removing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and it is assumed that respiration is constant as in other methods</w:t>
      </w:r>
      <w:r>
        <w:t xml:space="preserve"> </w:t>
      </w:r>
      <w:r>
        <w:t xml:space="preserve">(Odum 1956;</w:t>
      </w:r>
      <w:r>
        <w:t xml:space="preserve"> </w:t>
      </w:r>
      <w:r>
        <w:rPr>
          <w:bCs/>
          <w:b/>
        </w:rPr>
        <w:t xml:space="preserve">Murrel18?</w:t>
      </w:r>
      <w:r>
        <w:t xml:space="preserve">)</w:t>
      </w:r>
      <w:r>
        <w:t xml:space="preserve">. The</w:t>
      </w:r>
      <w:r>
        <w:t xml:space="preserve"> </w:t>
      </w:r>
      <m:oMath>
        <m:r>
          <m:t>p</m:t>
        </m:r>
      </m:oMath>
      <w:r>
        <w:t xml:space="preserve"> </w:t>
      </w:r>
      <w:r>
        <w:t xml:space="preserve">parameter, which is dimensionless, is also set to 1 as in</w:t>
      </w:r>
      <w:r>
        <w:t xml:space="preserve"> </w:t>
      </w:r>
      <w:r>
        <w:t xml:space="preserve">Holtgrieve et al. (2010)</w:t>
      </w:r>
      <w:r>
        <w:t xml:space="preserve">, such that a linear relationship of production to</w:t>
      </w:r>
      <w:r>
        <w:t xml:space="preserve"> </w:t>
      </w:r>
      <m:oMath>
        <m:r>
          <m:t>P</m:t>
        </m:r>
        <m:r>
          <m:t>A</m:t>
        </m:r>
        <m:r>
          <m:t>R</m:t>
        </m:r>
      </m:oMath>
      <w:r>
        <w:t xml:space="preserve"> </w:t>
      </w:r>
      <w:r>
        <w:t xml:space="preserve">was used. This removes the exponential dependence of production with increasing</w:t>
      </w:r>
      <w:r>
        <w:t xml:space="preserve"> </w:t>
      </w:r>
      <m:oMath>
        <m:r>
          <m:t>P</m:t>
        </m:r>
        <m:r>
          <m:t>A</m:t>
        </m:r>
        <m:r>
          <m:t>R</m:t>
        </m:r>
      </m:oMath>
      <w:r>
        <w:t xml:space="preserve">. Removing these components also improved model stability by creating more reasonable estimates for the other parameters.</w:t>
      </w:r>
    </w:p>
    <w:bookmarkEnd w:id="27"/>
    <w:bookmarkStart w:id="32" w:name="sec-ebasemod"/>
    <w:p>
      <w:pPr>
        <w:pStyle w:val="Heading3"/>
      </w:pPr>
      <w:r>
        <w:t xml:space="preserve">2.2 EBASE model estimation</w:t>
      </w:r>
    </w:p>
    <w:p>
      <w:pPr>
        <w:pStyle w:val="FirstParagraph"/>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based on the prior distributions,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Areal rates for</w:t>
      </w:r>
      <w:r>
        <w:t xml:space="preserve"> </w:t>
      </w:r>
      <m:oMath>
        <m:r>
          <m:t>P</m:t>
        </m:r>
      </m:oMath>
      <w:r>
        <w:t xml:space="preserve">,</w:t>
      </w:r>
      <w:r>
        <w:t xml:space="preserve"> </w:t>
      </w:r>
      <m:oMath>
        <m:r>
          <m:t>R</m:t>
        </m:r>
      </m:oMath>
      <w:r>
        <w:t xml:space="preserve">, and</w:t>
      </w:r>
      <w:r>
        <w:t xml:space="preserve"> </w:t>
      </w:r>
      <m:oMath>
        <m:r>
          <m:t>D</m:t>
        </m:r>
      </m:oMath>
      <w:r>
        <w:t xml:space="preserve"> </w:t>
      </w:r>
      <w:r>
        <w:t xml:space="preserve">(mmol m</w:t>
      </w:r>
      <m:oMath>
        <m:sSup>
          <m:e>
            <m:r>
              <m:t>​</m:t>
            </m:r>
          </m:e>
          <m:sup>
            <m:r>
              <m:rPr>
                <m:sty m:val="p"/>
              </m:rPr>
              <m:t>−</m:t>
            </m:r>
          </m:sup>
        </m:sSup>
        <m:r>
          <m:t>2</m:t>
        </m:r>
      </m:oMath>
      <w:r>
        <w:t xml:space="preserve"> </w:t>
      </w:r>
      <w:r>
        <w:t xml:space="preserve">d</w:t>
      </w:r>
      <m:oMath>
        <m:sSup>
          <m:e>
            <m:r>
              <m:t>​</m:t>
            </m:r>
          </m:e>
          <m:sup>
            <m:r>
              <m:rPr>
                <m:sty m:val="p"/>
              </m:rPr>
              <m:t>−</m:t>
            </m:r>
            <m:r>
              <m:t>1</m:t>
            </m:r>
          </m:sup>
        </m:sSup>
      </m:oMath>
      <w:r>
        <w:t xml:space="preserve">) are returned for comparability of estimates across locations where water column depth may vary.</w:t>
      </w:r>
    </w:p>
    <w:p>
      <w:pPr>
        <w:pStyle w:val="BodyText"/>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known time series created with forward-feeding oxygen mass balance inputs to</w:t>
      </w:r>
      <w:r>
        <w:t xml:space="preserve"> </w:t>
      </w:r>
      <w:hyperlink w:anchor="eq-ebase">
        <w:r>
          <w:rPr>
            <w:rStyle w:val="Hyperlink"/>
          </w:rPr>
          <w:t xml:space="preserve">Equation 1</w:t>
        </w:r>
      </w:hyperlink>
      <w:r>
        <w:t xml:space="preserve">.</w:t>
      </w:r>
      <w:r>
        <w:t xml:space="preserve"> </w:t>
      </w:r>
      <w:r>
        <w:t xml:space="preserve">(Fwoxy R package, Arriola and Herrmann 2022)</w:t>
      </w:r>
      <w:r>
        <w:t xml:space="preserve">. All of the physical parameters were held constant, i.e., wind speed, temperature, and salinity. The other required inputs were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chosen as 0.2</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20</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respectively. An initial oxygen concentration was provided as 250 mmol/m</w:t>
      </w:r>
      <m:oMath>
        <m:sSup>
          <m:e>
            <m:r>
              <m:t>​</m:t>
            </m:r>
          </m:e>
          <m:sup>
            <m:r>
              <m:t>3</m:t>
            </m:r>
          </m:sup>
        </m:sSup>
      </m:oMath>
      <w:r>
        <w:t xml:space="preserve"> </w:t>
      </w:r>
      <w:r>
        <w:t xml:space="preserve">and the time series was created by forward addition of the inputs. As such, the dissolved oxygen output as change per unit time was modelled by EBASE using the constant the same physical parameters as input. Reasonable prior distributions by EBASE were identified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based on the ability to return the known parameters:</w:t>
      </w:r>
    </w:p>
    <w:p>
      <w:pPr>
        <w:pStyle w:val="BodyText"/>
      </w:pPr>
      <w:bookmarkStart w:id="28"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5</m:t>
              </m:r>
            </m:e>
          </m:d>
        </m:oMath>
      </m:oMathPara>
      <w:bookmarkEnd w:id="28"/>
    </w:p>
    <w:p>
      <w:pPr>
        <w:pStyle w:val="FirstParagraph"/>
      </w:pPr>
      <w:bookmarkStart w:id="29"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6</m:t>
              </m:r>
            </m:e>
          </m:d>
        </m:oMath>
      </m:oMathPara>
      <w:bookmarkEnd w:id="29"/>
    </w:p>
    <w:p>
      <w:pPr>
        <w:pStyle w:val="FirstParagraph"/>
      </w:pPr>
      <w:bookmarkStart w:id="30"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7</m:t>
              </m:r>
            </m:e>
          </m:d>
        </m:oMath>
      </m:oMathPara>
      <w:bookmarkEnd w:id="30"/>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1</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p>
      <w:pPr>
        <w:pStyle w:val="BodyText"/>
      </w:pPr>
      <w:r>
        <w:t xml:space="preserve">For ease of application, an R package was developed to implement the EBASE methods described above</w:t>
      </w:r>
      <w:r>
        <w:t xml:space="preserve"> </w:t>
      </w:r>
      <w:r>
        <w:t xml:space="preserve">(Beck et al. 2022)</w:t>
      </w:r>
      <w:r>
        <w:t xml:space="preserve">. A detailed web page (</w:t>
      </w:r>
      <w:hyperlink r:id="rId31">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1</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w:t>
      </w:r>
      <w:r>
        <w:t xml:space="preserve">for each parameter. Functions are available for viewing model results, including a plot of the modeled dissolved oxygen with the observed, a time series plot of the primary metabolic estimates (P, R, and D, as areal rates with units</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2"/>
    <w:bookmarkEnd w:id="33"/>
    <w:bookmarkStart w:id="36" w:name="assessment"/>
    <w:p>
      <w:pPr>
        <w:pStyle w:val="Heading2"/>
      </w:pPr>
      <w:r>
        <w:t xml:space="preserve">3 Assessment</w:t>
      </w:r>
    </w:p>
    <w:bookmarkStart w:id="34"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1</w:t>
        </w:r>
      </w:hyperlink>
      <w:r>
        <w:t xml:space="preserve">) was conducted using a synthetic time series with actual data as inputs. These assessments evaluated if 1) EBASE estimates similar values for the known parameters, and 2) how the estimated values change with different model configurations. The synthetic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using the inputs from Apalachicola Bay (</w:t>
      </w:r>
      <w:hyperlink w:anchor="fig-synapa">
        <w:r>
          <w:rPr>
            <w:rStyle w:val="Hyperlink"/>
          </w:rPr>
          <w:t xml:space="preserve">Figure 2</w:t>
        </w:r>
      </w:hyperlink>
      <w:r>
        <w:t xml:space="preserve">a), such that the synthetic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synthetic data, as well as all metabolic estimates for production, respiration, and gas exchange (</w:t>
      </w:r>
      <w:hyperlink w:anchor="fig-synapa">
        <w:r>
          <w:rPr>
            <w:rStyle w:val="Hyperlink"/>
          </w:rPr>
          <w:t xml:space="preserve">Figure 2</w:t>
        </w:r>
      </w:hyperlink>
      <w:r>
        <w:t xml:space="preserve">b and c). The only parameter that could not be created as a continuous time series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The sensitivity analysis evaluated changes in the distributions by varying the means and standard deviations from small to large to test the effect of changes in the central tendencies and more or less constrained ranges, respectively, on the priors. For each parameter, low and high values for the means and standard deviation were assessed as changes approximately equal to two orders of magnitude. For example the default value for the mean of the</w:t>
      </w:r>
      <w:r>
        <w:t xml:space="preserve"> </w:t>
      </w:r>
      <m:oMath>
        <m:r>
          <m:t>a</m:t>
        </m:r>
      </m:oMath>
      <w:r>
        <w:t xml:space="preserve"> </w:t>
      </w:r>
      <w:r>
        <w:t xml:space="preserve">prior distribution is 0.2 and low and high values were assessed as 0 and 2, respectively. The only exception was the high value that was tested for the mean of the</w:t>
      </w:r>
      <w:r>
        <w:t xml:space="preserve"> </w:t>
      </w:r>
      <m:oMath>
        <m:r>
          <m:t>b</m:t>
        </m:r>
      </m:oMath>
      <w:r>
        <w:t xml:space="preserve">, which was set at 0.504 or twice the default value (justification noted in</w:t>
      </w:r>
      <w:r>
        <w:t xml:space="preserve"> </w:t>
      </w:r>
      <w:hyperlink w:anchor="sec-ebasemod">
        <w:r>
          <w:rPr>
            <w:rStyle w:val="Hyperlink"/>
          </w:rPr>
          <w:t xml:space="preserve">Section 2.2</w:t>
        </w:r>
      </w:hyperlink>
      <w:r>
        <w:t xml:space="preserve">). Each unique combination of low and high values for the means and standard deviations of each parameter were evaluated, creating 2</w:t>
      </w:r>
      <m:oMath>
        <m:sSup>
          <m:e>
            <m:r>
              <m:t>​</m:t>
            </m:r>
          </m:e>
          <m:sup>
            <m:r>
              <m:t>6</m:t>
            </m:r>
          </m:sup>
        </m:sSup>
      </m:oMath>
      <w:r>
        <w:t xml:space="preserve"> </w:t>
      </w:r>
      <w:r>
        <w:t xml:space="preserve">= 64 different combinations of prior distributions that were used with the synthetic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single estimates for</w:t>
      </w:r>
      <w:r>
        <w:t xml:space="preserve"> </w:t>
      </w:r>
      <m:oMath>
        <m:r>
          <m:t>a</m:t>
        </m:r>
      </m:oMath>
      <w:r>
        <w:t xml:space="preserve">,</w:t>
      </w:r>
      <w:r>
        <w:t xml:space="preserve"> </w:t>
      </w:r>
      <m:oMath>
        <m:r>
          <m:t>r</m:t>
        </m:r>
      </m:oMath>
      <w:r>
        <w:t xml:space="preserve"> </w:t>
      </w:r>
      <w:r>
        <w:t xml:space="preserve">and</w:t>
      </w:r>
      <w:r>
        <w:t xml:space="preserve"> </w:t>
      </w:r>
      <m:oMath>
        <m:r>
          <m:t>b</m:t>
        </m:r>
      </m:oMath>
      <w:r>
        <w:t xml:space="preserve"> </w:t>
      </w:r>
      <w:r>
        <w:t xml:space="preserve">are returned by the model.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synthetic one-year time series. Each optimization period was evaluated for every unique combination of prior distributions, totaling 128 (64 times the two optimization periods) unique analyses for the assessment of changing priors of all parameters.</w:t>
      </w:r>
    </w:p>
    <w:p>
      <w:pPr>
        <w:pStyle w:val="BodyText"/>
      </w:pPr>
      <w:r>
        <w:t xml:space="preserve">Changing the prior distributions affected the ability of EBASE to return the known parameters from the synthetic time series, with results varying by optimization period.</w:t>
      </w:r>
      <w:r>
        <w:t xml:space="preserve"> </w:t>
      </w:r>
      <w:hyperlink w:anchor="fig-apasumdat">
        <w:r>
          <w:rPr>
            <w:rStyle w:val="Hyperlink"/>
          </w:rPr>
          <w:t xml:space="preserve">Figure 3</w:t>
        </w:r>
      </w:hyperlink>
      <w:r>
        <w:t xml:space="preserve"> </w:t>
      </w:r>
      <w:r>
        <w:t xml:space="preserve">shows a summary of the comparisons of the synthetic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synthetic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34"/>
    <w:bookmarkStart w:id="35"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35"/>
    <w:bookmarkEnd w:id="36"/>
    <w:bookmarkStart w:id="37" w:name="discussion"/>
    <w:p>
      <w:pPr>
        <w:pStyle w:val="Heading2"/>
      </w:pPr>
      <w:r>
        <w:t xml:space="preserve">4 Discussion</w:t>
      </w:r>
    </w:p>
    <w:p>
      <w:pPr>
        <w:numPr>
          <w:ilvl w:val="0"/>
          <w:numId w:val="1002"/>
        </w:numPr>
        <w:pStyle w:val="Compact"/>
      </w:pPr>
      <w:r>
        <w:t xml:space="preserve">Describe how EBASE deals with gaps</w:t>
      </w:r>
    </w:p>
    <w:bookmarkEnd w:id="37"/>
    <w:bookmarkStart w:id="38" w:name="comments-and-recommendations"/>
    <w:p>
      <w:pPr>
        <w:pStyle w:val="Heading2"/>
      </w:pPr>
      <w:r>
        <w:t xml:space="preserve">5 Comments and Recommendations</w:t>
      </w:r>
    </w:p>
    <w:bookmarkEnd w:id="38"/>
    <w:bookmarkStart w:id="39" w:name="acknowledgments"/>
    <w:p>
      <w:pPr>
        <w:pStyle w:val="Heading2"/>
      </w:pPr>
      <w:r>
        <w:t xml:space="preserve">Acknowledgments</w:t>
      </w:r>
    </w:p>
    <w:p>
      <w:r>
        <w:br w:type="page"/>
      </w:r>
    </w:p>
    <w:bookmarkEnd w:id="39"/>
    <w:bookmarkStart w:id="60"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3" w:name="fig-priorplot"/>
          <w:p>
            <w:pPr>
              <w:pStyle w:val="Figure"/>
              <w:jc w:val="center"/>
            </w:pPr>
            <w:r>
              <w:drawing>
                <wp:inline>
                  <wp:extent cx="5943600" cy="2228850"/>
                  <wp:effectExtent b="0" l="0" r="0" t="0"/>
                  <wp:docPr descr="" title="" id="41" name="Picture"/>
                  <a:graphic>
                    <a:graphicData uri="http://schemas.openxmlformats.org/drawingml/2006/picture">
                      <pic:pic>
                        <pic:nvPicPr>
                          <pic:cNvPr descr="figs/priorplot.png" id="42" name="Picture"/>
                          <pic:cNvPicPr>
                            <a:picLocks noChangeArrowheads="1" noChangeAspect="1"/>
                          </pic:cNvPicPr>
                        </pic:nvPicPr>
                        <pic:blipFill>
                          <a:blip r:embed="rId40"/>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3"/>
        </w:tc>
      </w:tr>
    </w:tbl>
    <w:p>
      <w:r>
        <w:br w:type="page"/>
      </w:r>
    </w:p>
    <w:tbl>
      <w:tblPr>
        <w:tblStyle w:val="Table"/>
        <w:tblW w:type="pct" w:w="5000"/>
        <w:tblLook w:firstRow="0" w:lastRow="0" w:firstColumn="0" w:lastColumn="0" w:noHBand="0" w:noVBand="0" w:val="0000"/>
      </w:tblPr>
      <w:tblGrid>
        <w:gridCol w:w="7920"/>
      </w:tblGrid>
      <w:tr>
        <w:tc>
          <w:tcPr/>
          <w:bookmarkStart w:id="47" w:name="fig-synapa"/>
          <w:p>
            <w:pPr>
              <w:pStyle w:val="Figure"/>
              <w:jc w:val="center"/>
            </w:pPr>
            <w:r>
              <w:drawing>
                <wp:inline>
                  <wp:extent cx="5943600" cy="5943600"/>
                  <wp:effectExtent b="0" l="0" r="0" t="0"/>
                  <wp:docPr descr="" title="" id="45" name="Picture"/>
                  <a:graphic>
                    <a:graphicData uri="http://schemas.openxmlformats.org/drawingml/2006/picture">
                      <pic:pic>
                        <pic:nvPicPr>
                          <pic:cNvPr descr="figs/synapa.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Synthetic time series for one year of continuous data at Apalachicola Bay. Synthetic input to EBASE was the (a) dissolved oxygen time series, with results compared to the (b) synthetic</w:t>
            </w:r>
            <w:r>
              <w:t xml:space="preserve"> </w:t>
            </w:r>
            <m:oMath>
              <m:r>
                <m:t>a</m:t>
              </m:r>
            </m:oMath>
            <w:r>
              <w:t xml:space="preserve"> </w:t>
            </w:r>
            <w:r>
              <w:t xml:space="preserve">parameter and (c) synthetic metabolic estimates for production (P), respiration (R), and gas exchange (D). The</w:t>
            </w:r>
            <w:r>
              <w:t xml:space="preserve"> </w:t>
            </w:r>
            <m:oMath>
              <m:r>
                <m:t>a</m:t>
              </m:r>
            </m:oMath>
            <w:r>
              <w:t xml:space="preserve"> </w:t>
            </w:r>
            <w:r>
              <w:t xml:space="preserve">parameter is shown as an areal value for comparison with the metabolic results.</w:t>
            </w:r>
          </w:p>
          <w:bookmarkEnd w:id="47"/>
        </w:tc>
      </w:tr>
    </w:tbl>
    <w:p>
      <w:r>
        <w:br w:type="page"/>
      </w:r>
    </w:p>
    <w:tbl>
      <w:tblPr>
        <w:tblStyle w:val="Table"/>
        <w:tblW w:type="pct" w:w="5000"/>
        <w:tblLook w:firstRow="0" w:lastRow="0" w:firstColumn="0" w:lastColumn="0" w:noHBand="0" w:noVBand="0" w:val="0000"/>
      </w:tblPr>
      <w:tblGrid>
        <w:gridCol w:w="7920"/>
      </w:tblGrid>
      <w:tr>
        <w:tc>
          <w:tcPr/>
          <w:bookmarkStart w:id="51" w:name="fig-apasumdat"/>
          <w:p>
            <w:pPr>
              <w:pStyle w:val="Figure"/>
              <w:jc w:val="center"/>
            </w:pPr>
            <w:r>
              <w:drawing>
                <wp:inline>
                  <wp:extent cx="5497394" cy="5497394"/>
                  <wp:effectExtent b="0" l="0" r="0" t="0"/>
                  <wp:docPr descr="" title="" id="49" name="Picture"/>
                  <a:graphic>
                    <a:graphicData uri="http://schemas.openxmlformats.org/drawingml/2006/picture">
                      <pic:pic>
                        <pic:nvPicPr>
                          <pic:cNvPr descr="figs/apasumdat.png" id="50" name="Picture"/>
                          <pic:cNvPicPr>
                            <a:picLocks noChangeArrowheads="1" noChangeAspect="1"/>
                          </pic:cNvPicPr>
                        </pic:nvPicPr>
                        <pic:blipFill>
                          <a:blip r:embed="rId48"/>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synthetic time series created with known metabolic parameters. Results are compared for unique combination of prior distributions, where the means and standard deviations are evaluated from low (L)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synthetic values. The</w:t>
            </w:r>
            <w:r>
              <w:t xml:space="preserve"> </w:t>
            </w:r>
            <m:oMath>
              <m:r>
                <m:t>b</m:t>
              </m:r>
            </m:oMath>
            <w:r>
              <w:t xml:space="preserve"> </w:t>
            </w:r>
            <w:r>
              <w:t xml:space="preserve">parameter is a fixed constant and was not evaluated.</w:t>
            </w:r>
          </w:p>
          <w:bookmarkEnd w:id="51"/>
        </w:tc>
      </w:tr>
    </w:tbl>
    <w:p>
      <w:r>
        <w:br w:type="page"/>
      </w:r>
    </w:p>
    <w:tbl>
      <w:tblPr>
        <w:tblStyle w:val="Table"/>
        <w:tblW w:type="pct" w:w="5000"/>
        <w:tblLook w:firstRow="0" w:lastRow="0" w:firstColumn="0" w:lastColumn="0" w:noHBand="0" w:noVBand="0" w:val="0000"/>
      </w:tblPr>
      <w:tblGrid>
        <w:gridCol w:w="7920"/>
      </w:tblGrid>
      <w:tr>
        <w:tc>
          <w:tcPr/>
          <w:bookmarkStart w:id="55" w:name="fig-optex"/>
          <w:p>
            <w:pPr>
              <w:pStyle w:val="Figure"/>
              <w:jc w:val="center"/>
            </w:pPr>
            <w:r>
              <w:drawing>
                <wp:inline>
                  <wp:extent cx="5943600" cy="6500812"/>
                  <wp:effectExtent b="0" l="0" r="0" t="0"/>
                  <wp:docPr descr="" title="" id="53" name="Picture"/>
                  <a:graphic>
                    <a:graphicData uri="http://schemas.openxmlformats.org/drawingml/2006/picture">
                      <pic:pic>
                        <pic:nvPicPr>
                          <pic:cNvPr descr="figs/optex.png" id="54" name="Picture"/>
                          <pic:cNvPicPr>
                            <a:picLocks noChangeArrowheads="1" noChangeAspect="1"/>
                          </pic:cNvPicPr>
                        </pic:nvPicPr>
                        <pic:blipFill>
                          <a:blip r:embed="rId52"/>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synthetic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55"/>
        </w:tc>
      </w:tr>
    </w:tbl>
    <w:p>
      <w:r>
        <w:br w:type="page"/>
      </w:r>
    </w:p>
    <w:tbl>
      <w:tblPr>
        <w:tblStyle w:val="Table"/>
        <w:tblW w:type="pct" w:w="5000"/>
        <w:tblLook w:firstRow="0" w:lastRow="0" w:firstColumn="0" w:lastColumn="0" w:noHBand="0" w:noVBand="0" w:val="0000"/>
      </w:tblPr>
      <w:tblGrid>
        <w:gridCol w:w="7920"/>
      </w:tblGrid>
      <w:tr>
        <w:tc>
          <w:tcPr/>
          <w:bookmarkStart w:id="59" w:name="fig-apacmpfig"/>
          <w:p>
            <w:pPr>
              <w:pStyle w:val="Figure"/>
              <w:jc w:val="center"/>
            </w:pPr>
            <w:r>
              <w:drawing>
                <wp:inline>
                  <wp:extent cx="5943600" cy="6686550"/>
                  <wp:effectExtent b="0" l="0" r="0" t="0"/>
                  <wp:docPr descr="" title="" id="57" name="Picture"/>
                  <a:graphic>
                    <a:graphicData uri="http://schemas.openxmlformats.org/drawingml/2006/picture">
                      <pic:pic>
                        <pic:nvPicPr>
                          <pic:cNvPr descr="figs/apacmpfig.png" id="58" name="Picture"/>
                          <pic:cNvPicPr>
                            <a:picLocks noChangeArrowheads="1" noChangeAspect="1"/>
                          </pic:cNvPicPr>
                        </pic:nvPicPr>
                        <pic:blipFill>
                          <a:blip r:embed="rId56"/>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Black lines show the 1:1 comparison and the red lines show the linear regression fit.</w:t>
            </w:r>
          </w:p>
          <w:bookmarkEnd w:id="59"/>
        </w:tc>
      </w:tr>
    </w:tbl>
    <w:p>
      <w:r>
        <w:br w:type="page"/>
      </w:r>
    </w:p>
    <w:bookmarkEnd w:id="60"/>
    <w:bookmarkStart w:id="61"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0e2ab3b-5b91-4af0-8e3f-0e589225e02f"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e2ab3b-5b91-4af0-8e3f-0e589225e02f"/>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 </m:t>
              </m:r>
              <m:sSup>
                <m:e>
                  <m:r>
                    <m:rPr>
                      <m:nor/>
                    </m:rPr>
                    <m:t>L</m:t>
                  </m:r>
                </m:e>
                <m:sup>
                  <m:r>
                    <m:t>−1</m:t>
                  </m:r>
                </m:sup>
              </m:sSup>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 </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 </m:t>
              </m:r>
              <m:sSup>
                <m:e>
                  <m:r>
                    <m:rPr>
                      <m:nor/>
                    </m:rPr>
                    <m:t>s</m:t>
                  </m:r>
                </m:e>
                <m:sup>
                  <m:r>
                    <m:t>−1</m:t>
                  </m:r>
                </m:sup>
              </m:sSup>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nor/>
                </m:rPr>
                <m:t> </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m:t>
              </m:r>
              <m:r>
                <m:rPr>
                  <m:nor/>
                </m:rPr>
                <m:t> </m:t>
              </m:r>
              <m:r>
                <m:t>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m:t>
              </m:r>
              <m:r>
                <m:rPr>
                  <m:nor/>
                </m:rPr>
                <m:t> </m:t>
              </m:r>
              <m:r>
                <m:t>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r>
                <m:rPr>
                  <m:nor/>
                </m:rPr>
                <m:t> </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 </m:t>
              </m:r>
              <m:sSup>
                <m:e>
                  <m:r>
                    <m:rPr>
                      <m:nor/>
                    </m:rPr>
                    <m:t>m</m:t>
                  </m:r>
                </m:e>
                <m:sup>
                  <m:r>
                    <m:t>−3</m:t>
                  </m:r>
                </m:sup>
              </m:sSup>
              <m:r>
                <m:rPr>
                  <m:nor/>
                </m:rPr>
                <m:t> </m:t>
              </m:r>
              <m:sSup>
                <m:e>
                  <m:r>
                    <m:rPr>
                      <m:nor/>
                    </m:rPr>
                    <m:t>d</m:t>
                  </m:r>
                </m:e>
                <m:sup>
                  <m:r>
                    <m:t>−1</m:t>
                  </m:r>
                </m:sup>
              </m:sSup>
              <m:r>
                <m:t>)</m:t>
              </m:r>
              <m:r>
                <m:rPr>
                  <m:sty m:val="p"/>
                </m:rPr>
                <m:t>/</m:t>
              </m:r>
              <m:r>
                <m:t>(</m:t>
              </m:r>
              <m:r>
                <m:rPr>
                  <m:nor/>
                </m:rPr>
                <m:t>Watts </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 </m:t>
              </m:r>
              <m:sSup>
                <m:e>
                  <m:r>
                    <m:rPr>
                      <m:nor/>
                    </m:rPr>
                    <m:t>hr</m:t>
                  </m:r>
                </m:e>
                <m:sup>
                  <m:r>
                    <m:t>−1</m:t>
                  </m:r>
                </m:sup>
              </m:sSup>
              <m:r>
                <m:t>)</m:t>
              </m:r>
              <m:r>
                <m:rPr>
                  <m:sty m:val="p"/>
                </m:rPr>
                <m:t>/</m:t>
              </m:r>
              <m:r>
                <m:t>(</m:t>
              </m:r>
              <m:sSup>
                <m:e>
                  <m:r>
                    <m:rPr>
                      <m:nor/>
                    </m:rPr>
                    <m:t>m</m:t>
                  </m:r>
                </m:e>
                <m:sup>
                  <m:r>
                    <m:t>2</m:t>
                  </m:r>
                </m:sup>
              </m:sSup>
              <m:r>
                <m:rPr>
                  <m:nor/>
                </m:rPr>
                <m:t> </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32dcc36-f6a5-4fdf-8556-85aa4b26de8a"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2dcc36-f6a5-4fdf-8556-85aa4b26de8a"/>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1"/>
    <w:bookmarkStart w:id="88" w:name="references"/>
    <w:p>
      <w:pPr>
        <w:pStyle w:val="Heading2"/>
      </w:pPr>
      <w:r>
        <w:t xml:space="preserve">References</w:t>
      </w:r>
    </w:p>
    <w:bookmarkStart w:id="87" w:name="refs"/>
    <w:bookmarkStart w:id="62"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2"/>
    <w:bookmarkStart w:id="63" w:name="ref-Beck21"/>
    <w:p>
      <w:pPr>
        <w:pStyle w:val="Bibliography"/>
      </w:pPr>
      <w:r>
        <w:t xml:space="preserve">Beck, M. W. 2021. WtRegDO: Implement weighted regression on dissolved oxygen time series,.</w:t>
      </w:r>
    </w:p>
    <w:bookmarkEnd w:id="63"/>
    <w:bookmarkStart w:id="65"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64">
        <w:r>
          <w:rPr>
            <w:rStyle w:val="Hyperlink"/>
          </w:rPr>
          <w:t xml:space="preserve">10.1002/lom3.10062</w:t>
        </w:r>
      </w:hyperlink>
    </w:p>
    <w:bookmarkEnd w:id="65"/>
    <w:bookmarkStart w:id="66"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66"/>
    <w:bookmarkStart w:id="68"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67">
        <w:r>
          <w:rPr>
            <w:rStyle w:val="Hyperlink"/>
          </w:rPr>
          <w:t xml:space="preserve">10.4319/lo.1992.37.6.1307</w:t>
        </w:r>
      </w:hyperlink>
    </w:p>
    <w:bookmarkEnd w:id="68"/>
    <w:bookmarkStart w:id="70"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69">
        <w:r>
          <w:rPr>
            <w:rStyle w:val="Hyperlink"/>
          </w:rPr>
          <w:t xml:space="preserve">10.1002/lom3.10011</w:t>
        </w:r>
      </w:hyperlink>
    </w:p>
    <w:bookmarkEnd w:id="70"/>
    <w:bookmarkStart w:id="72"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1">
        <w:r>
          <w:rPr>
            <w:rStyle w:val="Hyperlink"/>
          </w:rPr>
          <w:t xml:space="preserve">10.1002/2016GL068727</w:t>
        </w:r>
      </w:hyperlink>
    </w:p>
    <w:bookmarkEnd w:id="72"/>
    <w:bookmarkStart w:id="74"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3">
        <w:r>
          <w:rPr>
            <w:rStyle w:val="Hyperlink"/>
          </w:rPr>
          <w:t xml:space="preserve">10.4319/lo.2010.55.3.1047</w:t>
        </w:r>
      </w:hyperlink>
    </w:p>
    <w:bookmarkEnd w:id="74"/>
    <w:bookmarkStart w:id="76"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75">
        <w:r>
          <w:rPr>
            <w:rStyle w:val="Hyperlink"/>
          </w:rPr>
          <w:t xml:space="preserve">10.1016/0198-0149(81)90122-9</w:t>
        </w:r>
      </w:hyperlink>
    </w:p>
    <w:bookmarkEnd w:id="76"/>
    <w:bookmarkStart w:id="78"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77">
        <w:r>
          <w:rPr>
            <w:rStyle w:val="Hyperlink"/>
          </w:rPr>
          <w:t xml:space="preserve">10.1007/s12237-017-0328-9</w:t>
        </w:r>
      </w:hyperlink>
    </w:p>
    <w:bookmarkEnd w:id="78"/>
    <w:bookmarkStart w:id="79"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79"/>
    <w:bookmarkStart w:id="80"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0"/>
    <w:bookmarkStart w:id="82" w:name="ref-RCT22"/>
    <w:p>
      <w:pPr>
        <w:pStyle w:val="Bibliography"/>
      </w:pPr>
      <w:r>
        <w:t xml:space="preserve">R Core Team. 2022.</w:t>
      </w:r>
      <w:r>
        <w:t xml:space="preserve"> </w:t>
      </w:r>
      <w:hyperlink r:id="rId81">
        <w:r>
          <w:rPr>
            <w:rStyle w:val="Hyperlink"/>
          </w:rPr>
          <w:t xml:space="preserve">R: A language and environment for statistical computing</w:t>
        </w:r>
      </w:hyperlink>
      <w:r>
        <w:t xml:space="preserve">, R Foundation for Statistical Computing.</w:t>
      </w:r>
    </w:p>
    <w:bookmarkEnd w:id="82"/>
    <w:bookmarkStart w:id="84"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3">
        <w:r>
          <w:rPr>
            <w:rStyle w:val="Hyperlink"/>
          </w:rPr>
          <w:t xml:space="preserve">10.1672/07-190.1</w:t>
        </w:r>
      </w:hyperlink>
    </w:p>
    <w:bookmarkEnd w:id="84"/>
    <w:bookmarkStart w:id="86"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85">
        <w:r>
          <w:rPr>
            <w:rStyle w:val="Hyperlink"/>
          </w:rPr>
          <w:t xml:space="preserve">10.4319/lom.2014.12.351</w:t>
        </w:r>
      </w:hyperlink>
    </w:p>
    <w:bookmarkEnd w:id="86"/>
    <w:bookmarkEnd w:id="87"/>
    <w:bookmarkEnd w:id="88"/>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71" Target="https://doi.org/10.1002/2016GL068727" TargetMode="External" /><Relationship Type="http://schemas.openxmlformats.org/officeDocument/2006/relationships/hyperlink" Id="rId69" Target="https://doi.org/10.1002/lom3.10011" TargetMode="External" /><Relationship Type="http://schemas.openxmlformats.org/officeDocument/2006/relationships/hyperlink" Id="rId64" Target="https://doi.org/10.1002/lom3.10062" TargetMode="External" /><Relationship Type="http://schemas.openxmlformats.org/officeDocument/2006/relationships/hyperlink" Id="rId77" Target="https://doi.org/10.1007/s12237-017-0328-9" TargetMode="External" /><Relationship Type="http://schemas.openxmlformats.org/officeDocument/2006/relationships/hyperlink" Id="rId75" Target="https://doi.org/10.1016/0198-0149(81)90122-9" TargetMode="External" /><Relationship Type="http://schemas.openxmlformats.org/officeDocument/2006/relationships/hyperlink" Id="rId83" Target="https://doi.org/10.1672/07-190.1" TargetMode="External" /><Relationship Type="http://schemas.openxmlformats.org/officeDocument/2006/relationships/hyperlink" Id="rId67" Target="https://doi.org/10.4319/lo.1992.37.6.1307" TargetMode="External" /><Relationship Type="http://schemas.openxmlformats.org/officeDocument/2006/relationships/hyperlink" Id="rId73" Target="https://doi.org/10.4319/lo.2010.55.3.1047" TargetMode="External" /><Relationship Type="http://schemas.openxmlformats.org/officeDocument/2006/relationships/hyperlink" Id="rId85" Target="https://doi.org/10.4319/lom.2014.12.351" TargetMode="External" /><Relationship Type="http://schemas.openxmlformats.org/officeDocument/2006/relationships/hyperlink" Id="rId31" Target="https://fawda123.github.io/EBASE/" TargetMode="External" /><Relationship Type="http://schemas.openxmlformats.org/officeDocument/2006/relationships/hyperlink" Id="rId81"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2016GL068727" TargetMode="External" /><Relationship Type="http://schemas.openxmlformats.org/officeDocument/2006/relationships/hyperlink" Id="rId69" Target="https://doi.org/10.1002/lom3.10011" TargetMode="External" /><Relationship Type="http://schemas.openxmlformats.org/officeDocument/2006/relationships/hyperlink" Id="rId64" Target="https://doi.org/10.1002/lom3.10062" TargetMode="External" /><Relationship Type="http://schemas.openxmlformats.org/officeDocument/2006/relationships/hyperlink" Id="rId77" Target="https://doi.org/10.1007/s12237-017-0328-9" TargetMode="External" /><Relationship Type="http://schemas.openxmlformats.org/officeDocument/2006/relationships/hyperlink" Id="rId75" Target="https://doi.org/10.1016/0198-0149(81)90122-9" TargetMode="External" /><Relationship Type="http://schemas.openxmlformats.org/officeDocument/2006/relationships/hyperlink" Id="rId83" Target="https://doi.org/10.1672/07-190.1" TargetMode="External" /><Relationship Type="http://schemas.openxmlformats.org/officeDocument/2006/relationships/hyperlink" Id="rId67" Target="https://doi.org/10.4319/lo.1992.37.6.1307" TargetMode="External" /><Relationship Type="http://schemas.openxmlformats.org/officeDocument/2006/relationships/hyperlink" Id="rId73" Target="https://doi.org/10.4319/lo.2010.55.3.1047" TargetMode="External" /><Relationship Type="http://schemas.openxmlformats.org/officeDocument/2006/relationships/hyperlink" Id="rId85" Target="https://doi.org/10.4319/lom.2014.12.351" TargetMode="External" /><Relationship Type="http://schemas.openxmlformats.org/officeDocument/2006/relationships/hyperlink" Id="rId31" Target="https://fawda123.github.io/EBASE/" TargetMode="External" /><Relationship Type="http://schemas.openxmlformats.org/officeDocument/2006/relationships/hyperlink" Id="rId81"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2023-02-26T17:51:10Z</dcterms:created>
  <dcterms:modified xsi:type="dcterms:W3CDTF">2023-02-26T17:51:10Z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