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 [</w:t>
      </w:r>
      <w:r>
        <w:t xml:space="preserve"> </w:t>
      </w:r>
      <w:r>
        <w:t xml:space="preserve">Ciavatta et al. (2008)</w:t>
      </w:r>
      <w:r>
        <w:t xml:space="preserve">;</w:t>
      </w:r>
      <w:r>
        <w:t xml:space="preserve"> </w:t>
      </w:r>
      <w:r>
        <w:t xml:space="preserve">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m</m:t>
        </m:r>
        <m:r>
          <m:t>u</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 withs sufficient flexibility to search a larger parameter space can produce metabolic estimates most similar to actual values.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results. Median NSE values across all models, parameters, and each optimization period for the different subsets of the prior combinations are shown. For example, the left-most bars in top left panel with the x-axis value for the</w:t>
      </w:r>
      <w:r>
        <w:t xml:space="preserve"> </w:t>
      </w:r>
      <m:oMath>
        <m:r>
          <m:t>a</m:t>
        </m:r>
      </m:oMath>
      <w:r>
        <w:t xml:space="preserve"> </w:t>
      </w:r>
      <w:r>
        <w:t xml:space="preserve">parameter shows the median NSE values for all models using a 1-day optimization period where the</w:t>
      </w:r>
      <w:r>
        <w:t xml:space="preserve"> </w:t>
      </w:r>
      <m:oMath>
        <m:r>
          <m:t>μ</m:t>
        </m:r>
      </m:oMath>
      <w:r>
        <w:t xml:space="preserve"> </w:t>
      </w:r>
      <w:r>
        <w:t xml:space="preserve">value for the</w:t>
      </w:r>
      <w:r>
        <w:t xml:space="preserve"> </w:t>
      </w:r>
      <m:oMath>
        <m:r>
          <m:t>a</m:t>
        </m:r>
      </m:oMath>
      <w:r>
        <w:t xml:space="preserve"> </w:t>
      </w:r>
      <w:r>
        <w:t xml:space="preserve">prior distribution was low or high. The lines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Dissolved oxygen was generally modeled with high skill for all priors and it was excluded to not skew the assessment. The patterns suggest that EBASE results are more sensitive to model optimization period as shown by higher median NSE values with longer optimization times (note the different y-axis scales, also confirmed in</w:t>
      </w:r>
      <w:r>
        <w:t xml:space="preserve"> </w:t>
      </w:r>
      <w:hyperlink w:anchor="fig-priorplot">
        <w:r>
          <w:rPr>
            <w:rStyle w:val="Hyperlink"/>
          </w:rPr>
          <w:t xml:space="preserve">Figure 1</w:t>
        </w:r>
      </w:hyperlink>
      <w:r>
        <w:t xml:space="preserve">). Similarly, median values were much more variable for the 1 day optimization period, as shown by a mix of both positive and negative values in the interquartile ranges. Lower median NSE values were observed for higher values for</w:t>
      </w:r>
      <w:r>
        <w:t xml:space="preserve"> </w:t>
      </w:r>
      <m:oMath>
        <m:r>
          <m:t>μ</m:t>
        </m:r>
      </m:oMath>
      <w:r>
        <w:t xml:space="preserve">, where higher median values for were observed for higher values of</w:t>
      </w:r>
      <w:r>
        <w:t xml:space="preserve"> </w:t>
      </w:r>
      <m:oMath>
        <m:r>
          <m:t>σ</m:t>
        </m:r>
      </m:oMath>
      <w:r>
        <w:t xml:space="preserve">, regardless of optimization period.</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6</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orimarily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8600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5497394" cy="4123046"/>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5497394" cy="41230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Nash-Sutcliffe Efficiency (NSE) values across all the comparisons of EBASE and the five synthetic model outputs separated by different combinations of prior values (note the different y-axis scales). Each result on the x-axis represents the median values for which the combination prior applies. For example, the bars in the upper left panel that are farthest to the left summarize the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1 day optimization period. Bars are the medians and lines the interquartile ranges of NSE values for each result (</w:t>
            </w:r>
            <m:oMath>
              <m:r>
                <m:t>n</m:t>
              </m:r>
            </m:oMath>
            <w:r>
              <w:t xml:space="preserve"> </w:t>
            </w:r>
            <w:r>
              <w:t xml:space="preserve">= 8 for each bar) .</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28320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residual and tidal noise is shown in (a) and the estimated residual and tidal noise added to the synthetic time series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943600" cy="4669971"/>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3206813" cy="6413627"/>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a85d715-178d-45b0-a7a1-93b579c01b11"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a85d715-178d-45b0-a7a1-93b579c01b11"/>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Sc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−2</m:t>
                  </m:r>
                </m:sup>
              </m:sSup>
              <m:r>
                <m:rPr>
                  <m:nor/>
                </m:rPr>
                <m:t> </m:t>
              </m:r>
              <m:sSup>
                <m:e>
                  <m:r>
                    <m:rPr>
                      <m:nor/>
                    </m:rPr>
                    <m:t>d</m:t>
                  </m:r>
                </m:e>
                <m:sup>
                  <m:r>
                    <m:t>−1</m:t>
                  </m:r>
                </m:sup>
              </m:sSup>
              <m:r>
                <m:t>)</m:t>
              </m:r>
              <m:r>
                <m:rPr>
                  <m:sty m:val="p"/>
                </m:rPr>
                <m:t>/</m:t>
              </m:r>
              <m:r>
                <m:t>(</m:t>
              </m:r>
              <m:r>
                <m:rPr>
                  <m:nor/>
                </m:rPr>
                <m:t>W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Sensitivity of gas transfer to wind speed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2c6b7b63-a208-47c4-b787-95efcb60129c"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c6b7b63-a208-47c4-b787-95efcb60129c"/>
      <w:r>
        <w:rPr>
          <w:rFonts/>
          <w:b w:val="true"/>
        </w:rPr>
        <w:t xml:space="preserve">: </w:t>
      </w:r>
      <w:r>
        <w:t xml:space="preserve">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20"/>
        <w:gridCol w:w="3120"/>
        <w:gridCol w:w="31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RMSD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 / 0.71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76.17 / 14.9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 /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98.76 / 27.29</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 / 0.52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42.28 / 17.98</w:t>
            </w:r>
          </w:p>
        </w:tc>
      </w:tr>
    </w:tbl>
    <w:p>
      <w:r>
        <w:br w:type="page"/>
      </w:r>
    </w:p>
    <w:bookmarkEnd w:id="73"/>
    <w:bookmarkStart w:id="159" w:name="references"/>
    <w:p>
      <w:pPr>
        <w:pStyle w:val="Heading2"/>
      </w:pPr>
      <w:r>
        <w:t xml:space="preserve">References</w:t>
      </w:r>
    </w:p>
    <w:bookmarkStart w:id="158"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frew1997"/>
    <w:p>
      <w:pPr>
        <w:pStyle w:val="Bibliography"/>
      </w:pPr>
      <w:r>
        <w:t xml:space="preserve">Frew, N. M. 1997.</w:t>
      </w:r>
      <w:r>
        <w:t xml:space="preserve"> </w:t>
      </w:r>
      <w:hyperlink r:id="rId96">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7"/>
    <w:bookmarkStart w:id="99"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8">
        <w:r>
          <w:rPr>
            <w:rStyle w:val="Hyperlink"/>
          </w:rPr>
          <w:t xml:space="preserve">10.4319/lo.1992.37.6.1307</w:t>
        </w:r>
      </w:hyperlink>
    </w:p>
    <w:bookmarkEnd w:id="99"/>
    <w:bookmarkStart w:id="101"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0">
        <w:r>
          <w:rPr>
            <w:rStyle w:val="Hyperlink"/>
          </w:rPr>
          <w:t xml:space="preserve">10.3354/meps301023</w:t>
        </w:r>
      </w:hyperlink>
    </w:p>
    <w:bookmarkEnd w:id="101"/>
    <w:bookmarkStart w:id="103"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2">
        <w:r>
          <w:rPr>
            <w:rStyle w:val="Hyperlink"/>
          </w:rPr>
          <w:t xml:space="preserve">10.1002/lom3.10011</w:t>
        </w:r>
      </w:hyperlink>
    </w:p>
    <w:bookmarkEnd w:id="103"/>
    <w:bookmarkStart w:id="104" w:name="ref-Hilborn13"/>
    <w:p>
      <w:pPr>
        <w:pStyle w:val="Bibliography"/>
      </w:pPr>
      <w:r>
        <w:t xml:space="preserve">Hilborn, R., and M. Mangel. 2013. The ecological detective: Confronting models with data, Princeton University Press.</w:t>
      </w:r>
    </w:p>
    <w:bookmarkEnd w:id="104"/>
    <w:bookmarkStart w:id="10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5">
        <w:r>
          <w:rPr>
            <w:rStyle w:val="Hyperlink"/>
          </w:rPr>
          <w:t xml:space="preserve">10.1002/2016GL068727</w:t>
        </w:r>
      </w:hyperlink>
    </w:p>
    <w:bookmarkEnd w:id="106"/>
    <w:bookmarkStart w:id="108"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7">
        <w:r>
          <w:rPr>
            <w:rStyle w:val="Hyperlink"/>
          </w:rPr>
          <w:t xml:space="preserve">10.4319/lo.2013.58.6.2089</w:t>
        </w:r>
      </w:hyperlink>
    </w:p>
    <w:bookmarkEnd w:id="108"/>
    <w:bookmarkStart w:id="110"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9">
        <w:r>
          <w:rPr>
            <w:rStyle w:val="Hyperlink"/>
          </w:rPr>
          <w:t xml:space="preserve">10.4319/lo.2010.55.3.1047</w:t>
        </w:r>
      </w:hyperlink>
    </w:p>
    <w:bookmarkEnd w:id="110"/>
    <w:bookmarkStart w:id="112" w:name="ref-hopkinson2005"/>
    <w:p>
      <w:pPr>
        <w:pStyle w:val="Bibliography"/>
      </w:pPr>
      <w:r>
        <w:t xml:space="preserve">Hopkinson, C. S., and E. M. Smith. 2005.</w:t>
      </w:r>
      <w:r>
        <w:t xml:space="preserve"> </w:t>
      </w:r>
      <w:hyperlink r:id="rId111">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2"/>
    <w:bookmarkStart w:id="114"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3">
        <w:r>
          <w:rPr>
            <w:rStyle w:val="Hyperlink"/>
          </w:rPr>
          <w:t xml:space="preserve">10.1016/j.marchem.2005.03.008</w:t>
        </w:r>
      </w:hyperlink>
    </w:p>
    <w:bookmarkEnd w:id="114"/>
    <w:bookmarkStart w:id="116"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5">
        <w:r>
          <w:rPr>
            <w:rStyle w:val="Hyperlink"/>
          </w:rPr>
          <w:t xml:space="preserve">10.1016/j.agrformet.2003.10.001</w:t>
        </w:r>
      </w:hyperlink>
    </w:p>
    <w:bookmarkEnd w:id="116"/>
    <w:bookmarkStart w:id="118"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7">
        <w:r>
          <w:rPr>
            <w:rStyle w:val="Hyperlink"/>
          </w:rPr>
          <w:t xml:space="preserve">10.1016/s0302-3524(80)80065-x</w:t>
        </w:r>
      </w:hyperlink>
    </w:p>
    <w:bookmarkEnd w:id="118"/>
    <w:bookmarkStart w:id="120" w:name="ref-kemp2011"/>
    <w:p>
      <w:pPr>
        <w:pStyle w:val="Bibliography"/>
      </w:pPr>
      <w:r>
        <w:t xml:space="preserve">Kemp, W. M., and J. M. Testa. 2011.</w:t>
      </w:r>
      <w:r>
        <w:t xml:space="preserve"> </w:t>
      </w:r>
      <w:hyperlink r:id="rId119">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0"/>
    <w:bookmarkStart w:id="122"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1">
        <w:r>
          <w:rPr>
            <w:rStyle w:val="Hyperlink"/>
          </w:rPr>
          <w:t xml:space="preserve">10.1175/1520-0477(1997)078&lt;0197:eagmeb&gt;2.0.co;2</w:t>
        </w:r>
      </w:hyperlink>
    </w:p>
    <w:bookmarkEnd w:id="122"/>
    <w:bookmarkStart w:id="124"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3">
        <w:r>
          <w:rPr>
            <w:rStyle w:val="Hyperlink"/>
          </w:rPr>
          <w:t xml:space="preserve">10.1016/0198-0149(81)90122-9</w:t>
        </w:r>
      </w:hyperlink>
    </w:p>
    <w:bookmarkEnd w:id="124"/>
    <w:bookmarkStart w:id="126"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5">
        <w:r>
          <w:rPr>
            <w:rStyle w:val="Hyperlink"/>
          </w:rPr>
          <w:t xml:space="preserve">10.13031/2013.23153</w:t>
        </w:r>
      </w:hyperlink>
    </w:p>
    <w:bookmarkEnd w:id="126"/>
    <w:bookmarkStart w:id="12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7">
        <w:r>
          <w:rPr>
            <w:rStyle w:val="Hyperlink"/>
          </w:rPr>
          <w:t xml:space="preserve">10.1007/s12237-017-0328-9</w:t>
        </w:r>
      </w:hyperlink>
    </w:p>
    <w:bookmarkEnd w:id="128"/>
    <w:bookmarkStart w:id="130"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9">
        <w:r>
          <w:rPr>
            <w:rStyle w:val="Hyperlink"/>
          </w:rPr>
          <w:t xml:space="preserve">10.1139/f01-082</w:t>
        </w:r>
      </w:hyperlink>
    </w:p>
    <w:bookmarkEnd w:id="130"/>
    <w:bookmarkStart w:id="131"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1"/>
    <w:bookmarkStart w:id="133"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2">
        <w:r>
          <w:rPr>
            <w:rStyle w:val="Hyperlink"/>
          </w:rPr>
          <w:t xml:space="preserve">10.1002/2017gb005790</w:t>
        </w:r>
      </w:hyperlink>
    </w:p>
    <w:bookmarkEnd w:id="133"/>
    <w:bookmarkStart w:id="135"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4">
        <w:r>
          <w:rPr>
            <w:rStyle w:val="Hyperlink"/>
          </w:rPr>
          <w:t xml:space="preserve">10.1016/0022-1694(70)90255-6</w:t>
        </w:r>
      </w:hyperlink>
    </w:p>
    <w:bookmarkEnd w:id="135"/>
    <w:bookmarkStart w:id="137"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6">
        <w:r>
          <w:rPr>
            <w:rStyle w:val="Hyperlink"/>
          </w:rPr>
          <w:t xml:space="preserve">10.1007/s12237-013-9765-2</w:t>
        </w:r>
      </w:hyperlink>
    </w:p>
    <w:bookmarkEnd w:id="137"/>
    <w:bookmarkStart w:id="138"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8"/>
    <w:bookmarkStart w:id="139"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9"/>
    <w:bookmarkStart w:id="141" w:name="ref-RCT23"/>
    <w:p>
      <w:pPr>
        <w:pStyle w:val="Bibliography"/>
      </w:pPr>
      <w:r>
        <w:t xml:space="preserve">R Core Team. 2023.</w:t>
      </w:r>
      <w:r>
        <w:t xml:space="preserve"> </w:t>
      </w:r>
      <w:hyperlink r:id="rId140">
        <w:r>
          <w:rPr>
            <w:rStyle w:val="Hyperlink"/>
          </w:rPr>
          <w:t xml:space="preserve">R: A language and environment for statistical computing</w:t>
        </w:r>
      </w:hyperlink>
      <w:r>
        <w:t xml:space="preserve">, R Foundation for Statistical Computing.</w:t>
      </w:r>
    </w:p>
    <w:bookmarkEnd w:id="141"/>
    <w:bookmarkStart w:id="143"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2">
        <w:r>
          <w:rPr>
            <w:rStyle w:val="Hyperlink"/>
          </w:rPr>
          <w:t xml:space="preserve">10.1007/bf02782974</w:t>
        </w:r>
      </w:hyperlink>
    </w:p>
    <w:bookmarkEnd w:id="143"/>
    <w:bookmarkStart w:id="145" w:name="ref-schubel1984"/>
    <w:p>
      <w:pPr>
        <w:pStyle w:val="Bibliography"/>
      </w:pPr>
      <w:r>
        <w:t xml:space="preserve">Schubel, J. R., and V. S. Kennedy. 1984.</w:t>
      </w:r>
      <w:r>
        <w:t xml:space="preserve"> </w:t>
      </w:r>
      <w:hyperlink r:id="rId144">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5"/>
    <w:bookmarkStart w:id="14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6">
        <w:r>
          <w:rPr>
            <w:rStyle w:val="Hyperlink"/>
          </w:rPr>
          <w:t xml:space="preserve">10.1007/s00027-011-0199-2</w:t>
        </w:r>
      </w:hyperlink>
    </w:p>
    <w:bookmarkEnd w:id="147"/>
    <w:bookmarkStart w:id="14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48">
        <w:r>
          <w:rPr>
            <w:rStyle w:val="Hyperlink"/>
          </w:rPr>
          <w:t xml:space="preserve">10.1007/s12237-019-00526-0</w:t>
        </w:r>
      </w:hyperlink>
    </w:p>
    <w:bookmarkEnd w:id="149"/>
    <w:bookmarkStart w:id="15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0">
        <w:r>
          <w:rPr>
            <w:rStyle w:val="Hyperlink"/>
          </w:rPr>
          <w:t xml:space="preserve">10.1672/07-190.1</w:t>
        </w:r>
      </w:hyperlink>
    </w:p>
    <w:bookmarkEnd w:id="151"/>
    <w:bookmarkStart w:id="15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2">
        <w:r>
          <w:rPr>
            <w:rStyle w:val="Hyperlink"/>
          </w:rPr>
          <w:t xml:space="preserve">10.4319/lom.2014.12.351</w:t>
        </w:r>
      </w:hyperlink>
    </w:p>
    <w:bookmarkEnd w:id="153"/>
    <w:bookmarkStart w:id="15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4">
        <w:r>
          <w:rPr>
            <w:rStyle w:val="Hyperlink"/>
          </w:rPr>
          <w:t xml:space="preserve">10.1080/iw-6.4.883</w:t>
        </w:r>
      </w:hyperlink>
    </w:p>
    <w:bookmarkEnd w:id="155"/>
    <w:bookmarkStart w:id="15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6">
        <w:r>
          <w:rPr>
            <w:rStyle w:val="Hyperlink"/>
          </w:rPr>
          <w:t xml:space="preserve">10.1038/nature11205</w:t>
        </w:r>
      </w:hyperlink>
    </w:p>
    <w:bookmarkEnd w:id="157"/>
    <w:bookmarkEnd w:id="158"/>
    <w:bookmarkEnd w:id="159"/>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2023-09-01T15:04:35Z</dcterms:created>
  <dcterms:modified xsi:type="dcterms:W3CDTF">2023-09-01T15:04:35Z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