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70.png" ContentType="image/png"/>
  <Override PartName="/word/media/rId150.png" ContentType="image/png"/>
  <Override PartName="/word/media/rId158.png" ContentType="image/png"/>
  <Override PartName="/word/media/rId154.png" ContentType="image/png"/>
  <Override PartName="/word/media/rId142.png" ContentType="image/png"/>
  <Override PartName="/word/media/rId146.png" ContentType="image/png"/>
  <Override PartName="/word/media/rId162.png" ContentType="image/png"/>
  <Override PartName="/word/media/rId1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sSub>
            <m:e>
              <m:r>
                <m:t>k</m:t>
              </m:r>
            </m:e>
            <m:sub>
              <m:r>
                <m:t>w</m:t>
              </m:r>
            </m:sub>
          </m:sSub>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consistent with the known decrease of</w:t>
      </w:r>
      <w:r>
        <w:t xml:space="preserve"> </w:t>
      </w:r>
      <m:oMath>
        <m:sSub>
          <m:e>
            <m:r>
              <m:t>k</m:t>
            </m:r>
          </m:e>
          <m:sub>
            <m:r>
              <m:t>w</m:t>
            </m:r>
          </m:sub>
        </m:sSub>
      </m:oMath>
      <w:r>
        <w:t xml:space="preserve"> </w:t>
      </w:r>
      <w:r>
        <w:t xml:space="preserve">with the Schmidt number. However, open-water systems like estuaries are more susceptible to wind-based influences on gas exchange, particularly for</w:t>
      </w:r>
      <w:r>
        <w:t xml:space="preserve"> </w:t>
      </w:r>
      <m:oMath>
        <m:sSub>
          <m:e>
            <m:r>
              <m:t>k</m:t>
            </m:r>
          </m:e>
          <m:sub>
            <m:r>
              <m:t>w</m:t>
            </m:r>
          </m:sub>
        </m:sSub>
      </m:oMath>
      <w:r>
        <w:t xml:space="preserve"> </w:t>
      </w:r>
      <w:r>
        <w:t xml:space="preserve">(Wanninkhof 2014; Van Dam et al. 2019)</w:t>
      </w:r>
      <w:r>
        <w:t xml:space="preserve">. Based on this difference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(specific materials for this manuscript can be found at</w:t>
      </w:r>
      <w:r>
        <w:t xml:space="preserve"> </w:t>
      </w:r>
      <w:hyperlink r:id="rId27">
        <w:r>
          <w:rPr>
            <w:rStyle w:val="Hyperlink"/>
          </w:rPr>
          <w:t xml:space="preserve">https://github.com/fawda123/ebase-manu</w:t>
        </w:r>
      </w:hyperlink>
      <w:r>
        <w:t xml:space="preserv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40" w:name="references"/>
    <w:p>
      <w:pPr>
        <w:pStyle w:val="Heading2"/>
      </w:pPr>
      <w:r>
        <w:t xml:space="preserve">References</w:t>
      </w:r>
    </w:p>
    <w:bookmarkStart w:id="139"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6"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5">
        <w:r>
          <w:rPr>
            <w:rStyle w:val="Hyperlink"/>
          </w:rPr>
          <w:t xml:space="preserve">10.1002/2017jg004140</w:t>
        </w:r>
      </w:hyperlink>
    </w:p>
    <w:bookmarkEnd w:id="46"/>
    <w:bookmarkStart w:id="47" w:name="ref-Beck23a"/>
    <w:p>
      <w:pPr>
        <w:pStyle w:val="Bibliography"/>
      </w:pPr>
      <w:r>
        <w:t xml:space="preserve">Beck, M. W. 2023. WtRegDO: Implement weighted regression on dissolved oxygen time series,.</w:t>
      </w:r>
    </w:p>
    <w:bookmarkEnd w:id="47"/>
    <w:bookmarkStart w:id="4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8">
        <w:r>
          <w:rPr>
            <w:rStyle w:val="Hyperlink"/>
          </w:rPr>
          <w:t xml:space="preserve">10.1002/lom3.10062</w:t>
        </w:r>
      </w:hyperlink>
    </w:p>
    <w:bookmarkEnd w:id="49"/>
    <w:bookmarkStart w:id="50"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50"/>
    <w:bookmarkStart w:id="52"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1">
        <w:r>
          <w:rPr>
            <w:rStyle w:val="Hyperlink"/>
          </w:rPr>
          <w:t xml:space="preserve">10.1146/annurev-marine-042121-012329</w:t>
        </w:r>
      </w:hyperlink>
    </w:p>
    <w:bookmarkEnd w:id="52"/>
    <w:bookmarkStart w:id="54" w:name="ref-Borges11"/>
    <w:p>
      <w:pPr>
        <w:pStyle w:val="Bibliography"/>
      </w:pPr>
      <w:r>
        <w:t xml:space="preserve">Borges, A. V., and G. Abril. 2011.</w:t>
      </w:r>
      <w:r>
        <w:t xml:space="preserve"> </w:t>
      </w:r>
      <w:hyperlink r:id="rId53">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4"/>
    <w:bookmarkStart w:id="56"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5">
        <w:r>
          <w:rPr>
            <w:rStyle w:val="Hyperlink"/>
          </w:rPr>
          <w:t xml:space="preserve">10.1016/s0304-3800(01)00328-3</w:t>
        </w:r>
      </w:hyperlink>
    </w:p>
    <w:bookmarkEnd w:id="56"/>
    <w:bookmarkStart w:id="58"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7">
        <w:r>
          <w:rPr>
            <w:rStyle w:val="Hyperlink"/>
          </w:rPr>
          <w:t xml:space="preserve">10.1038/s41598-017-05031-7</w:t>
        </w:r>
      </w:hyperlink>
    </w:p>
    <w:bookmarkEnd w:id="58"/>
    <w:bookmarkStart w:id="60" w:name="ref-caffrey2003"/>
    <w:p>
      <w:pPr>
        <w:pStyle w:val="Bibliography"/>
      </w:pPr>
      <w:r>
        <w:t xml:space="preserve">Caffrey, J. M. 2003.</w:t>
      </w:r>
      <w:r>
        <w:t xml:space="preserve"> </w:t>
      </w:r>
      <w:hyperlink r:id="rId59">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0"/>
    <w:bookmarkStart w:id="62"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1">
        <w:r>
          <w:rPr>
            <w:rStyle w:val="Hyperlink"/>
          </w:rPr>
          <w:t xml:space="preserve">10.1007/bf02803563</w:t>
        </w:r>
      </w:hyperlink>
    </w:p>
    <w:bookmarkEnd w:id="62"/>
    <w:bookmarkStart w:id="64"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3">
        <w:r>
          <w:rPr>
            <w:rStyle w:val="Hyperlink"/>
          </w:rPr>
          <w:t xml:space="preserve">10.1146/annurev-marine-120709-142723</w:t>
        </w:r>
      </w:hyperlink>
    </w:p>
    <w:bookmarkEnd w:id="64"/>
    <w:bookmarkStart w:id="6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5">
        <w:r>
          <w:rPr>
            <w:rStyle w:val="Hyperlink"/>
          </w:rPr>
          <w:t xml:space="preserve">10.5194/bg-11-2477-2014</w:t>
        </w:r>
      </w:hyperlink>
    </w:p>
    <w:bookmarkEnd w:id="66"/>
    <w:bookmarkStart w:id="6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7">
        <w:r>
          <w:rPr>
            <w:rStyle w:val="Hyperlink"/>
          </w:rPr>
          <w:t xml:space="preserve">10.1029/2007jc004663</w:t>
        </w:r>
      </w:hyperlink>
    </w:p>
    <w:bookmarkEnd w:id="68"/>
    <w:bookmarkStart w:id="70" w:name="ref-frew1997"/>
    <w:p>
      <w:pPr>
        <w:pStyle w:val="Bibliography"/>
      </w:pPr>
      <w:r>
        <w:t xml:space="preserve">Frew, N. M. 1997.</w:t>
      </w:r>
      <w:r>
        <w:t xml:space="preserve"> </w:t>
      </w:r>
      <w:hyperlink r:id="rId69">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3">
        <w:r>
          <w:rPr>
            <w:rStyle w:val="Hyperlink"/>
          </w:rPr>
          <w:t xml:space="preserve">10.3354/meps301023</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7" w:name="ref-Hilborn13"/>
    <w:p>
      <w:pPr>
        <w:pStyle w:val="Bibliography"/>
      </w:pPr>
      <w:r>
        <w:t xml:space="preserve">Hilborn, R., and M. Mangel. 2013. The ecological detective: Confronting models with data, Princeton University Press.</w:t>
      </w:r>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0">
        <w:r>
          <w:rPr>
            <w:rStyle w:val="Hyperlink"/>
          </w:rPr>
          <w:t xml:space="preserve">10.4319/lo.2013.58.6.2089</w:t>
        </w:r>
      </w:hyperlink>
    </w:p>
    <w:bookmarkEnd w:id="81"/>
    <w:bookmarkStart w:id="8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2">
        <w:r>
          <w:rPr>
            <w:rStyle w:val="Hyperlink"/>
          </w:rPr>
          <w:t xml:space="preserve">10.4319/lo.2010.55.3.1047</w:t>
        </w:r>
      </w:hyperlink>
    </w:p>
    <w:bookmarkEnd w:id="83"/>
    <w:bookmarkStart w:id="85" w:name="ref-hopkinson2005"/>
    <w:p>
      <w:pPr>
        <w:pStyle w:val="Bibliography"/>
      </w:pPr>
      <w:r>
        <w:t xml:space="preserve">Hopkinson, C. S., and E. M. Smith. 2005.</w:t>
      </w:r>
      <w:r>
        <w:t xml:space="preserve"> </w:t>
      </w:r>
      <w:hyperlink r:id="rId8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5"/>
    <w:bookmarkStart w:id="8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6">
        <w:r>
          <w:rPr>
            <w:rStyle w:val="Hyperlink"/>
          </w:rPr>
          <w:t xml:space="preserve">10.1016/j.marchem.2005.03.008</w:t>
        </w:r>
      </w:hyperlink>
    </w:p>
    <w:bookmarkEnd w:id="87"/>
    <w:bookmarkStart w:id="8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8">
        <w:r>
          <w:rPr>
            <w:rStyle w:val="Hyperlink"/>
          </w:rPr>
          <w:t xml:space="preserve">10.1016/j.agrformet.2003.10.001</w:t>
        </w:r>
      </w:hyperlink>
    </w:p>
    <w:bookmarkEnd w:id="89"/>
    <w:bookmarkStart w:id="9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0">
        <w:r>
          <w:rPr>
            <w:rStyle w:val="Hyperlink"/>
          </w:rPr>
          <w:t xml:space="preserve">10.1016/s0302-3524(80)80065-x</w:t>
        </w:r>
      </w:hyperlink>
    </w:p>
    <w:bookmarkEnd w:id="91"/>
    <w:bookmarkStart w:id="93" w:name="ref-kemp2011"/>
    <w:p>
      <w:pPr>
        <w:pStyle w:val="Bibliography"/>
      </w:pPr>
      <w:r>
        <w:t xml:space="preserve">Kemp, W. M., and J. M. Testa. 2011.</w:t>
      </w:r>
      <w:r>
        <w:t xml:space="preserve"> </w:t>
      </w:r>
      <w:hyperlink r:id="rId9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3"/>
    <w:bookmarkStart w:id="9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4">
        <w:r>
          <w:rPr>
            <w:rStyle w:val="Hyperlink"/>
          </w:rPr>
          <w:t xml:space="preserve">10.1175/1520-0477(1997)078&lt;0197:eagmeb&gt;2.0.co;2</w:t>
        </w:r>
      </w:hyperlink>
    </w:p>
    <w:bookmarkEnd w:id="95"/>
    <w:bookmarkStart w:id="97"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6">
        <w:r>
          <w:rPr>
            <w:rStyle w:val="Hyperlink"/>
          </w:rPr>
          <w:t xml:space="preserve">10.1016/j.marchem.2006.02.007</w:t>
        </w:r>
      </w:hyperlink>
    </w:p>
    <w:bookmarkEnd w:id="97"/>
    <w:bookmarkStart w:id="9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8">
        <w:r>
          <w:rPr>
            <w:rStyle w:val="Hyperlink"/>
          </w:rPr>
          <w:t xml:space="preserve">10.13031/2013.23153</w:t>
        </w:r>
      </w:hyperlink>
    </w:p>
    <w:bookmarkEnd w:id="99"/>
    <w:bookmarkStart w:id="10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0">
        <w:r>
          <w:rPr>
            <w:rStyle w:val="Hyperlink"/>
          </w:rPr>
          <w:t xml:space="preserve">10.1007/s12237-017-0328-9</w:t>
        </w:r>
      </w:hyperlink>
    </w:p>
    <w:bookmarkEnd w:id="101"/>
    <w:bookmarkStart w:id="10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2">
        <w:r>
          <w:rPr>
            <w:rStyle w:val="Hyperlink"/>
          </w:rPr>
          <w:t xml:space="preserve">10.1139/f01-082</w:t>
        </w:r>
      </w:hyperlink>
    </w:p>
    <w:bookmarkEnd w:id="103"/>
    <w:bookmarkStart w:id="10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4"/>
    <w:bookmarkStart w:id="106"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5">
        <w:r>
          <w:rPr>
            <w:rStyle w:val="Hyperlink"/>
          </w:rPr>
          <w:t xml:space="preserve">10.1002/2017gb005790</w:t>
        </w:r>
      </w:hyperlink>
    </w:p>
    <w:bookmarkEnd w:id="106"/>
    <w:bookmarkStart w:id="10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7">
        <w:r>
          <w:rPr>
            <w:rStyle w:val="Hyperlink"/>
          </w:rPr>
          <w:t xml:space="preserve">10.1016/0022-1694(70)90255-6</w:t>
        </w:r>
      </w:hyperlink>
    </w:p>
    <w:bookmarkEnd w:id="108"/>
    <w:bookmarkStart w:id="11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9">
        <w:r>
          <w:rPr>
            <w:rStyle w:val="Hyperlink"/>
          </w:rPr>
          <w:t xml:space="preserve">10.1007/s12237-013-9765-2</w:t>
        </w:r>
      </w:hyperlink>
    </w:p>
    <w:bookmarkEnd w:id="110"/>
    <w:bookmarkStart w:id="112"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1">
        <w:r>
          <w:rPr>
            <w:rStyle w:val="Hyperlink"/>
          </w:rPr>
          <w:t xml:space="preserve">http://www.nerrsdata.org</w:t>
        </w:r>
      </w:hyperlink>
      <w:r>
        <w:t xml:space="preserve">; accessed july 2023.</w:t>
      </w:r>
    </w:p>
    <w:bookmarkEnd w:id="112"/>
    <w:bookmarkStart w:id="11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3"/>
    <w:bookmarkStart w:id="11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4"/>
    <w:bookmarkStart w:id="116" w:name="ref-RCT23"/>
    <w:p>
      <w:pPr>
        <w:pStyle w:val="Bibliography"/>
      </w:pPr>
      <w:r>
        <w:t xml:space="preserve">R Core Team. 2023.</w:t>
      </w:r>
      <w:r>
        <w:t xml:space="preserve"> </w:t>
      </w:r>
      <w:hyperlink r:id="rId115">
        <w:r>
          <w:rPr>
            <w:rStyle w:val="Hyperlink"/>
          </w:rPr>
          <w:t xml:space="preserve">R: A language and environment for statistical computing</w:t>
        </w:r>
      </w:hyperlink>
      <w:r>
        <w:t xml:space="preserve">, R Foundation for Statistical Computing.</w:t>
      </w:r>
    </w:p>
    <w:bookmarkEnd w:id="116"/>
    <w:bookmarkStart w:id="11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7">
        <w:r>
          <w:rPr>
            <w:rStyle w:val="Hyperlink"/>
          </w:rPr>
          <w:t xml:space="preserve">10.1899/12-058.1</w:t>
        </w:r>
      </w:hyperlink>
    </w:p>
    <w:bookmarkEnd w:id="118"/>
    <w:bookmarkStart w:id="12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9">
        <w:r>
          <w:rPr>
            <w:rStyle w:val="Hyperlink"/>
          </w:rPr>
          <w:t xml:space="preserve">10.1007/bf02782974</w:t>
        </w:r>
      </w:hyperlink>
    </w:p>
    <w:bookmarkEnd w:id="120"/>
    <w:bookmarkStart w:id="122" w:name="ref-sarmiento2013"/>
    <w:p>
      <w:pPr>
        <w:pStyle w:val="Bibliography"/>
      </w:pPr>
      <w:r>
        <w:t xml:space="preserve">Sarmiento, J. L., and N. Gruber. 2013.</w:t>
      </w:r>
      <w:r>
        <w:t xml:space="preserve"> </w:t>
      </w:r>
      <w:hyperlink r:id="rId121">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2"/>
    <w:bookmarkStart w:id="124" w:name="ref-schubel1984"/>
    <w:p>
      <w:pPr>
        <w:pStyle w:val="Bibliography"/>
      </w:pPr>
      <w:r>
        <w:t xml:space="preserve">Schubel, J. R., and V. S. Kennedy. 1984.</w:t>
      </w:r>
      <w:r>
        <w:t xml:space="preserve"> </w:t>
      </w:r>
      <w:hyperlink r:id="rId123">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4"/>
    <w:bookmarkStart w:id="12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5">
        <w:r>
          <w:rPr>
            <w:rStyle w:val="Hyperlink"/>
          </w:rPr>
          <w:t xml:space="preserve">10.1007/s00027-011-0199-2</w:t>
        </w:r>
      </w:hyperlink>
    </w:p>
    <w:bookmarkEnd w:id="126"/>
    <w:bookmarkStart w:id="12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7">
        <w:r>
          <w:rPr>
            <w:rStyle w:val="Hyperlink"/>
          </w:rPr>
          <w:t xml:space="preserve">10.1007/s12237-019-00526-0</w:t>
        </w:r>
      </w:hyperlink>
    </w:p>
    <w:bookmarkEnd w:id="128"/>
    <w:bookmarkStart w:id="13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9">
        <w:r>
          <w:rPr>
            <w:rStyle w:val="Hyperlink"/>
          </w:rPr>
          <w:t xml:space="preserve">10.1672/07-190.1</w:t>
        </w:r>
      </w:hyperlink>
    </w:p>
    <w:bookmarkEnd w:id="130"/>
    <w:bookmarkStart w:id="132" w:name="ref-vandam2019"/>
    <w:p>
      <w:pPr>
        <w:pStyle w:val="Bibliography"/>
      </w:pPr>
      <w:r>
        <w:t xml:space="preserve">Van Dam, B. R., J. B. Edson, and C. Tobias. 2019. Parameterizing Air-Water Gas Exchange in the Shallow, Microtidal</w:t>
      </w:r>
      <w:r>
        <w:t xml:space="preserve"> </w:t>
      </w:r>
      <w:r>
        <w:t xml:space="preserve">N</w:t>
      </w:r>
      <w:r>
        <w:t xml:space="preserve">ew</w:t>
      </w:r>
      <w:r>
        <w:t xml:space="preserve"> </w:t>
      </w:r>
      <w:r>
        <w:t xml:space="preserve">R</w:t>
      </w:r>
      <w:r>
        <w:t xml:space="preserve">iver</w:t>
      </w:r>
      <w:r>
        <w:t xml:space="preserve"> </w:t>
      </w:r>
      <w:r>
        <w:t xml:space="preserve">E</w:t>
      </w:r>
      <w:r>
        <w:t xml:space="preserve">stuary. Journal of Geophysical Research: Biogeosciences</w:t>
      </w:r>
      <w:r>
        <w:t xml:space="preserve"> </w:t>
      </w:r>
      <w:r>
        <w:rPr>
          <w:bCs/>
          <w:b/>
        </w:rPr>
        <w:t xml:space="preserve">124</w:t>
      </w:r>
      <w:r>
        <w:t xml:space="preserve">: 2351–2363. doi:</w:t>
      </w:r>
      <w:hyperlink r:id="rId131">
        <w:r>
          <w:rPr>
            <w:rStyle w:val="Hyperlink"/>
          </w:rPr>
          <w:t xml:space="preserve">10.1029/2018jg004908</w:t>
        </w:r>
      </w:hyperlink>
    </w:p>
    <w:bookmarkEnd w:id="132"/>
    <w:bookmarkStart w:id="13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3">
        <w:r>
          <w:rPr>
            <w:rStyle w:val="Hyperlink"/>
          </w:rPr>
          <w:t xml:space="preserve">10.4319/lom.2014.12.351</w:t>
        </w:r>
      </w:hyperlink>
    </w:p>
    <w:bookmarkEnd w:id="134"/>
    <w:bookmarkStart w:id="136"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5">
        <w:r>
          <w:rPr>
            <w:rStyle w:val="Hyperlink"/>
          </w:rPr>
          <w:t xml:space="preserve">10.1080/iw-6.4.883</w:t>
        </w:r>
      </w:hyperlink>
    </w:p>
    <w:bookmarkEnd w:id="136"/>
    <w:bookmarkStart w:id="138"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7">
        <w:r>
          <w:rPr>
            <w:rStyle w:val="Hyperlink"/>
          </w:rPr>
          <w:t xml:space="preserve">10.1038/nature11205</w:t>
        </w:r>
      </w:hyperlink>
    </w:p>
    <w:bookmarkEnd w:id="138"/>
    <w:bookmarkEnd w:id="139"/>
    <w:bookmarkEnd w:id="140"/>
    <w:bookmarkStart w:id="141"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1"/>
    <w:bookmarkStart w:id="174"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5" w:name="fig-priorplot"/>
          <w:p>
            <w:pPr>
              <w:pStyle w:val="Compact"/>
              <w:jc w:val="center"/>
            </w:pPr>
            <w:r>
              <w:drawing>
                <wp:inline>
                  <wp:extent cx="5943600" cy="2286000"/>
                  <wp:effectExtent b="0" l="0" r="0" t="0"/>
                  <wp:docPr descr="" title="" id="143" name="Picture"/>
                  <a:graphic>
                    <a:graphicData uri="http://schemas.openxmlformats.org/drawingml/2006/picture">
                      <pic:pic>
                        <pic:nvPicPr>
                          <pic:cNvPr descr="figs/priorplot.png" id="144" name="Picture"/>
                          <pic:cNvPicPr>
                            <a:picLocks noChangeArrowheads="1" noChangeAspect="1"/>
                          </pic:cNvPicPr>
                        </pic:nvPicPr>
                        <pic:blipFill>
                          <a:blip r:embed="rId142"/>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synapa"/>
          <w:p>
            <w:pPr>
              <w:pStyle w:val="Compact"/>
              <w:jc w:val="center"/>
            </w:pPr>
            <w:r>
              <w:drawing>
                <wp:inline>
                  <wp:extent cx="5943600" cy="5943600"/>
                  <wp:effectExtent b="0" l="0" r="0" t="0"/>
                  <wp:docPr descr="" title="" id="147" name="Picture"/>
                  <a:graphic>
                    <a:graphicData uri="http://schemas.openxmlformats.org/drawingml/2006/picture">
                      <pic:pic>
                        <pic:nvPicPr>
                          <pic:cNvPr descr="figs/synapa.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defplo"/>
          <w:p>
            <w:pPr>
              <w:pStyle w:val="Compact"/>
              <w:jc w:val="center"/>
            </w:pPr>
            <w:r>
              <w:drawing>
                <wp:inline>
                  <wp:extent cx="5943600" cy="5943600"/>
                  <wp:effectExtent b="0" l="0" r="0" t="0"/>
                  <wp:docPr descr="" title="" id="151" name="Picture"/>
                  <a:graphic>
                    <a:graphicData uri="http://schemas.openxmlformats.org/drawingml/2006/picture">
                      <pic:pic>
                        <pic:nvPicPr>
                          <pic:cNvPr descr="figs/defplo.png" id="152" name="Picture"/>
                          <pic:cNvPicPr>
                            <a:picLocks noChangeArrowheads="1" noChangeAspect="1"/>
                          </pic:cNvPicPr>
                        </pic:nvPicPr>
                        <pic:blipFill>
                          <a:blip r:embed="rId1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priorcomp"/>
          <w:p>
            <w:pPr>
              <w:pStyle w:val="Compact"/>
              <w:jc w:val="center"/>
            </w:pPr>
            <w:r>
              <w:drawing>
                <wp:inline>
                  <wp:extent cx="5497394" cy="3664929"/>
                  <wp:effectExtent b="0" l="0" r="0" t="0"/>
                  <wp:docPr descr="" title="" id="155" name="Picture"/>
                  <a:graphic>
                    <a:graphicData uri="http://schemas.openxmlformats.org/drawingml/2006/picture">
                      <pic:pic>
                        <pic:nvPicPr>
                          <pic:cNvPr descr="figs/priorcomp.png" id="156" name="Picture"/>
                          <pic:cNvPicPr>
                            <a:picLocks noChangeArrowheads="1" noChangeAspect="1"/>
                          </pic:cNvPicPr>
                        </pic:nvPicPr>
                        <pic:blipFill>
                          <a:blip r:embed="rId154"/>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optex"/>
          <w:p>
            <w:pPr>
              <w:pStyle w:val="Compact"/>
              <w:jc w:val="center"/>
            </w:pPr>
            <w:r>
              <w:drawing>
                <wp:inline>
                  <wp:extent cx="5943600" cy="5283200"/>
                  <wp:effectExtent b="0" l="0" r="0" t="0"/>
                  <wp:docPr descr="" title="" id="159" name="Picture"/>
                  <a:graphic>
                    <a:graphicData uri="http://schemas.openxmlformats.org/drawingml/2006/picture">
                      <pic:pic>
                        <pic:nvPicPr>
                          <pic:cNvPr descr="figs/optex.png" id="160" name="Picture"/>
                          <pic:cNvPicPr>
                            <a:picLocks noChangeArrowheads="1" noChangeAspect="1"/>
                          </pic:cNvPicPr>
                        </pic:nvPicPr>
                        <pic:blipFill>
                          <a:blip r:embed="rId158"/>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synapanos"/>
          <w:p>
            <w:pPr>
              <w:pStyle w:val="Compact"/>
              <w:jc w:val="center"/>
            </w:pPr>
            <w:r>
              <w:drawing>
                <wp:inline>
                  <wp:extent cx="5943600" cy="4457700"/>
                  <wp:effectExtent b="0" l="0" r="0" t="0"/>
                  <wp:docPr descr="" title="" id="163" name="Picture"/>
                  <a:graphic>
                    <a:graphicData uri="http://schemas.openxmlformats.org/drawingml/2006/picture">
                      <pic:pic>
                        <pic:nvPicPr>
                          <pic:cNvPr descr="figs/synapanos.png" id="164" name="Picture"/>
                          <pic:cNvPicPr>
                            <a:picLocks noChangeArrowheads="1" noChangeAspect="1"/>
                          </pic:cNvPicPr>
                        </pic:nvPicPr>
                        <pic:blipFill>
                          <a:blip r:embed="rId162"/>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9" w:name="fig-synapanoscmp"/>
          <w:p>
            <w:pPr>
              <w:pStyle w:val="Compact"/>
              <w:jc w:val="center"/>
            </w:pPr>
            <w:r>
              <w:drawing>
                <wp:inline>
                  <wp:extent cx="5943600" cy="4669971"/>
                  <wp:effectExtent b="0" l="0" r="0" t="0"/>
                  <wp:docPr descr="" title="" id="167" name="Picture"/>
                  <a:graphic>
                    <a:graphicData uri="http://schemas.openxmlformats.org/drawingml/2006/picture">
                      <pic:pic>
                        <pic:nvPicPr>
                          <pic:cNvPr descr="figs/synapanoscmp.png" id="168" name="Picture"/>
                          <pic:cNvPicPr>
                            <a:picLocks noChangeArrowheads="1" noChangeAspect="1"/>
                          </pic:cNvPicPr>
                        </pic:nvPicPr>
                        <pic:blipFill>
                          <a:blip r:embed="rId166"/>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3" w:name="fig-apacmpfig"/>
          <w:p>
            <w:pPr>
              <w:pStyle w:val="Compact"/>
              <w:jc w:val="center"/>
            </w:pPr>
            <w:r>
              <w:drawing>
                <wp:inline>
                  <wp:extent cx="3206813" cy="6413627"/>
                  <wp:effectExtent b="0" l="0" r="0" t="0"/>
                  <wp:docPr descr="" title="" id="171" name="Picture"/>
                  <a:graphic>
                    <a:graphicData uri="http://schemas.openxmlformats.org/drawingml/2006/picture">
                      <pic:pic>
                        <pic:nvPicPr>
                          <pic:cNvPr descr="figs/apacmpfig.png" id="172" name="Picture"/>
                          <pic:cNvPicPr>
                            <a:picLocks noChangeArrowheads="1" noChangeAspect="1"/>
                          </pic:cNvPicPr>
                        </pic:nvPicPr>
                        <pic:blipFill>
                          <a:blip r:embed="rId170"/>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3"/>
        </w:tc>
      </w:tr>
    </w:tbl>
    <w:p>
      <w:r>
        <w:br w:type="page"/>
      </w:r>
    </w:p>
    <w:bookmarkEnd w:id="174"/>
    <w:bookmarkStart w:id="177"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5"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6"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6"/>
          <w:p/>
        </w:tc>
      </w:tr>
    </w:tbl>
    <w:bookmarkEnd w:id="177"/>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45" Target="https://doi.org/10.1002/2017jg004140" TargetMode="External" /><Relationship Type="http://schemas.openxmlformats.org/officeDocument/2006/relationships/hyperlink" Id="rId75" Target="https://doi.org/10.1002/lom3.10011" TargetMode="External" /><Relationship Type="http://schemas.openxmlformats.org/officeDocument/2006/relationships/hyperlink" Id="rId48" Target="https://doi.org/10.1002/lom3.10062" TargetMode="External" /><Relationship Type="http://schemas.openxmlformats.org/officeDocument/2006/relationships/hyperlink" Id="rId59"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61"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3"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5"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7"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51" Target="https://doi.org/10.1146/annurev-marine-042121-012329" TargetMode="External" /><Relationship Type="http://schemas.openxmlformats.org/officeDocument/2006/relationships/hyperlink" Id="rId63"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5" Target="https://doi.org/10.1002/2017gb005790" TargetMode="External" /><Relationship Type="http://schemas.openxmlformats.org/officeDocument/2006/relationships/hyperlink" Id="rId45" Target="https://doi.org/10.1002/2017jg004140" TargetMode="External" /><Relationship Type="http://schemas.openxmlformats.org/officeDocument/2006/relationships/hyperlink" Id="rId75" Target="https://doi.org/10.1002/lom3.10011" TargetMode="External" /><Relationship Type="http://schemas.openxmlformats.org/officeDocument/2006/relationships/hyperlink" Id="rId48" Target="https://doi.org/10.1002/lom3.10062" TargetMode="External" /><Relationship Type="http://schemas.openxmlformats.org/officeDocument/2006/relationships/hyperlink" Id="rId59"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9" Target="https://doi.org/10.1007/bf02782974" TargetMode="External" /><Relationship Type="http://schemas.openxmlformats.org/officeDocument/2006/relationships/hyperlink" Id="rId61" Target="https://doi.org/10.1007/bf02803563" TargetMode="External" /><Relationship Type="http://schemas.openxmlformats.org/officeDocument/2006/relationships/hyperlink" Id="rId125" Target="https://doi.org/10.1007/s00027-011-0199-2" TargetMode="External" /><Relationship Type="http://schemas.openxmlformats.org/officeDocument/2006/relationships/hyperlink" Id="rId109" Target="https://doi.org/10.1007/s12237-013-9765-2" TargetMode="External" /><Relationship Type="http://schemas.openxmlformats.org/officeDocument/2006/relationships/hyperlink" Id="rId100" Target="https://doi.org/10.1007/s12237-017-0328-9" TargetMode="External" /><Relationship Type="http://schemas.openxmlformats.org/officeDocument/2006/relationships/hyperlink" Id="rId127" Target="https://doi.org/10.1007/s12237-019-00526-0" TargetMode="External" /><Relationship Type="http://schemas.openxmlformats.org/officeDocument/2006/relationships/hyperlink" Id="rId107" Target="https://doi.org/10.1016/0022-1694(70)90255-6" TargetMode="External" /><Relationship Type="http://schemas.openxmlformats.org/officeDocument/2006/relationships/hyperlink" Id="rId53"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3"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86" Target="https://doi.org/10.1016/j.marchem.2005.03.008" TargetMode="External" /><Relationship Type="http://schemas.openxmlformats.org/officeDocument/2006/relationships/hyperlink" Id="rId96" Target="https://doi.org/10.1016/j.marchem.2006.02.007" TargetMode="External" /><Relationship Type="http://schemas.openxmlformats.org/officeDocument/2006/relationships/hyperlink" Id="rId90" Target="https://doi.org/10.1016/s0302-3524(80)80065-x" TargetMode="External" /><Relationship Type="http://schemas.openxmlformats.org/officeDocument/2006/relationships/hyperlink" Id="rId55"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1" Target="https://doi.org/10.1029/2018jg004908" TargetMode="External" /><Relationship Type="http://schemas.openxmlformats.org/officeDocument/2006/relationships/hyperlink" Id="rId137" Target="https://doi.org/10.1038/nature11205" TargetMode="External" /><Relationship Type="http://schemas.openxmlformats.org/officeDocument/2006/relationships/hyperlink" Id="rId57" Target="https://doi.org/10.1038/s41598-017-05031-7" TargetMode="External" /><Relationship Type="http://schemas.openxmlformats.org/officeDocument/2006/relationships/hyperlink" Id="rId135"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2" Target="https://doi.org/10.1139/f01-082" TargetMode="External" /><Relationship Type="http://schemas.openxmlformats.org/officeDocument/2006/relationships/hyperlink" Id="rId51" Target="https://doi.org/10.1146/annurev-marine-042121-012329" TargetMode="External" /><Relationship Type="http://schemas.openxmlformats.org/officeDocument/2006/relationships/hyperlink" Id="rId63"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8" Target="https://doi.org/10.13031/2013.23153" TargetMode="External" /><Relationship Type="http://schemas.openxmlformats.org/officeDocument/2006/relationships/hyperlink" Id="rId129" Target="https://doi.org/10.1672/07-190.1" TargetMode="External" /><Relationship Type="http://schemas.openxmlformats.org/officeDocument/2006/relationships/hyperlink" Id="rId117" Target="https://doi.org/10.1899/12-058.1" TargetMode="External" /><Relationship Type="http://schemas.openxmlformats.org/officeDocument/2006/relationships/hyperlink" Id="rId121"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33"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6" Target="https://github.com/dgiling/BASEmetab" TargetMode="External" /><Relationship Type="http://schemas.openxmlformats.org/officeDocument/2006/relationships/hyperlink" Id="rId27" Target="https://github.com/fawda123/ebase-manu" TargetMode="External" /><Relationship Type="http://schemas.openxmlformats.org/officeDocument/2006/relationships/hyperlink" Id="rId11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2024-03-07T20:04:44Z</dcterms:created>
  <dcterms:modified xsi:type="dcterms:W3CDTF">2024-03-07T20:04:44Z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