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1FAB" w14:textId="77777777" w:rsidR="00853DDB" w:rsidRDefault="00000000">
      <w:pPr>
        <w:pStyle w:val="Title"/>
      </w:pPr>
      <w:r>
        <w:t xml:space="preserve">Fitting metabolic models to dissolved oxygen data: The Estuarine </w:t>
      </w:r>
      <w:proofErr w:type="spellStart"/>
      <w:r>
        <w:t>BAyesian</w:t>
      </w:r>
      <w:proofErr w:type="spellEnd"/>
      <w:r>
        <w:t xml:space="preserve"> Single-station Estimation method (EBASE)</w:t>
      </w:r>
    </w:p>
    <w:p w14:paraId="4D82A7E8" w14:textId="77777777" w:rsidR="00853DDB" w:rsidRDefault="00000000">
      <w:pPr>
        <w:pStyle w:val="Author"/>
      </w:pPr>
      <w:r>
        <w:t>Marcus W Beck</w:t>
      </w:r>
      <w:r>
        <w:rPr>
          <w:vertAlign w:val="superscript"/>
        </w:rPr>
        <w:t>1,✉</w:t>
      </w:r>
      <w:r>
        <w:t>, Jill M Arriola</w:t>
      </w:r>
      <w:r>
        <w:rPr>
          <w:vertAlign w:val="superscript"/>
        </w:rPr>
        <w:t>2</w:t>
      </w:r>
      <w:r>
        <w:t>, Maria Herrmann</w:t>
      </w:r>
      <w:r>
        <w:rPr>
          <w:vertAlign w:val="superscript"/>
        </w:rPr>
        <w:t>2</w:t>
      </w:r>
      <w:r>
        <w:t>, and Raymond G Najjar</w:t>
      </w:r>
      <w:r>
        <w:rPr>
          <w:vertAlign w:val="superscript"/>
        </w:rPr>
        <w:t>2</w:t>
      </w:r>
    </w:p>
    <w:p w14:paraId="28703F62" w14:textId="77777777" w:rsidR="00853DDB"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753C4CBE" w14:textId="77777777" w:rsidR="00853DDB" w:rsidRDefault="00000000">
      <w:pPr>
        <w:pStyle w:val="BodyText"/>
      </w:pPr>
      <w:r>
        <w:rPr>
          <w:vertAlign w:val="superscript"/>
        </w:rPr>
        <w:t>✉</w:t>
      </w:r>
      <w:r>
        <w:t xml:space="preserve"> Correspondence: </w:t>
      </w:r>
      <w:hyperlink r:id="rId7">
        <w:r>
          <w:rPr>
            <w:rStyle w:val="Hyperlink"/>
          </w:rPr>
          <w:t>Marcus W Beck &lt;mbeck@tbep.org&gt;</w:t>
        </w:r>
      </w:hyperlink>
    </w:p>
    <w:p w14:paraId="2559136E" w14:textId="77777777" w:rsidR="00853DDB" w:rsidRDefault="00000000">
      <w:pPr>
        <w:pStyle w:val="BodyText"/>
      </w:pPr>
      <w:r>
        <w:rPr>
          <w:i/>
          <w:iCs/>
        </w:rPr>
        <w:t>Running head</w:t>
      </w:r>
      <w:r>
        <w:t>: EBASE metabolic model</w:t>
      </w:r>
    </w:p>
    <w:p w14:paraId="654B26EB" w14:textId="77777777" w:rsidR="00853DDB" w:rsidRDefault="00000000">
      <w:pPr>
        <w:pStyle w:val="BodyText"/>
      </w:pPr>
      <w:r>
        <w:rPr>
          <w:i/>
          <w:iCs/>
        </w:rPr>
        <w:t>Key words</w:t>
      </w:r>
      <w:r>
        <w:t xml:space="preserve">: Bayesian, dissolved oxygen, ecosystem metabolism, estuary, gas exchange, </w:t>
      </w:r>
      <w:proofErr w:type="gramStart"/>
      <w:r>
        <w:t>open-source</w:t>
      </w:r>
      <w:proofErr w:type="gramEnd"/>
    </w:p>
    <w:p w14:paraId="0F20FBE9" w14:textId="77777777" w:rsidR="00853DDB" w:rsidRDefault="00000000">
      <w:pPr>
        <w:pStyle w:val="Heading2"/>
      </w:pPr>
      <w:bookmarkStart w:id="0" w:name="abstract"/>
      <w:r>
        <w:t>Abstract</w:t>
      </w:r>
    </w:p>
    <w:p w14:paraId="7F6CDAC1" w14:textId="77777777" w:rsidR="00853DDB"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estimates that are physically impossible and poorly constrained errors. Here we present a new approach for estimating estuarine metabolism: EBASE (Estuarine </w:t>
      </w:r>
      <w:proofErr w:type="spellStart"/>
      <w:r>
        <w:t>BAyesian</w:t>
      </w:r>
      <w:proofErr w:type="spellEnd"/>
      <w:r>
        <w:t xml:space="preserve"> Single-station Estimation). EBASE applies a Bayesian framework to a simple process-based model and DO observations, allowing the estimation of critical model parameters, specifically light </w:t>
      </w:r>
      <w:proofErr w:type="gramStart"/>
      <w:r>
        <w:t>efficiency</w:t>
      </w:r>
      <w:proofErr w:type="gramEnd"/>
      <w:r>
        <w:t xml:space="preserve">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w:t>
      </w:r>
      <w:r>
        <w:lastRenderedPageBreak/>
        <w:t xml:space="preserve">prior distributions are uninformed. Optimization periods of 7 days and 30 days are </w:t>
      </w:r>
      <w:proofErr w:type="gramStart"/>
      <w:r>
        <w:t>more preferable</w:t>
      </w:r>
      <w:proofErr w:type="gramEnd"/>
      <w:r>
        <w:t xml:space="preserve"> than 1 day. A comparison with the more-conventional method of Odum reveals the ability of EBASE to avoid unphysical results (such as negative photosynthesis and respiration) and improves when the DO data are </w:t>
      </w:r>
      <w:proofErr w:type="spellStart"/>
      <w:proofErr w:type="gramStart"/>
      <w:r>
        <w:t>detided</w:t>
      </w:r>
      <w:proofErr w:type="spellEnd"/>
      <w:proofErr w:type="gramEnd"/>
      <w:r>
        <w:t>. EBASE is available using open-source software (R)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E111866" w14:textId="77777777" w:rsidR="00853DDB" w:rsidRDefault="00000000">
      <w:pPr>
        <w:pStyle w:val="Heading2"/>
      </w:pPr>
      <w:bookmarkStart w:id="1" w:name="introduction"/>
      <w:bookmarkEnd w:id="0"/>
      <w:r>
        <w:t>Introduction</w:t>
      </w:r>
    </w:p>
    <w:p w14:paraId="40E1C551" w14:textId="77777777" w:rsidR="00853DDB" w:rsidRDefault="00000000">
      <w:pPr>
        <w:pStyle w:val="FirstParagraph"/>
      </w:pPr>
      <w:r>
        <w:t>Estuaries play a key role in the global cycling of elements because of high rates of biogeochemical activity at the interface between land, river, ocean, and atmosphere. As materials are transported from land to rivers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w:t>
      </w:r>
      <w:proofErr w:type="spellStart"/>
      <w:r>
        <w:t>e.g</w:t>
      </w:r>
      <w:proofErr w:type="spellEnd"/>
      <w:r>
        <w:t xml:space="preserve">, Cai 2011). Similarly, estuarine primary production consumes dissolved inorganic carbon delivered from land, forming particulate organic carbon with multiple fates, e.g., buried in estuarine sediments, incorporated into biota, transferred to the ocean, etc. (Hu et al. 2006; Middelburg and Herman 2007).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w:t>
      </w:r>
      <w:r>
        <w:lastRenderedPageBreak/>
        <w:t>the difference between the two, net ecosystem metabolism (NEM, sometimes also referred to as net ecosystem production), which ultimately governs the form and quantity of estuarine materials that are lost to the atmosphere (i.e., outgassing), the sediments (i.e., burial), and the ocean (i.e., advection).</w:t>
      </w:r>
    </w:p>
    <w:p w14:paraId="305B7A1C" w14:textId="77777777" w:rsidR="00853DDB" w:rsidRDefault="00000000">
      <w:pPr>
        <w:pStyle w:val="BodyText"/>
      </w:pPr>
      <w:r>
        <w:t>Methods for estimating metabolism in aquatic environments are numerous and include open-water techniques, bottle-based incubations, ecosystem budgets, oxygen isotopes, use of inert gases, and aquatic eddy covariance (Kemp and Testa 2011; Staehr et al. 2011; Berg et al. 2022).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w:t>
      </w:r>
      <w:proofErr w:type="spellStart"/>
      <w:r>
        <w:t>Gazeau</w:t>
      </w:r>
      <w:proofErr w:type="spellEnd"/>
      <w:r>
        <w:t xml:space="preserve">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w:t>
      </w:r>
      <w:proofErr w:type="spellStart"/>
      <w:r>
        <w:t>Cloern</w:t>
      </w:r>
      <w:proofErr w:type="spellEnd"/>
      <w:r>
        <w:t xml:space="preserve"> et al. (2014) found that annual phytoplankton primary production can vary 10-fold within an estuary and up to 5-fold from year to year. Hopkinson and Smith (2005) focused on cross-system variations and found benthic and pelagic respiration rates varying by more than factors of </w:t>
      </w:r>
      <w:r>
        <w:lastRenderedPageBreak/>
        <w:t>30 and 40, respectively, ranges that are broadly consistent with whole-system respiration rates based on the open-water method (Hoellein et al. 2013).</w:t>
      </w:r>
    </w:p>
    <w:p w14:paraId="40685B2A" w14:textId="77777777" w:rsidR="00853DDB" w:rsidRDefault="00000000">
      <w:pPr>
        <w:pStyle w:val="BodyText"/>
      </w:pPr>
      <w:r>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w:t>
      </w:r>
      <w:proofErr w:type="gramStart"/>
      <w:r>
        <w:t>are</w:t>
      </w:r>
      <w:proofErr w:type="gramEnd"/>
      <w:r>
        <w:t xml:space="preserve"> available, although it is not without limitations. In particular, tidal advection can violate an assumption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for both P and R, on average, and as high as 69% for individual sites. Note that R is often expressed as a negative value indicating consumption of dissolved oxygen. Here and throughout, we express correct values of R as positive values given the metabolic model described below.</w:t>
      </w:r>
    </w:p>
    <w:p w14:paraId="7E7E2FAC" w14:textId="77777777" w:rsidR="00853DDB" w:rsidRDefault="00000000">
      <w:pPr>
        <w:pStyle w:val="BodyText"/>
      </w:pPr>
      <w:r>
        <w:t xml:space="preserve">Another limitation of the open-water method is the estimation of the air–water oxygen flux, which is an important term in the oxygen budget. Most approaches estimate this flux using an </w:t>
      </w:r>
      <w:r>
        <w:lastRenderedPageBreak/>
        <w:t>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49F7DC62" w14:textId="77777777" w:rsidR="00853DDB" w:rsidRDefault="00000000">
      <w:pPr>
        <w:pStyle w:val="BodyText"/>
      </w:pPr>
      <w:r>
        <w:t xml:space="preserve">A unified model to explain the large variability of metabolic rates within and across estuaries is clearly lacking as a critical tool for understanding metabolic processes. Bayesian statistical techniques have only been explored in limited estuarine applications despite their potential to address the above (e.g., Tassone and </w:t>
      </w:r>
      <w:proofErr w:type="spellStart"/>
      <w:r>
        <w:t>Bukaveckas</w:t>
      </w:r>
      <w:proofErr w:type="spellEnd"/>
      <w:r>
        <w:t xml:space="preserve"> 2019). Bayesian models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Tassone and </w:t>
      </w:r>
      <w:proofErr w:type="spellStart"/>
      <w:r>
        <w:t>Bukaveckas</w:t>
      </w:r>
      <w:proofErr w:type="spellEnd"/>
      <w:r>
        <w:t xml:space="preserve"> (2019) adapted a Bayesian approach developed for streams (Appling et al. 2018) 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w:t>
      </w:r>
      <w:r>
        <w:lastRenderedPageBreak/>
        <w:t xml:space="preserve">environments. Another potentially useful application developed for streams is the </w:t>
      </w:r>
      <w:proofErr w:type="spellStart"/>
      <w:r>
        <w:t>BAyesian</w:t>
      </w:r>
      <w:proofErr w:type="spellEnd"/>
      <w:r>
        <w:t xml:space="preserve"> Single-station Estimation (BASE) method (Grace et al. 2015). BASE has been demonstrated to accurately determine metabolic parameters and their uncertainty using continuous monitoring data that are similar to those available at many estuarine locations. The underlying model components can also easily be updated given the relatively simple format of the approach. As such, modification of BASE to include model characterizations more appropriate for estuaries, while maintaining the fundamental Bayesian approach, could prove useful.</w:t>
      </w:r>
    </w:p>
    <w:p w14:paraId="44CE8207" w14:textId="69C450D0" w:rsidR="00853DDB" w:rsidRDefault="00000000">
      <w:pPr>
        <w:pStyle w:val="BodyText"/>
      </w:pPr>
      <w:r>
        <w:t xml:space="preserve">The goal of this paper is to describe the development and application of a new Bayesian method for simultaneously determining gross primary production and ecosystem respiration in estuaries from high-resolution dissolved oxygen time series. We call this method EBASE (Estuarine </w:t>
      </w:r>
      <w:proofErr w:type="spellStart"/>
      <w:r>
        <w:t>BAyesian</w:t>
      </w:r>
      <w:proofErr w:type="spellEnd"/>
      <w:r>
        <w:t xml:space="preserve"> Single-station Estimation), which builds and improves on the BASE method (Grace et al. 2015) using an approach more appropriate for estuarine time series. We focus on BASE given the relative simplicity and, therefore, ease of application compared to other stream-based Bayesian approaches (e.g., Appling et al. 2018).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w:t>
      </w:r>
      <w:proofErr w:type="spellStart"/>
      <w:r>
        <w:t>detided</w:t>
      </w:r>
      <w:proofErr w:type="spellEnd"/>
      <w:r>
        <w:t xml:space="preserve"> dissolved oxygen inputs to demonstrate effects of tidal advection on metabolic estimates. We also attempt to constrain (i.e., accurately estimate) the gas transfer velocity using EBASE but are unable, at least with the data sets used in this study. EBASE is available as an open-source software package created with the R statistical programming language (</w:t>
      </w:r>
      <w:hyperlink r:id="rId8">
        <w:r>
          <w:rPr>
            <w:rStyle w:val="Hyperlink"/>
          </w:rPr>
          <w:t>https://cran.r-</w:t>
        </w:r>
        <w:r>
          <w:rPr>
            <w:rStyle w:val="Hyperlink"/>
          </w:rPr>
          <w:lastRenderedPageBreak/>
          <w:t>project.org/web/packages/EBASE/index.html</w:t>
        </w:r>
      </w:hyperlink>
      <w:r>
        <w:t>, Beck et al. 202</w:t>
      </w:r>
      <w:r w:rsidR="006A1533">
        <w:t>4</w:t>
      </w:r>
      <w:r>
        <w:t>; R Core Team 2023) and the results herein provide practical suggestions for use of the software on novel datasets.</w:t>
      </w:r>
    </w:p>
    <w:p w14:paraId="415F2BFF" w14:textId="77777777" w:rsidR="00853DDB" w:rsidRDefault="00000000">
      <w:pPr>
        <w:pStyle w:val="Heading2"/>
      </w:pPr>
      <w:bookmarkStart w:id="2" w:name="materials-and-procedures"/>
      <w:bookmarkEnd w:id="1"/>
      <w:r>
        <w:t>Materials and Procedures</w:t>
      </w:r>
    </w:p>
    <w:p w14:paraId="7B27AD39" w14:textId="77777777" w:rsidR="00853DDB" w:rsidRDefault="00000000">
      <w:pPr>
        <w:pStyle w:val="FirstParagraph"/>
      </w:pPr>
      <w:r>
        <w:t xml:space="preserve">EBASE uses a mass balance equation for dissolved oxygen, assuming a well-mixed water column of depth </w:t>
      </w:r>
      <m:oMath>
        <m:r>
          <w:rPr>
            <w:rFonts w:ascii="Cambria Math" w:hAnsi="Cambria Math"/>
          </w:rPr>
          <m:t>Z</m:t>
        </m:r>
      </m:oMath>
      <w:r>
        <w:t xml:space="preserve"> and no lateral transport processes:</w:t>
      </w:r>
    </w:p>
    <w:p w14:paraId="3C2D70DF" w14:textId="22838CDE" w:rsidR="00853DDB" w:rsidRDefault="00000000">
      <w:pPr>
        <w:pStyle w:val="BodyText"/>
      </w:pPr>
      <w:bookmarkStart w:id="3" w:name="eq-ebase"/>
      <m:oMathPara>
        <m:oMathParaPr>
          <m:jc m:val="center"/>
        </m:oMathParaPr>
        <m:oMath>
          <m:r>
            <w:rPr>
              <w:rFonts w:ascii="Cambria Math" w:hAnsi="Cambria Math"/>
            </w:rPr>
            <m:t>Z</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364FFCF2" w14:textId="4180C2F6" w:rsidR="00853DDB"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Both </w:t>
      </w:r>
      <m:oMath>
        <m:r>
          <w:rPr>
            <w:rFonts w:ascii="Cambria Math" w:hAnsi="Cambria Math"/>
          </w:rPr>
          <m:t>P</m:t>
        </m:r>
      </m:oMath>
      <w:r>
        <w:t xml:space="preserve"> and </w:t>
      </w:r>
      <m:oMath>
        <m:r>
          <w:rPr>
            <w:rFonts w:ascii="Cambria Math" w:hAnsi="Cambria Math"/>
          </w:rPr>
          <m:t>R</m:t>
        </m:r>
      </m:oMath>
      <w:r>
        <w:t xml:space="preserve"> are expressed as positive values, whereas </w:t>
      </w:r>
      <m:oMath>
        <m:r>
          <w:rPr>
            <w:rFonts w:ascii="Cambria Math" w:hAnsi="Cambria Math"/>
          </w:rPr>
          <m:t>D</m:t>
        </m:r>
      </m:oMath>
      <w:r>
        <w:t xml:space="preserve"> can be positive (</w:t>
      </w:r>
      <w:proofErr w:type="spellStart"/>
      <w:r w:rsidR="00813D72">
        <w:t>ing</w:t>
      </w:r>
      <w:r>
        <w:t>assing</w:t>
      </w:r>
      <w:proofErr w:type="spellEnd"/>
      <w:r>
        <w:t>) or negative (</w:t>
      </w:r>
      <w:r w:rsidR="00813D72">
        <w:t>out</w:t>
      </w:r>
      <w:r>
        <w:t xml:space="preserve">gassing). The equation has dimensions of moles per unit area and time (e.g.,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35A792E7" w14:textId="77777777" w:rsidR="00853DDB"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78BB6A3A" w14:textId="77777777" w:rsidR="00853DDB"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t>
      </w:r>
      <w:r>
        <w:lastRenderedPageBreak/>
        <w:t xml:space="preserve">Wanninkhof 2014). The </w:t>
      </w:r>
      <m:oMath>
        <m:r>
          <w:rPr>
            <w:rFonts w:ascii="Cambria Math" w:hAnsi="Cambria Math"/>
          </w:rPr>
          <m:t>b</m:t>
        </m:r>
      </m:oMath>
      <w:r>
        <w:t xml:space="preserve"> parameter is fairly well known for open-ocean conditions primarily as an expression of the sensitivity of gas exchange to wind,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 (</w:t>
      </w:r>
      <w:hyperlink w:anchor="tbl-ebaseiotab">
        <w:r>
          <w:rPr>
            <w:rStyle w:val="Hyperlink"/>
          </w:rPr>
          <w:t>Table 1</w:t>
        </w:r>
      </w:hyperlink>
      <w:r>
        <w:t>).</w:t>
      </w:r>
    </w:p>
    <w:p w14:paraId="48E729C2" w14:textId="77777777" w:rsidR="00853DDB" w:rsidRDefault="00000000">
      <w:pPr>
        <w:pStyle w:val="Heading3"/>
      </w:pPr>
      <w:bookmarkStart w:id="5" w:name="sec-basemodif"/>
      <w:r>
        <w:t>Changes to BASE</w:t>
      </w:r>
    </w:p>
    <w:p w14:paraId="6739C686" w14:textId="77777777" w:rsidR="00853DDB"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While both assume that gas exchange is proportional to the concentration gradient across the air–water interface, the treatments of the proportionality differ. Grace et al. (2015) used the following for the volumetric gas flux (</w:t>
      </w:r>
      <m:oMath>
        <m:r>
          <w:rPr>
            <w:rFonts w:ascii="Cambria Math" w:hAnsi="Cambria Math"/>
          </w:rPr>
          <m:t>Dvol</m:t>
        </m:r>
      </m:oMath>
      <w:r>
        <w:t>) in BASE:</w:t>
      </w:r>
    </w:p>
    <w:p w14:paraId="2E81F4B9" w14:textId="5F41F9A4" w:rsidR="00853DDB" w:rsidRDefault="00000000">
      <w:pPr>
        <w:pStyle w:val="BodyText"/>
      </w:pPr>
      <w:bookmarkStart w:id="6" w:name="eq-gasexbase"/>
      <m:oMathPara>
        <m:oMathParaPr>
          <m:jc m:val="center"/>
        </m:oMathParaPr>
        <m:oMath>
          <m:r>
            <w:rPr>
              <w:rFonts w:ascii="Cambria Math" w:hAnsi="Cambria Math"/>
            </w:rPr>
            <m:t>Dvol</m:t>
          </m:r>
          <m:r>
            <m:rPr>
              <m:sty m:val="p"/>
            </m:rPr>
            <w:rPr>
              <w:rFonts w:ascii="Cambria Math" w:hAnsi="Cambria Math"/>
            </w:rPr>
            <m:t>=</m:t>
          </m:r>
          <m:d>
            <m:dPr>
              <m:begChr m:val="["/>
              <m:endChr m:val="]"/>
              <m:ctrlPr>
                <w:rPr>
                  <w:rFonts w:ascii="Cambria Math" w:hAnsi="Cambria Math"/>
                </w:rPr>
              </m:ctrlPr>
            </m:dPr>
            <m:e>
              <m:r>
                <w:rPr>
                  <w:rFonts w:ascii="Cambria Math" w:hAnsi="Cambria Math"/>
                </w:rPr>
                <m:t> 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e>
          </m:d>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4A962237" w14:textId="77777777" w:rsidR="00853DDB"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m:oMath>
        <m:r>
          <w:rPr>
            <w:rFonts w:ascii="Cambria Math" w:hAnsi="Cambria Math"/>
          </w:rPr>
          <m:t>C</m:t>
        </m:r>
      </m:oMath>
      <w:r>
        <w:t xml:space="preserve"> is the measured dissolved oxygen,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concentration. </w:t>
      </w:r>
      <m:oMath>
        <m:r>
          <w:rPr>
            <w:rFonts w:ascii="Cambria Math" w:hAnsi="Cambria Math"/>
          </w:rPr>
          <m:t>K</m:t>
        </m:r>
      </m:oMath>
      <w:r>
        <w:t xml:space="preserve"> is the reaeration coefficient, which was estimated from the data. In EBASE, gas flux per unit surface area of the air-water interface is proportional to the concentration gradient, with the proportionality taken from the well-established wind- and temperature-based parameterization for gas exchange of Wanninkhof (2014) (see </w:t>
      </w:r>
      <w:hyperlink w:anchor="eq-kw">
        <w:r>
          <w:rPr>
            <w:rStyle w:val="Hyperlink"/>
          </w:rPr>
          <w:t>Equation 2</w:t>
        </w:r>
      </w:hyperlink>
      <w:r>
        <w:t xml:space="preserve">). EBASE also allows </w:t>
      </w:r>
      <m:oMath>
        <m:r>
          <w:rPr>
            <w:rFonts w:ascii="Cambria Math" w:hAnsi="Cambria Math"/>
          </w:rPr>
          <m:t>b</m:t>
        </m:r>
      </m:oMath>
      <w:r>
        <w:t xml:space="preserve"> to be a free parameter that may reflect spatial and temporal variability in factors other than wind and temperature that may influence transfer velocity. Wanninkhof (2014) estimated a fixed </w:t>
      </w:r>
      <m:oMath>
        <m:r>
          <w:rPr>
            <w:rFonts w:ascii="Cambria Math" w:hAnsi="Cambria Math"/>
          </w:rPr>
          <m:t>b</m:t>
        </m:r>
      </m:oMath>
      <w:r>
        <w:t xml:space="preserve"> parameter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w:t>
      </w:r>
    </w:p>
    <w:p w14:paraId="7CAB7CFB" w14:textId="77777777" w:rsidR="00853DDB" w:rsidRDefault="00000000">
      <w:pPr>
        <w:pStyle w:val="BodyText"/>
      </w:pPr>
      <w:r>
        <w:lastRenderedPageBreak/>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w:t>
      </w:r>
      <w:proofErr w:type="gramStart"/>
      <w:r>
        <w:t>improve</w:t>
      </w:r>
      <w:proofErr w:type="gramEnd"/>
      <w:r>
        <w:t xml:space="preserve"> and as data become available that will allow them to be robustly constrained.</w:t>
      </w:r>
    </w:p>
    <w:p w14:paraId="59E6A3B1" w14:textId="66429F61" w:rsidR="00853DDB" w:rsidRDefault="00000000">
      <w:pPr>
        <w:pStyle w:val="BodyText"/>
      </w:pPr>
      <w:r>
        <w:t>For ease of application, an R package was developed to implement EBASE (</w:t>
      </w:r>
      <w:hyperlink r:id="rId9">
        <w:r>
          <w:rPr>
            <w:rStyle w:val="Hyperlink"/>
          </w:rPr>
          <w:t>https://cran.r-project.org/web/packages/EBASE/index.html</w:t>
        </w:r>
      </w:hyperlink>
      <w:r>
        <w:t>, Beck et al. 202</w:t>
      </w:r>
      <w:r w:rsidR="006A1533">
        <w:t>4</w:t>
      </w:r>
      <w:r>
        <w:t>; R Core Team 2023), similar to the R package available for BASE (</w:t>
      </w:r>
      <w:hyperlink r:id="rId10">
        <w:r>
          <w:rPr>
            <w:rStyle w:val="Hyperlink"/>
          </w:rPr>
          <w:t>https://github.com/dgiling/BASEmetab</w:t>
        </w:r>
      </w:hyperlink>
      <w:r>
        <w:t xml:space="preserve">). EBASE differs from BASE in model implementation in two ways. First, users can specify the model optimization period as the amount of time over which the unknown parameters are estimated from the Bayesian prior distributions (i.e.,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optimization period determines how much data </w:t>
      </w:r>
      <w:proofErr w:type="gramStart"/>
      <w:r>
        <w:t>are</w:t>
      </w:r>
      <w:proofErr w:type="gramEnd"/>
      <w:r>
        <w:t xml:space="preserve"> used to estimate each parameter. Only one estimate for each of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is returned for each optimization period as defined by the model, although </w:t>
      </w:r>
      <m:oMath>
        <m:r>
          <w:rPr>
            <w:rFonts w:ascii="Cambria Math" w:hAnsi="Cambria Math"/>
          </w:rPr>
          <m:t>P</m:t>
        </m:r>
      </m:oMath>
      <w:r>
        <w:t xml:space="preserve"> and </w:t>
      </w:r>
      <m:oMath>
        <m:r>
          <w:rPr>
            <w:rFonts w:ascii="Cambria Math" w:hAnsi="Cambria Math"/>
          </w:rPr>
          <m:t>D</m:t>
        </m:r>
      </m:oMath>
      <w:r>
        <w:t xml:space="preserve"> can vary continuously given the dependence on other inputs that can vary at each time step (e.g., </w:t>
      </w:r>
      <m:oMath>
        <m:r>
          <w:rPr>
            <w:rFonts w:ascii="Cambria Math" w:hAnsi="Cambria Math"/>
          </w:rPr>
          <m:t>PAR</m:t>
        </m:r>
      </m:oMath>
      <w:r>
        <w:t xml:space="preserve"> and wind). The optimization period can vary from a minimum of 1 day (defined as midnight to midnight the following day) to a maximum of the entire length of the time s</w:t>
      </w:r>
      <w:proofErr w:type="spellStart"/>
      <w:r>
        <w:t>eries</w:t>
      </w:r>
      <w:proofErr w:type="spellEnd"/>
      <w:r>
        <w:t xml:space="preserve">.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All gaps are linearly interpolated to allow the model estimation to proceed continuously and any results for an optimization period with gaps larger than 12 hours are removed, eliminating the need to pre- and post-process the data when using EBASE. The user </w:t>
      </w:r>
      <w:r>
        <w:lastRenderedPageBreak/>
        <w:t>can vary the criteria for removing results (e.g., 6 hours as a more conservative criteria). Again, this feature was not included in the original BASE method and a complete time series was required for use. A detailed web page (</w:t>
      </w:r>
      <w:hyperlink w:anchor="X6589fc6ab0dc82cf12099d1c2d40ab994e8410c">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 (</w:t>
      </w:r>
      <w:hyperlink r:id="rId11">
        <w:r w:rsidR="00072181">
          <w:rPr>
            <w:rStyle w:val="Hyperlink"/>
          </w:rPr>
          <w:t>v1.0.1</w:t>
        </w:r>
      </w:hyperlink>
      <w:r>
        <w:t xml:space="preserve">, specific materials for this manuscript can be found at </w:t>
      </w:r>
      <w:hyperlink r:id="rId12">
        <w:r>
          <w:rPr>
            <w:rStyle w:val="Hyperlink"/>
          </w:rPr>
          <w:t>https://github.com/fawda123/ebase-manu</w:t>
        </w:r>
      </w:hyperlink>
      <w:r>
        <w:t>).</w:t>
      </w:r>
    </w:p>
    <w:p w14:paraId="0022968B" w14:textId="77777777" w:rsidR="00853DDB" w:rsidRDefault="00000000">
      <w:pPr>
        <w:pStyle w:val="Heading3"/>
      </w:pPr>
      <w:bookmarkStart w:id="7" w:name="sec-ebasemod"/>
      <w:bookmarkEnd w:id="5"/>
      <w:r>
        <w:t>EBASE model estimation</w:t>
      </w:r>
    </w:p>
    <w:p w14:paraId="49F612C9" w14:textId="77777777" w:rsidR="00853DDB"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(default 10,000)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xml:space="preserve">, with options to supply a custom model file as needed. All parameter inputs and outputs for EBASE are shown in </w:t>
      </w:r>
      <w:hyperlink w:anchor="tbl-ebaseiotab">
        <w:r>
          <w:rPr>
            <w:rStyle w:val="Hyperlink"/>
          </w:rPr>
          <w:t>Table 1</w:t>
        </w:r>
      </w:hyperlink>
      <w:r>
        <w:t>.</w:t>
      </w:r>
    </w:p>
    <w:p w14:paraId="003B7D05" w14:textId="77777777" w:rsidR="00853DDB" w:rsidRDefault="00000000">
      <w:pPr>
        <w:pStyle w:val="BodyText"/>
      </w:pPr>
      <w:r>
        <w:t xml:space="preserve">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w:t>
      </w:r>
      <w:r>
        <w:lastRenderedPageBreak/>
        <w:t xml:space="preserve">literature (Caffrey 2004; </w:t>
      </w:r>
      <w:proofErr w:type="spellStart"/>
      <w:r>
        <w:t>Wanninkhof</w:t>
      </w:r>
      <w:proofErr w:type="spellEnd"/>
      <w:r>
        <w:t xml:space="preserve"> 2014) and standard deviations that were sufficiently large to allow the Bayesian routine to search an unconstrained parameter space.</w:t>
      </w:r>
    </w:p>
    <w:p w14:paraId="0537DC12" w14:textId="77777777" w:rsidR="00853DDB"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(~10 </w:t>
      </w:r>
      <m:oMath>
        <m:sSub>
          <m:sSubPr>
            <m:ctrlPr>
              <w:rPr>
                <w:rFonts w:ascii="Cambria Math" w:hAnsi="Cambria Math"/>
              </w:rPr>
            </m:ctrlPr>
          </m:sSubPr>
          <m:e>
            <m:r>
              <m:rPr>
                <m:nor/>
              </m:rPr>
              <m:t>g O</m:t>
            </m:r>
          </m:e>
          <m:sub>
            <m:r>
              <w:rPr>
                <w:rFonts w:ascii="Cambria Math" w:hAnsi="Cambria Math"/>
              </w:rPr>
              <m:t>2</m:t>
            </m:r>
          </m:sub>
        </m:sSub>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m:rPr>
            <m:nor/>
          </m:rPr>
          <m:t>W</m:t>
        </m:r>
        <m:r>
          <w:rPr>
            <w:rFonts w:ascii="Cambria Math" w:hAnsi="Cambria Math"/>
          </w:rPr>
          <m:t>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which is based on a global mean surface total shortwave radiation of 200 </w:t>
      </w:r>
      <m:oMath>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Wanninkhof (2014).</w:t>
      </w:r>
    </w:p>
    <w:p w14:paraId="4B025B4F" w14:textId="77777777" w:rsidR="00853DDB"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was rounded to 50% of the mean, or 150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475B376" w14:textId="77777777" w:rsidR="00853DDB"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22728DAF" w14:textId="77777777" w:rsidR="00853DDB" w:rsidRDefault="00000000">
      <w:pPr>
        <w:pStyle w:val="BodyText"/>
      </w:pPr>
      <w:bookmarkStart w:id="8" w:name="eq-aprior"/>
      <m:oMathPara>
        <m:oMathParaPr>
          <m:jc m:val="center"/>
        </m:oMathParaPr>
        <m:oMath>
          <m:r>
            <w:rPr>
              <w:rFonts w:ascii="Cambria Math" w:hAnsi="Cambria Math"/>
            </w:rPr>
            <w:lastRenderedPageBreak/>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1FB247EB" w14:textId="77777777" w:rsidR="00853DDB"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157DD7F1" w14:textId="77777777" w:rsidR="00853DDB"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17D1FCAA" w14:textId="77777777" w:rsidR="00853DDB"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6DD6BD81" w14:textId="77777777" w:rsidR="00853DDB" w:rsidRDefault="00000000">
      <w:pPr>
        <w:pStyle w:val="Heading2"/>
      </w:pPr>
      <w:bookmarkStart w:id="11" w:name="assessment"/>
      <w:bookmarkEnd w:id="2"/>
      <w:bookmarkEnd w:id="7"/>
      <w:r>
        <w:t>Assessment</w:t>
      </w:r>
    </w:p>
    <w:p w14:paraId="6230DD18" w14:textId="77777777" w:rsidR="00853DDB" w:rsidRDefault="00000000">
      <w:pPr>
        <w:pStyle w:val="Heading3"/>
      </w:pPr>
      <w:bookmarkStart w:id="12" w:name="sec-cmpmod"/>
      <w:r>
        <w:t>EBASE comparison with known results</w:t>
      </w:r>
    </w:p>
    <w:p w14:paraId="079EDCD4" w14:textId="77777777" w:rsidR="00853DDB"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and wind 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(NOAA NERRS 2023).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w:t>
      </w:r>
      <w:r>
        <w:lastRenderedPageBreak/>
        <w:t>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748A7533" w14:textId="77777777" w:rsidR="00853DDB"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estimated by (1) applying the Odum open-water method as implemented in the WtRegDO R package (Beck 2023),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7EBF0A9A" w14:textId="77A78F41" w:rsidR="00853DDB"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yet noisier than, that of light efficiency, reflecting the synoptic-scale variability of </w:t>
      </w:r>
      <m:oMath>
        <m:r>
          <w:rPr>
            <w:rFonts w:ascii="Cambria Math" w:hAnsi="Cambria Math"/>
          </w:rPr>
          <m:t>PAR</m:t>
        </m:r>
      </m:oMath>
      <w:r>
        <w:t xml:space="preserve">; (2) respiration has the expected structure of being greatest during the summer (Caffrey 2004), stimulated by greater autochthonous organic matter availability and high temperature; and (3) the air–water gas flux mimic productivity on short time scales, with </w:t>
      </w:r>
      <w:r w:rsidR="00813D72">
        <w:t>out</w:t>
      </w:r>
      <w:r>
        <w:t xml:space="preserve">gassing during high productivity and </w:t>
      </w:r>
      <w:proofErr w:type="spellStart"/>
      <w:r w:rsidR="00813D72">
        <w:t>in</w:t>
      </w:r>
      <w:r>
        <w:t>gassing</w:t>
      </w:r>
      <w:proofErr w:type="spellEnd"/>
      <w:r>
        <w:t xml:space="preserve"> during low productivity. The synthetic dissolved oxygen time series shows high variability at multiple time scales (Figure </w:t>
      </w:r>
      <w:hyperlink w:anchor="fig-synapa">
        <w:r>
          <w:rPr>
            <w:rStyle w:val="Hyperlink"/>
          </w:rPr>
          <w:t>2</w:t>
        </w:r>
      </w:hyperlink>
      <w:r>
        <w:t xml:space="preserve">c). There is a prominent diurnal cycle that is superimposed on </w:t>
      </w:r>
      <w:proofErr w:type="spellStart"/>
      <w:r>
        <w:t>subseasonal</w:t>
      </w:r>
      <w:proofErr w:type="spellEnd"/>
      <w:r>
        <w:t xml:space="preserve"> variability, presumably driven by radiation and winds.</w:t>
      </w:r>
    </w:p>
    <w:p w14:paraId="0206B780" w14:textId="77777777" w:rsidR="00853DDB" w:rsidRDefault="00000000">
      <w:pPr>
        <w:pStyle w:val="Heading4"/>
      </w:pPr>
      <w:bookmarkStart w:id="13" w:name="recovery-of-model-parameters"/>
      <w:r>
        <w:lastRenderedPageBreak/>
        <w:t>Recovery of model parameters</w:t>
      </w:r>
    </w:p>
    <w:p w14:paraId="56BA5F39" w14:textId="77777777" w:rsidR="00853DDB"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46E3F09D" w14:textId="77777777" w:rsidR="00853DDB" w:rsidRDefault="00000000">
      <w:pPr>
        <w:pStyle w:val="Heading4"/>
      </w:pPr>
      <w:bookmarkStart w:id="14" w:name="sensitivity-to-priors"/>
      <w:bookmarkEnd w:id="13"/>
      <w:r>
        <w:t>Sensitivity to priors</w:t>
      </w:r>
    </w:p>
    <w:p w14:paraId="31929EE3" w14:textId="77777777" w:rsidR="00853DDB" w:rsidRDefault="00000000">
      <w:pPr>
        <w:pStyle w:val="FirstParagraph"/>
      </w:pPr>
      <w:r>
        <w:t>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1, 7, and 30 days to assess how results varied based on the amount of data used for the Bayesian estimation. Details of these analyses are as follows.</w:t>
      </w:r>
    </w:p>
    <w:p w14:paraId="60E63ADC" w14:textId="77777777" w:rsidR="00853DDB"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w:t>
      </w:r>
      <w:r>
        <w:lastRenderedPageBreak/>
        <w:t xml:space="preserve">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t>
      </w:r>
      <w:proofErr w:type="gramStart"/>
      <w:r>
        <w:t>were</w:t>
      </w:r>
      <w:proofErr w:type="gramEnd"/>
      <w:r>
        <w:t xml:space="preserve"> not tested and the prior value was set as the fixed constant used in the synthetic time series,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7B6D064D" w14:textId="77777777" w:rsidR="00853DDB" w:rsidRDefault="00000000">
      <w:pPr>
        <w:pStyle w:val="BodyText"/>
      </w:pPr>
      <w:r>
        <w:t xml:space="preserve">The optimization period used for a time series determines how much data </w:t>
      </w:r>
      <w:proofErr w:type="gramStart"/>
      <w:r>
        <w:t>are</w:t>
      </w:r>
      <w:proofErr w:type="gramEnd"/>
      <w:r>
        <w:t xml:space="preserve"> used to estimate the metabolic parameters. A short period of optimization (e.g., 1 day) may return unstable parameter estimates if forcing factors (e.g., wind, temperature) that affect estuarine biogeochemical rates occur at time scales longer than the chosen period of optimization for EBASE. As such, potentially longer optimization periods may return more stable and robust estimates given that more data are used for parameter estimation, although at the risk of </w:t>
      </w:r>
      <w:r>
        <w:lastRenderedPageBreak/>
        <w:t>overgeneralizing metabolic rates if biogeochemical variation occurs at time scales less than the optimization period. Results from optimization periods of 1, 7, and 30 days were compared to the synthetic one-year time series (</w:t>
      </w:r>
      <m:oMath>
        <m:r>
          <w:rPr>
            <w:rFonts w:ascii="Cambria Math" w:hAnsi="Cambria Math"/>
          </w:rPr>
          <m:t>b</m:t>
        </m:r>
      </m:oMath>
      <w:r>
        <w:t xml:space="preserve"> was fixed for the sensitivity analysis) based on daily averages for both the synthetic and EBASE results. For the latter, parameters that are only returned as individual values for each optimization period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were assigned as daily values for comparability of summary statistics where </w:t>
      </w:r>
      <m:oMath>
        <m:r>
          <w:rPr>
            <w:rFonts w:ascii="Cambria Math" w:hAnsi="Cambria Math"/>
          </w:rPr>
          <m:t>n</m:t>
        </m:r>
      </m:oMath>
      <w:r>
        <w:t xml:space="preserve"> is the same across analyses. For the models with </w:t>
      </w:r>
      <w:proofErr w:type="gramStart"/>
      <w:r>
        <w:t>7 and 30 day</w:t>
      </w:r>
      <w:proofErr w:type="gramEnd"/>
      <w:r>
        <w:t xml:space="preserve">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2097A5E5" w14:textId="77777777" w:rsidR="00853DDB"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w:t>
      </w:r>
      <w:proofErr w:type="spellStart"/>
      <w:r>
        <w:t>Moriasi</w:t>
      </w:r>
      <w:proofErr w:type="spellEnd"/>
      <w:r>
        <w:t xml:space="preserve"> et al. 2007):</w:t>
      </w:r>
    </w:p>
    <w:p w14:paraId="74C407A6" w14:textId="77777777" w:rsidR="00853DDB"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1F6653C2" w14:textId="77777777" w:rsidR="00853DDB" w:rsidRDefault="0000000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w:t>
      </w:r>
      <w:r>
        <w:lastRenderedPageBreak/>
        <w:t xml:space="preserve">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w:t>
      </w:r>
      <w:proofErr w:type="gramStart"/>
      <w:r>
        <w:t>determination, but</w:t>
      </w:r>
      <w:proofErr w:type="gramEnd"/>
      <w:r>
        <w:t xml:space="preserve">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33A7F50C" w14:textId="77777777" w:rsidR="00853DDB"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t>
      </w:r>
      <w:proofErr w:type="gramStart"/>
      <w:r>
        <w:t>was</w:t>
      </w:r>
      <w:proofErr w:type="gramEnd"/>
      <w:r>
        <w:t xml:space="preserve">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(accurate </w:t>
      </w:r>
      <m:oMath>
        <m:r>
          <w:rPr>
            <w:rFonts w:ascii="Cambria Math" w:hAnsi="Cambria Math"/>
          </w:rPr>
          <m:t>DO</m:t>
        </m:r>
      </m:oMath>
      <w:r>
        <w:t xml:space="preserve">) for the wrong reasons (inaccurate </w:t>
      </w:r>
      <m:oMath>
        <m:r>
          <w:rPr>
            <w:rFonts w:ascii="Cambria Math" w:hAnsi="Cambria Math"/>
          </w:rPr>
          <m:t>P</m:t>
        </m:r>
      </m:oMath>
      <w:r>
        <w:t xml:space="preserve">, </w:t>
      </w:r>
      <m:oMath>
        <m:r>
          <w:rPr>
            <w:rFonts w:ascii="Cambria Math" w:hAnsi="Cambria Math"/>
          </w:rPr>
          <m:t>R</m:t>
        </m:r>
      </m:oMath>
      <w:r>
        <w:t xml:space="preserve">, or </w:t>
      </w:r>
      <m:oMath>
        <m:r>
          <w:rPr>
            <w:rFonts w:ascii="Cambria Math" w:hAnsi="Cambria Math"/>
          </w:rPr>
          <m:t>D</m:t>
        </m:r>
      </m:oMath>
      <w:r>
        <w:t xml:space="preserve">), since </w:t>
      </w:r>
      <m:oMath>
        <m:r>
          <w:rPr>
            <w:rFonts w:ascii="Cambria Math" w:hAnsi="Cambria Math"/>
          </w:rPr>
          <m:t>DO</m:t>
        </m:r>
      </m:oMath>
      <w:r>
        <w:t xml:space="preserve"> is simply a mass balance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w:t>
      </w:r>
      <w:hyperlink w:anchor="eq-ebase">
        <w:r>
          <w:rPr>
            <w:rStyle w:val="Hyperlink"/>
          </w:rPr>
          <w:t>Equation 1</w:t>
        </w:r>
      </w:hyperlink>
      <w:r>
        <w:t>). This issue, or equifinality, has been encountered in stream metabolic models (Appling et al. 2018).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4D709058" w14:textId="77777777" w:rsidR="00853DDB"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w:t>
      </w:r>
      <w:proofErr w:type="gramStart"/>
      <w:r>
        <w:t>1 and 7 day</w:t>
      </w:r>
      <w:proofErr w:type="gramEnd"/>
      <w:r>
        <w:t xml:space="preserve"> optimization period, whereas the top three models for the 30 day optimization appeared less dependent on the choice of priors. Median NSE values across model outputs for the top models increased with optimization period </w:t>
      </w:r>
      <w:r>
        <w:lastRenderedPageBreak/>
        <w:t xml:space="preserve">(1 day = 0.09, 7 days = 0.44, 30 days = 0.64). The NSE values for all model outputs were greater than zero for the top three models in the </w:t>
      </w:r>
      <w:proofErr w:type="gramStart"/>
      <w:r>
        <w:t>30 day</w:t>
      </w:r>
      <w:proofErr w:type="gramEnd"/>
      <w:r>
        <w:t xml:space="preserve">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w:t>
      </w:r>
      <w:proofErr w:type="gramStart"/>
      <w:r>
        <w:t>1 and 7 day</w:t>
      </w:r>
      <w:proofErr w:type="gramEnd"/>
      <w:r>
        <w:t xml:space="preserve">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725E68A4" w14:textId="77777777" w:rsidR="00853DDB"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w:t>
      </w:r>
      <w:proofErr w:type="gramStart"/>
      <w:r>
        <w:t>1 day</w:t>
      </w:r>
      <w:proofErr w:type="gramEnd"/>
      <w:r>
        <w:t xml:space="preserve"> optimization period. The worst performing models for the </w:t>
      </w:r>
      <w:proofErr w:type="gramStart"/>
      <w:r>
        <w:t>1 and 7 day</w:t>
      </w:r>
      <w:proofErr w:type="gramEnd"/>
      <w:r>
        <w:t xml:space="preserve">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w:t>
      </w:r>
      <w:r>
        <w:lastRenderedPageBreak/>
        <w:t xml:space="preserve">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results for the worst model for the </w:t>
      </w:r>
      <w:proofErr w:type="gramStart"/>
      <w:r>
        <w:t>30 day</w:t>
      </w:r>
      <w:proofErr w:type="gramEnd"/>
      <w:r>
        <w:t xml:space="preserve"> optimization period in subplot (f) are v</w:t>
      </w:r>
      <w:proofErr w:type="spellStart"/>
      <w:r>
        <w:t>isually</w:t>
      </w:r>
      <w:proofErr w:type="spellEnd"/>
      <w:r>
        <w:t xml:space="preserve"> indistinguishable from those of the best model in subplot (e), suggesting that poor estimates from inadequate priors can in part be mitigated using longer optimization periods.</w:t>
      </w:r>
    </w:p>
    <w:p w14:paraId="2AE15244" w14:textId="77777777" w:rsidR="00853DDB" w:rsidRDefault="00000000">
      <w:pPr>
        <w:pStyle w:val="Heading4"/>
      </w:pPr>
      <w:bookmarkStart w:id="16" w:name="impact-of-noise-on-parameter-recovery"/>
      <w:bookmarkEnd w:id="14"/>
      <w:r>
        <w:t>Impact of noise on parameter recovery</w:t>
      </w:r>
    </w:p>
    <w:p w14:paraId="211DC9C1" w14:textId="77777777" w:rsidR="00853DDB"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2023)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w:t>
      </w:r>
      <w:proofErr w:type="spellStart"/>
      <w:proofErr w:type="gramStart"/>
      <w:r>
        <w:t>detided</w:t>
      </w:r>
      <w:proofErr w:type="spellEnd"/>
      <w:proofErr w:type="gramEnd"/>
      <w:r>
        <w:t xml:space="preserve"> dissolved oxygen time series, where the </w:t>
      </w:r>
      <w:proofErr w:type="spellStart"/>
      <w:r>
        <w:t>detided</w:t>
      </w:r>
      <w:proofErr w:type="spellEnd"/>
      <w:r>
        <w:t xml:space="preserve"> results are simply the predictions at average tidal height (see Beck et al. 2015 for details). This method was only applied to dissolved oxygen since it has not been evaluated with any other parameters. Two separate time series of noise, representing residual (any other random process not related to metabolism or tidal advection) or tidal noise, were derived from the observed, predicted and </w:t>
      </w:r>
      <w:proofErr w:type="spellStart"/>
      <w:r>
        <w:t>detided</w:t>
      </w:r>
      <w:proofErr w:type="spellEnd"/>
      <w:r>
        <w:t xml:space="preserve"> time series. The residual noise was estimated as the difference between the observed and predicted time series and the tidal noise was estimated as the difference between the predicted and </w:t>
      </w:r>
      <w:proofErr w:type="spellStart"/>
      <w:r>
        <w:t>detided</w:t>
      </w:r>
      <w:proofErr w:type="spellEnd"/>
      <w:r>
        <w:t xml:space="preserve"> time series (Figure </w:t>
      </w:r>
      <w:hyperlink w:anchor="fig-synapanos">
        <w:r>
          <w:rPr>
            <w:rStyle w:val="Hyperlink"/>
          </w:rPr>
          <w:t>6</w:t>
        </w:r>
      </w:hyperlink>
      <w:r>
        <w:t xml:space="preserve">a). Both </w:t>
      </w:r>
      <w:r>
        <w:lastRenderedPageBreak/>
        <w:t xml:space="preserve">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w:t>
      </w:r>
      <w:proofErr w:type="gramStart"/>
      <w:r>
        <w:t>7 day</w:t>
      </w:r>
      <w:proofErr w:type="gramEnd"/>
      <w:r>
        <w:t xml:space="preserve">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similar logic used for the sensitivity analysis described above.</w:t>
      </w:r>
    </w:p>
    <w:p w14:paraId="0ED1BCCB" w14:textId="77777777" w:rsidR="00853DDB"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1F447CC2" w14:textId="77777777" w:rsidR="00853DDB" w:rsidRDefault="00000000">
      <w:pPr>
        <w:pStyle w:val="Heading3"/>
      </w:pPr>
      <w:bookmarkStart w:id="17" w:name="X2cfd02a390bdd6385ba26b1997caf190dc3e2eb"/>
      <w:bookmarkEnd w:id="12"/>
      <w:bookmarkEnd w:id="16"/>
      <w:r>
        <w:t>EBASE and Odum comparison with real observations</w:t>
      </w:r>
    </w:p>
    <w:p w14:paraId="2172DD1E" w14:textId="77777777" w:rsidR="00853DDB"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w:t>
      </w:r>
      <w:r>
        <w:lastRenderedPageBreak/>
        <w:t xml:space="preserve">parameterization in the Odum method was modified to use the </w:t>
      </w:r>
      <w:proofErr w:type="spellStart"/>
      <w:r>
        <w:t>Wanninkhof</w:t>
      </w:r>
      <w:proofErr w:type="spellEnd"/>
      <w:r>
        <w:t xml:space="preserve"> (2014) approach and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(as available in the WtRegDO R package, Beck 2023).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w:t>
      </w:r>
      <w:proofErr w:type="spellStart"/>
      <w:r>
        <w:t>ces</w:t>
      </w:r>
      <w:proofErr w:type="spellEnd"/>
      <w:r>
        <w:t xml:space="preserve"> in the results using the observed dissolved oxygen time series and a </w:t>
      </w:r>
      <w:proofErr w:type="spellStart"/>
      <w:r>
        <w:t>detided</w:t>
      </w:r>
      <w:proofErr w:type="spellEnd"/>
      <w:r>
        <w:t xml:space="preserve"> time series using weighted regression (Beck et al. 2015; Beck 2023).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w:t>
      </w:r>
      <w:proofErr w:type="gramStart"/>
      <w:r>
        <w:t>1 day</w:t>
      </w:r>
      <w:proofErr w:type="gramEnd"/>
      <w:r>
        <w:t xml:space="preserve"> model optimization period was used for EBASE for comparability with the Odum method that returns daily estimates.</w:t>
      </w:r>
    </w:p>
    <w:p w14:paraId="4E999C0B" w14:textId="77777777" w:rsidR="00853DDB"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2</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w:t>
      </w:r>
      <w:proofErr w:type="spellStart"/>
      <w:r>
        <w:t>detided</w:t>
      </w:r>
      <w:proofErr w:type="spellEnd"/>
      <w:r>
        <w:t xml:space="preserve"> dissolved </w:t>
      </w:r>
      <w:r>
        <w:lastRenderedPageBreak/>
        <w:t>oxygen time series. The observed time series clearly produced a much larger range of values for results from both the EBASE and Odum methods.</w:t>
      </w:r>
    </w:p>
    <w:p w14:paraId="76042B28" w14:textId="77777777" w:rsidR="00853DDB" w:rsidRDefault="00000000">
      <w:pPr>
        <w:pStyle w:val="BodyText"/>
      </w:pPr>
      <w:r>
        <w:t xml:space="preserve">The comparisons in </w:t>
      </w:r>
      <w:hyperlink w:anchor="fig-apacmpfig">
        <w:r>
          <w:rPr>
            <w:rStyle w:val="Hyperlink"/>
          </w:rPr>
          <w:t>Figure 8</w:t>
        </w:r>
      </w:hyperlink>
      <w:r>
        <w:t xml:space="preserve"> and </w:t>
      </w:r>
      <w:hyperlink w:anchor="tbl-apacmptab">
        <w:r>
          <w:rPr>
            <w:rStyle w:val="Hyperlink"/>
          </w:rPr>
          <w:t>Table 2</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w:t>
      </w:r>
      <w:proofErr w:type="spellStart"/>
      <w:r>
        <w:t>detided</w:t>
      </w:r>
      <w:proofErr w:type="spellEnd"/>
      <w:r>
        <w:t xml:space="preserve"> dissolved oxygen. Further, effects of tidal advection can be seen with estimates from the Odum method as negative values for P and R, i.e., “anomalous” values. The effects of tidal advection on estimates from EBASE </w:t>
      </w:r>
      <w:proofErr w:type="gramStart"/>
      <w:r>
        <w:t>were</w:t>
      </w:r>
      <w:proofErr w:type="gramEnd"/>
      <w:r>
        <w:t xml:space="preserv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xml:space="preserve">). Overall, the results suggest that </w:t>
      </w:r>
      <w:proofErr w:type="spellStart"/>
      <w:r>
        <w:t>detiding</w:t>
      </w:r>
      <w:proofErr w:type="spellEnd"/>
      <w:r>
        <w:t xml:space="preserve"> the dissolved oxygen time series prior to estimating metabolic rates reduces tidal noise and produces more stable estimates with smaller ranges, regardless of the method used.</w:t>
      </w:r>
    </w:p>
    <w:p w14:paraId="18F8A395" w14:textId="77777777" w:rsidR="00853DDB" w:rsidRDefault="00000000">
      <w:pPr>
        <w:pStyle w:val="Heading2"/>
      </w:pPr>
      <w:bookmarkStart w:id="18" w:name="discussion"/>
      <w:bookmarkEnd w:id="11"/>
      <w:bookmarkEnd w:id="17"/>
      <w:r>
        <w:t>Discussion</w:t>
      </w:r>
    </w:p>
    <w:p w14:paraId="15A83CF6" w14:textId="77777777" w:rsidR="00853DDB"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w:t>
      </w:r>
      <w:r>
        <w:lastRenderedPageBreak/>
        <w:t>describing the certainty of the parameter estimates (Hilborn and Mangel 2013). The advantages of the Bayesian approach have led to widespread adoption over frequentist approaches in many scientific applications, especially in the coastal and marine community (e.g., Myers et al. 2001; Borsuk et al. 2001; Brown et al. 2017), yet these methods have not been rigorously explored for estimating metabolic rates in estuaries.</w:t>
      </w:r>
    </w:p>
    <w:p w14:paraId="723754D3" w14:textId="77777777" w:rsidR="00853DDB" w:rsidRDefault="00000000">
      <w:pPr>
        <w:pStyle w:val="BodyText"/>
      </w:pPr>
      <w:r>
        <w:t xml:space="preserve">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w:t>
      </w:r>
      <w:proofErr w:type="gramStart"/>
      <w:r>
        <w:t>analyses</w:t>
      </w:r>
      <w:proofErr w:type="gramEnd"/>
      <w:r>
        <w:t xml:space="preserve">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 For application, users of EBASE may simply use a fixed value for </w:t>
      </w:r>
      <m:oMath>
        <m:r>
          <w:rPr>
            <w:rFonts w:ascii="Cambria Math" w:hAnsi="Cambria Math"/>
          </w:rPr>
          <m:t>b</m:t>
        </m:r>
      </m:oMath>
      <w:r>
        <w:t xml:space="preserve"> (e.g.,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or perform a simple sensitivity analysis by varying </w:t>
      </w:r>
      <m:oMath>
        <m:r>
          <w:rPr>
            <w:rFonts w:ascii="Cambria Math" w:hAnsi="Cambria Math"/>
          </w:rPr>
          <m:t>b</m:t>
        </m:r>
      </m:oMath>
      <w:r>
        <w:t xml:space="preserve"> +/- a small percentage to determine how </w:t>
      </w:r>
      <m:oMath>
        <m:r>
          <w:rPr>
            <w:rFonts w:ascii="Cambria Math" w:hAnsi="Cambria Math"/>
          </w:rPr>
          <m:t>P</m:t>
        </m:r>
      </m:oMath>
      <w:r>
        <w:t xml:space="preserve"> and </w:t>
      </w:r>
      <m:oMath>
        <m:r>
          <w:rPr>
            <w:rFonts w:ascii="Cambria Math" w:hAnsi="Cambria Math"/>
          </w:rPr>
          <m:t>R</m:t>
        </m:r>
      </m:oMath>
      <w:r>
        <w:t xml:space="preserve"> may change. Further model development may consider alternative approaches for dealing with equifinality, i.e., when the same modeled DO time series can be returned with different estimates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Appling et </w:t>
      </w:r>
      <w:r>
        <w:lastRenderedPageBreak/>
        <w:t>al. (2018) provide a useful example for a stream metabolic model that addresses equifinality by allowing model parameters to vary with key drivers at sub-daily scales (e.g., gas exchange versus discharge) and avoiding assumptions that model residuals are uncorrelated.</w:t>
      </w:r>
    </w:p>
    <w:p w14:paraId="4FBE09FA" w14:textId="77777777" w:rsidR="00853DDB"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xml:space="preserve">). As a result, </w:t>
      </w:r>
      <w:proofErr w:type="spellStart"/>
      <w:r>
        <w:t>detiding</w:t>
      </w:r>
      <w:proofErr w:type="spellEnd"/>
      <w:r>
        <w:t xml:space="preserve"> dissolved oxygen data is recommended prior to estimating metabolism, regardless of whether EBASE or an alternative method is used. 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w:t>
      </w:r>
      <w:proofErr w:type="spellStart"/>
      <w:r>
        <w:t>detiding</w:t>
      </w:r>
      <w:proofErr w:type="spellEnd"/>
      <w:r>
        <w:t xml:space="preserve"> and estimating metabolic rates using the same model, whereas using weighted regression prior to EBASE, as used herein, requires additional analysis and assumptions. However, field measurements (e.g., control volume approaches, Falter et al. 2008; </w:t>
      </w:r>
      <w:proofErr w:type="spellStart"/>
      <w:r>
        <w:t>Nidzieko</w:t>
      </w:r>
      <w:proofErr w:type="spellEnd"/>
      <w:r>
        <w:t xml:space="preserve"> et al. 2014) may be required to provide reasonable constraints on the prior distributions for any parameters that quantify advective influences on dissolved oxygen.</w:t>
      </w:r>
    </w:p>
    <w:p w14:paraId="4891A83E" w14:textId="77777777" w:rsidR="00853DDB" w:rsidRDefault="00000000">
      <w:pPr>
        <w:pStyle w:val="BodyText"/>
      </w:pPr>
      <w:r>
        <w:lastRenderedPageBreak/>
        <w:t xml:space="preserve">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t>
      </w:r>
      <w:proofErr w:type="spellStart"/>
      <w:r>
        <w:t>Wanninkhof</w:t>
      </w:r>
      <w:proofErr w:type="spellEnd"/>
      <w:r>
        <w:t xml:space="preserve"> (2014), which is primarily wind-based and more appropriate than the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 Further, EBASE could be applied to other non-tidal, lotic systems, although additional comparisons with existing methods are needed and the default uninformed prior distributions should be chosen carefully given the justification herein based primarily on estuarine literature (e.g., Caffrey 2004).</w:t>
      </w:r>
    </w:p>
    <w:p w14:paraId="16F025FF" w14:textId="6AF895CF" w:rsidR="00853DDB" w:rsidRDefault="00000000">
      <w:pPr>
        <w:pStyle w:val="BodyText"/>
      </w:pPr>
      <w:r>
        <w:t>EBASE also provides several computational advantages over BASE implemented in the R package that was created for the purposes herein (Beck et al. 202</w:t>
      </w:r>
      <w:r w:rsidR="006A1533">
        <w:t>4</w:t>
      </w:r>
      <w:r>
        <w:t xml:space="preserve">).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w:t>
      </w:r>
      <w:proofErr w:type="gramStart"/>
      <w:r>
        <w:t>ecological</w:t>
      </w:r>
      <w:proofErr w:type="gramEnd"/>
      <w:r>
        <w:t xml:space="preserve">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w:t>
      </w:r>
      <w:r>
        <w:lastRenderedPageBreak/>
        <w:t>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w:t>
      </w:r>
      <w:proofErr w:type="spellStart"/>
      <w:r>
        <w:t>etabolic</w:t>
      </w:r>
      <w:proofErr w:type="spellEnd"/>
      <w:r>
        <w:t xml:space="preserve"> rates may not be known and likely varies by location. Our example using the synthetic time series from Apalachicola Bay suggested that the most precise results were obtained using the </w:t>
      </w:r>
      <w:proofErr w:type="gramStart"/>
      <w:r>
        <w:t>30 day</w:t>
      </w:r>
      <w:proofErr w:type="gramEnd"/>
      <w:r>
        <w:t xml:space="preserve">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 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w:t>
      </w:r>
      <w:proofErr w:type="gramStart"/>
      <w:r>
        <w:t>15 minute</w:t>
      </w:r>
      <w:proofErr w:type="gramEnd"/>
      <w:r>
        <w:t xml:space="preserve"> vs hourly) and how this may influence the results, as this is currently unknown for EBASE.</w:t>
      </w:r>
    </w:p>
    <w:p w14:paraId="15EE6874" w14:textId="77777777" w:rsidR="00853DDB" w:rsidRDefault="00000000">
      <w:pPr>
        <w:pStyle w:val="BodyText"/>
      </w:pPr>
      <w:r>
        <w:t xml:space="preserve">The EBASE R package can also accommodate missing observations in the input data. This feature allows the estimation of metabolic rates for time series that cover relatively long periods of time (e.g., more than </w:t>
      </w:r>
      <w:proofErr w:type="gramStart"/>
      <w:r>
        <w:t>year</w:t>
      </w:r>
      <w:proofErr w:type="gramEnd"/>
      <w:r>
        <w:t xml:space="preserve">), when data gaps are likely to occur for several reasons (e.g., equipment malfunction and routine maintenance). The R package accommodates data gaps using linear interpolation for any required input used by EBASE, allowing the Bayesian routine to </w:t>
      </w:r>
      <w:r>
        <w:lastRenderedPageBreak/>
        <w:t xml:space="preserve">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 More conservative gaps can be chosen if, for example, semidiurnal tidal signals operating at time scales less than 12 hours are expected to influence the results. However, </w:t>
      </w:r>
      <w:proofErr w:type="spellStart"/>
      <w:r>
        <w:t>detiding</w:t>
      </w:r>
      <w:proofErr w:type="spellEnd"/>
      <w:r>
        <w:t xml:space="preserve"> is strongly encouraged in these cases and the default gap size of 12 hours that describes the diurnal oxygen signal is likely appropriate after </w:t>
      </w:r>
      <w:proofErr w:type="spellStart"/>
      <w:r>
        <w:t>detiding</w:t>
      </w:r>
      <w:proofErr w:type="spellEnd"/>
      <w:r>
        <w:t>.</w:t>
      </w:r>
    </w:p>
    <w:p w14:paraId="7629E22F" w14:textId="77777777" w:rsidR="00853DDB"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that unstable and unrealistic metabolic rates wer</w:t>
      </w:r>
      <w:proofErr w:type="spellStart"/>
      <w:r>
        <w:t>e</w:t>
      </w:r>
      <w:proofErr w:type="spellEnd"/>
      <w:r>
        <w:t xml:space="preserve"> returned with uninformed priors. The Odum method was used on the same data to develop an expectation of the range of values for the </w:t>
      </w:r>
      <w:r>
        <w:lastRenderedPageBreak/>
        <w:t xml:space="preserve">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w:t>
      </w:r>
      <w:proofErr w:type="spellStart"/>
      <w:r>
        <w:t>ance</w:t>
      </w:r>
      <w:proofErr w:type="spellEnd"/>
      <w:r>
        <w:t xml:space="preserve"> is provided above.</w:t>
      </w:r>
    </w:p>
    <w:p w14:paraId="3FD7202F" w14:textId="77777777" w:rsidR="00853DDB"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3AFA6F56" w14:textId="77777777" w:rsidR="00853DDB" w:rsidRDefault="00000000">
      <w:pPr>
        <w:pStyle w:val="Heading2"/>
      </w:pPr>
      <w:bookmarkStart w:id="19" w:name="comments-and-recommendations"/>
      <w:bookmarkEnd w:id="18"/>
      <w:r>
        <w:t>Comments and Recommendations</w:t>
      </w:r>
    </w:p>
    <w:p w14:paraId="348DFBED" w14:textId="77777777" w:rsidR="00853DDB"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processes as the method can be readily applied to other settings. A notable limitation of EBASE was an inability to constrain the gas transfer velocity from a synthetic time series, although this </w:t>
      </w:r>
      <w:r>
        <w:lastRenderedPageBreak/>
        <w:t xml:space="preserve">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w:t>
      </w:r>
      <w:proofErr w:type="spellStart"/>
      <w:r>
        <w:t>detiding</w:t>
      </w:r>
      <w:proofErr w:type="spellEnd"/>
      <w:r>
        <w:t xml:space="preserve"> dissolved oxygen data, are promising avenues of future research to </w:t>
      </w:r>
      <w:proofErr w:type="gramStart"/>
      <w:r>
        <w:t>more accurately quantify metabolic parameters</w:t>
      </w:r>
      <w:proofErr w:type="gramEnd"/>
      <w:r>
        <w:t xml:space="preserve">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068A17" w14:textId="77777777" w:rsidR="00853DDB" w:rsidRDefault="00000000">
      <w:pPr>
        <w:pStyle w:val="Heading2"/>
      </w:pPr>
      <w:bookmarkStart w:id="20" w:name="references"/>
      <w:bookmarkEnd w:id="19"/>
      <w:r>
        <w:t>References</w:t>
      </w:r>
    </w:p>
    <w:p w14:paraId="03EC69C7" w14:textId="77777777" w:rsidR="00853DDB"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3">
        <w:r>
          <w:rPr>
            <w:rStyle w:val="Hyperlink"/>
          </w:rPr>
          <w:t>10.1007/bf02532251</w:t>
        </w:r>
      </w:hyperlink>
    </w:p>
    <w:p w14:paraId="1FA2AD78" w14:textId="77777777" w:rsidR="00853DDB" w:rsidRDefault="00000000">
      <w:pPr>
        <w:pStyle w:val="Bibliography"/>
      </w:pPr>
      <w:bookmarkStart w:id="23" w:name="ref-appling2018"/>
      <w:bookmarkEnd w:id="21"/>
      <w:r>
        <w:t xml:space="preserve">Appling, A. P., R. O. Hall, C. B. </w:t>
      </w:r>
      <w:proofErr w:type="spellStart"/>
      <w:r>
        <w:t>Yackulic</w:t>
      </w:r>
      <w:proofErr w:type="spellEnd"/>
      <w:r>
        <w:t xml:space="preserve">, and M. </w:t>
      </w:r>
      <w:proofErr w:type="spellStart"/>
      <w:r>
        <w:t>Arroita</w:t>
      </w:r>
      <w:proofErr w:type="spellEnd"/>
      <w:r>
        <w:t xml:space="preserve">. 2018. Overcoming Equifinality: Leveraging Long Time Series for Stream Metabolism Estimation. Journal of Geophysical Research: </w:t>
      </w:r>
      <w:proofErr w:type="spellStart"/>
      <w:r>
        <w:t>Biogeosciences</w:t>
      </w:r>
      <w:proofErr w:type="spellEnd"/>
      <w:r>
        <w:t xml:space="preserve"> </w:t>
      </w:r>
      <w:r>
        <w:rPr>
          <w:b/>
          <w:bCs/>
        </w:rPr>
        <w:t>123</w:t>
      </w:r>
      <w:r>
        <w:t>: 624–645. doi:</w:t>
      </w:r>
      <w:hyperlink r:id="rId14">
        <w:r>
          <w:rPr>
            <w:rStyle w:val="Hyperlink"/>
          </w:rPr>
          <w:t>10.1002/2017jg004140</w:t>
        </w:r>
      </w:hyperlink>
    </w:p>
    <w:p w14:paraId="3EE59495" w14:textId="12A10CAF" w:rsidR="00853DDB" w:rsidRDefault="00000000">
      <w:pPr>
        <w:pStyle w:val="Bibliography"/>
      </w:pPr>
      <w:bookmarkStart w:id="24" w:name="ref-Beck23a"/>
      <w:bookmarkEnd w:id="23"/>
      <w:r>
        <w:t xml:space="preserve">Beck, M. W. 2023. </w:t>
      </w:r>
      <w:proofErr w:type="spellStart"/>
      <w:r>
        <w:t>WtRegDO</w:t>
      </w:r>
      <w:proofErr w:type="spellEnd"/>
      <w:r>
        <w:t>: Implement weighted regression on dissolved oxygen time series,</w:t>
      </w:r>
      <w:r w:rsidR="006A1533">
        <w:t xml:space="preserve"> R package version 1.0.1. </w:t>
      </w:r>
      <w:hyperlink r:id="rId15" w:history="1">
        <w:r w:rsidR="006A1533" w:rsidRPr="00BE5B09">
          <w:rPr>
            <w:rStyle w:val="Hyperlink"/>
          </w:rPr>
          <w:t>https://github.com/fawda123/WtRegDO</w:t>
        </w:r>
      </w:hyperlink>
    </w:p>
    <w:p w14:paraId="0881F69E" w14:textId="77777777" w:rsidR="00853DDB" w:rsidRDefault="00000000">
      <w:pPr>
        <w:pStyle w:val="Bibliography"/>
      </w:pPr>
      <w:bookmarkStart w:id="25" w:name="ref-Beck15"/>
      <w:bookmarkEnd w:id="24"/>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6">
        <w:r>
          <w:rPr>
            <w:rStyle w:val="Hyperlink"/>
          </w:rPr>
          <w:t>10.1002/lom3.10062</w:t>
        </w:r>
      </w:hyperlink>
    </w:p>
    <w:p w14:paraId="7CDEC0BE" w14:textId="28ECF5E1" w:rsidR="00853DDB" w:rsidRDefault="00000000">
      <w:pPr>
        <w:pStyle w:val="Bibliography"/>
      </w:pPr>
      <w:bookmarkStart w:id="26" w:name="ref-Beck23"/>
      <w:bookmarkEnd w:id="25"/>
      <w:r>
        <w:t xml:space="preserve">Beck, M. W., M. Herrmann, J. Arriola, </w:t>
      </w:r>
      <w:r w:rsidR="006A1533">
        <w:t xml:space="preserve">and </w:t>
      </w:r>
      <w:r>
        <w:t>R. Najjar. 202</w:t>
      </w:r>
      <w:r w:rsidR="006A1533">
        <w:t>4</w:t>
      </w:r>
      <w:r>
        <w:t>. EBASE: Estuarine Bayesian Single-Station Estimation Method for Ecosystem Metabolism,</w:t>
      </w:r>
      <w:r w:rsidR="006A1533">
        <w:t xml:space="preserve"> R package version 1.0.</w:t>
      </w:r>
      <w:r w:rsidR="00072181">
        <w:t>1</w:t>
      </w:r>
      <w:r w:rsidR="006A1533">
        <w:t xml:space="preserve">. </w:t>
      </w:r>
      <w:hyperlink r:id="rId17" w:history="1">
        <w:r w:rsidR="006A1533" w:rsidRPr="00BE5B09">
          <w:rPr>
            <w:rStyle w:val="Hyperlink"/>
          </w:rPr>
          <w:t>https://fawda123.github.io/EBASE</w:t>
        </w:r>
      </w:hyperlink>
      <w:r>
        <w:t>.</w:t>
      </w:r>
    </w:p>
    <w:p w14:paraId="089545D1" w14:textId="77777777" w:rsidR="00853DDB" w:rsidRDefault="00000000">
      <w:pPr>
        <w:pStyle w:val="Bibliography"/>
      </w:pPr>
      <w:bookmarkStart w:id="27" w:name="ref-berg2022"/>
      <w:bookmarkEnd w:id="26"/>
      <w:r>
        <w:t xml:space="preserve">Berg, P., M. Huettel, R. N. Glud, C. E. Reimers, and K. M. Attard. 2022. Aquatic Eddy Covariance: The Method and Its Contributions to Defining Oxygen and Carbon Fluxes in Marine Environments. Annual Review of Marine Science </w:t>
      </w:r>
      <w:r>
        <w:rPr>
          <w:b/>
          <w:bCs/>
        </w:rPr>
        <w:t>14</w:t>
      </w:r>
      <w:r>
        <w:t>: 431–455. doi:</w:t>
      </w:r>
      <w:hyperlink r:id="rId18">
        <w:r>
          <w:rPr>
            <w:rStyle w:val="Hyperlink"/>
          </w:rPr>
          <w:t>10.1146/annurev-marine-042121-012329</w:t>
        </w:r>
      </w:hyperlink>
    </w:p>
    <w:p w14:paraId="61A42217" w14:textId="77777777" w:rsidR="00853DDB" w:rsidRDefault="00000000">
      <w:pPr>
        <w:pStyle w:val="Bibliography"/>
      </w:pPr>
      <w:bookmarkStart w:id="28" w:name="ref-Borges11"/>
      <w:bookmarkEnd w:id="27"/>
      <w:r>
        <w:t xml:space="preserve">Borges, A. V., and G. Abril. 2011. </w:t>
      </w:r>
      <w:hyperlink r:id="rId19">
        <w:r>
          <w:rPr>
            <w:rStyle w:val="Hyperlink"/>
          </w:rPr>
          <w:t>Carbon dioxide and methane dynamics in estuaries</w:t>
        </w:r>
      </w:hyperlink>
      <w:r>
        <w:t xml:space="preserve">, p. 119–161. </w:t>
      </w:r>
      <w:r>
        <w:rPr>
          <w:i/>
          <w:iCs/>
        </w:rPr>
        <w:t>In</w:t>
      </w:r>
      <w:r>
        <w:t xml:space="preserve"> E. Wolanski and D.S. </w:t>
      </w:r>
      <w:proofErr w:type="spellStart"/>
      <w:r>
        <w:t>McLusky</w:t>
      </w:r>
      <w:proofErr w:type="spellEnd"/>
      <w:r>
        <w:t xml:space="preserve"> [eds.], Treatise on estuarine and coastal science, volume 5. Academic Press, Waltham.</w:t>
      </w:r>
    </w:p>
    <w:p w14:paraId="70BCAAEA" w14:textId="77777777" w:rsidR="00853DDB" w:rsidRDefault="00000000">
      <w:pPr>
        <w:pStyle w:val="Bibliography"/>
      </w:pPr>
      <w:bookmarkStart w:id="29" w:name="ref-borsuk2001"/>
      <w:bookmarkEnd w:id="28"/>
      <w:r>
        <w:lastRenderedPageBreak/>
        <w:t xml:space="preserve">Borsuk, M. E., D. Higdon, C. A. Stow, and K. H. </w:t>
      </w:r>
      <w:proofErr w:type="spellStart"/>
      <w:r>
        <w:t>Reckhow</w:t>
      </w:r>
      <w:proofErr w:type="spellEnd"/>
      <w:r>
        <w:t xml:space="preserve">. 2001. A Bayesian hierarchical model to predict benthic oxygen demand from organic matter loading in estuaries and coastal zones. Ecological Modelling </w:t>
      </w:r>
      <w:r>
        <w:rPr>
          <w:b/>
          <w:bCs/>
        </w:rPr>
        <w:t>143</w:t>
      </w:r>
      <w:r>
        <w:t>: 165–181. doi:</w:t>
      </w:r>
      <w:hyperlink r:id="rId20">
        <w:r>
          <w:rPr>
            <w:rStyle w:val="Hyperlink"/>
          </w:rPr>
          <w:t>10.1016/s0304-3800(01)00328-3</w:t>
        </w:r>
      </w:hyperlink>
    </w:p>
    <w:p w14:paraId="10F5B5B1" w14:textId="77777777" w:rsidR="00853DDB" w:rsidRDefault="00000000">
      <w:pPr>
        <w:pStyle w:val="Bibliography"/>
      </w:pPr>
      <w:bookmarkStart w:id="30" w:name="ref-brown2017"/>
      <w:bookmarkEnd w:id="29"/>
      <w:r>
        <w:t xml:space="preserve">Brown, C. J., S. D. Jupiter, S. Albert, and others. 2017. Tracing the influence of land-use change on water quality and coral reefs using a Bayesian model. Scientific Reports </w:t>
      </w:r>
      <w:r>
        <w:rPr>
          <w:b/>
          <w:bCs/>
        </w:rPr>
        <w:t>7</w:t>
      </w:r>
      <w:r>
        <w:t>. doi:</w:t>
      </w:r>
      <w:hyperlink r:id="rId21">
        <w:r>
          <w:rPr>
            <w:rStyle w:val="Hyperlink"/>
          </w:rPr>
          <w:t>10.1038/s41598-017-05031-7</w:t>
        </w:r>
      </w:hyperlink>
    </w:p>
    <w:p w14:paraId="3D480352" w14:textId="77777777" w:rsidR="00853DDB" w:rsidRDefault="00000000">
      <w:pPr>
        <w:pStyle w:val="Bibliography"/>
      </w:pPr>
      <w:bookmarkStart w:id="31" w:name="ref-caffrey2003"/>
      <w:bookmarkEnd w:id="30"/>
      <w:r>
        <w:t xml:space="preserve">Caffrey, J. M. 2003. </w:t>
      </w:r>
      <w:hyperlink r:id="rId22">
        <w:r>
          <w:rPr>
            <w:rStyle w:val="Hyperlink"/>
          </w:rPr>
          <w:t xml:space="preserve">Production, </w:t>
        </w:r>
        <w:proofErr w:type="gramStart"/>
        <w:r>
          <w:rPr>
            <w:rStyle w:val="Hyperlink"/>
          </w:rPr>
          <w:t>respiration</w:t>
        </w:r>
        <w:proofErr w:type="gramEnd"/>
        <w:r>
          <w:rPr>
            <w:rStyle w:val="Hyperlink"/>
          </w:rPr>
          <w:t xml:space="preserve"> and net ecosystem metabolism in U.S. estuaries</w:t>
        </w:r>
      </w:hyperlink>
      <w:r>
        <w:t xml:space="preserve">, p. 207–219. </w:t>
      </w:r>
      <w:r>
        <w:rPr>
          <w:i/>
          <w:iCs/>
        </w:rPr>
        <w:t>In</w:t>
      </w:r>
      <w:r>
        <w:t xml:space="preserve"> B.D. </w:t>
      </w:r>
      <w:proofErr w:type="spellStart"/>
      <w:r>
        <w:t>Melzian</w:t>
      </w:r>
      <w:proofErr w:type="spellEnd"/>
      <w:r>
        <w:t>, V. Engle, M. McAlister, S. Sandhu, and L.K. Eads [eds.], Coastal monitoring through partnerships. Springer Netherlands.</w:t>
      </w:r>
    </w:p>
    <w:p w14:paraId="0EB4273A" w14:textId="77777777" w:rsidR="00853DDB" w:rsidRDefault="00000000">
      <w:pPr>
        <w:pStyle w:val="Bibliography"/>
      </w:pPr>
      <w:bookmarkStart w:id="32" w:name="ref-caffrey2004"/>
      <w:bookmarkEnd w:id="31"/>
      <w:r>
        <w:t xml:space="preserve">Caffrey, J. M. 2004. Factors controlling net ecosystem metabolism in U.S. estuaries. Estuaries </w:t>
      </w:r>
      <w:r>
        <w:rPr>
          <w:b/>
          <w:bCs/>
        </w:rPr>
        <w:t>27</w:t>
      </w:r>
      <w:r>
        <w:t>: 90–101. doi:</w:t>
      </w:r>
      <w:hyperlink r:id="rId23">
        <w:r>
          <w:rPr>
            <w:rStyle w:val="Hyperlink"/>
          </w:rPr>
          <w:t>10.1007/bf02803563</w:t>
        </w:r>
      </w:hyperlink>
    </w:p>
    <w:p w14:paraId="305185A8" w14:textId="77777777" w:rsidR="00853DDB" w:rsidRDefault="00000000">
      <w:pPr>
        <w:pStyle w:val="Bibliography"/>
      </w:pPr>
      <w:bookmarkStart w:id="33" w:name="ref-cai2011"/>
      <w:bookmarkEnd w:id="32"/>
      <w:r>
        <w:t>Cai, W.-J. 2011. Estuarine and coastal ocean carbon paradox: CO</w:t>
      </w:r>
      <w:r>
        <w:rPr>
          <w:vertAlign w:val="subscript"/>
        </w:rPr>
        <w:t>2</w:t>
      </w:r>
      <w:r>
        <w:t xml:space="preserve"> sinks or sites of terrestrial carbon incineration? Annual Review of Marine Science </w:t>
      </w:r>
      <w:r>
        <w:rPr>
          <w:b/>
          <w:bCs/>
        </w:rPr>
        <w:t>3</w:t>
      </w:r>
      <w:r>
        <w:t>: 123–145. doi:</w:t>
      </w:r>
      <w:hyperlink r:id="rId24">
        <w:r>
          <w:rPr>
            <w:rStyle w:val="Hyperlink"/>
          </w:rPr>
          <w:t>10.1146/annurev-marine-120709-142723</w:t>
        </w:r>
      </w:hyperlink>
    </w:p>
    <w:p w14:paraId="4281509A" w14:textId="77777777" w:rsidR="00853DDB" w:rsidRDefault="00000000">
      <w:pPr>
        <w:pStyle w:val="Bibliography"/>
      </w:pPr>
      <w:bookmarkStart w:id="34" w:name="ref-cloern2014"/>
      <w:bookmarkEnd w:id="33"/>
      <w:proofErr w:type="spellStart"/>
      <w:r>
        <w:t>Cloern</w:t>
      </w:r>
      <w:proofErr w:type="spellEnd"/>
      <w:r>
        <w:t xml:space="preserve">, J. E., S. Foster, and A. Kleckner. 2014. Phytoplankton </w:t>
      </w:r>
      <w:proofErr w:type="gramStart"/>
      <w:r>
        <w:t>primary</w:t>
      </w:r>
      <w:proofErr w:type="gramEnd"/>
      <w:r>
        <w:t xml:space="preserve"> production in the world’s estuarine-coastal ecosystems. </w:t>
      </w:r>
      <w:proofErr w:type="spellStart"/>
      <w:r>
        <w:t>Biogeosciences</w:t>
      </w:r>
      <w:proofErr w:type="spellEnd"/>
      <w:r>
        <w:t xml:space="preserve"> </w:t>
      </w:r>
      <w:r>
        <w:rPr>
          <w:b/>
          <w:bCs/>
        </w:rPr>
        <w:t>11</w:t>
      </w:r>
      <w:r>
        <w:t>: 2477–2501. doi:</w:t>
      </w:r>
      <w:hyperlink r:id="rId25">
        <w:r>
          <w:rPr>
            <w:rStyle w:val="Hyperlink"/>
          </w:rPr>
          <w:t>10.5194/bg-11-2477-2014</w:t>
        </w:r>
      </w:hyperlink>
    </w:p>
    <w:p w14:paraId="75FE043A" w14:textId="77777777" w:rsidR="00853DDB" w:rsidRDefault="00000000">
      <w:pPr>
        <w:pStyle w:val="Bibliography"/>
      </w:pPr>
      <w:bookmarkStart w:id="35" w:name="ref-falter2008"/>
      <w:bookmarkEnd w:id="34"/>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6">
        <w:r>
          <w:rPr>
            <w:rStyle w:val="Hyperlink"/>
          </w:rPr>
          <w:t>10.1029/2007jc004663</w:t>
        </w:r>
      </w:hyperlink>
    </w:p>
    <w:p w14:paraId="2CF50E92" w14:textId="77777777" w:rsidR="00853DDB" w:rsidRDefault="00000000">
      <w:pPr>
        <w:pStyle w:val="Bibliography"/>
      </w:pPr>
      <w:bookmarkStart w:id="36" w:name="ref-frew1997"/>
      <w:bookmarkEnd w:id="35"/>
      <w:r>
        <w:t xml:space="preserve">Frew, N. M. 1997. </w:t>
      </w:r>
      <w:hyperlink r:id="rId27">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p w14:paraId="503CC749" w14:textId="77777777" w:rsidR="00853DDB" w:rsidRDefault="00000000">
      <w:pPr>
        <w:pStyle w:val="Bibliography"/>
      </w:pPr>
      <w:bookmarkStart w:id="37" w:name="ref-Garcia92"/>
      <w:bookmarkEnd w:id="36"/>
      <w:r>
        <w:t xml:space="preserve">García, H. E., and L. I. Gordon. 1992. Oxygen solubility in seawater: Better fitting equations. Limnology and oceanography </w:t>
      </w:r>
      <w:r>
        <w:rPr>
          <w:b/>
          <w:bCs/>
        </w:rPr>
        <w:t>37</w:t>
      </w:r>
      <w:r>
        <w:t>: 1307–1312. doi:</w:t>
      </w:r>
      <w:hyperlink r:id="rId28">
        <w:r>
          <w:rPr>
            <w:rStyle w:val="Hyperlink"/>
          </w:rPr>
          <w:t>10.4319/lo.1992.37.6.1307</w:t>
        </w:r>
      </w:hyperlink>
    </w:p>
    <w:p w14:paraId="46B629F7" w14:textId="77777777" w:rsidR="00853DDB" w:rsidRDefault="00000000">
      <w:pPr>
        <w:pStyle w:val="Bibliography"/>
      </w:pPr>
      <w:bookmarkStart w:id="38" w:name="ref-gazeau2005"/>
      <w:bookmarkEnd w:id="37"/>
      <w:proofErr w:type="spellStart"/>
      <w:r>
        <w:t>Gazeau</w:t>
      </w:r>
      <w:proofErr w:type="spellEnd"/>
      <w:r>
        <w:t xml:space="preserve">, F., A. Borges, C. </w:t>
      </w:r>
      <w:proofErr w:type="spellStart"/>
      <w:r>
        <w:t>Barrón</w:t>
      </w:r>
      <w:proofErr w:type="spellEnd"/>
      <w:r>
        <w:t xml:space="preserve">, and others. 2005. Net ecosystem metabolism in a micro-tidal estuary (Randers Fjord, Denmark): evaluation of methods. Marine Ecology Progress Series </w:t>
      </w:r>
      <w:r>
        <w:rPr>
          <w:b/>
          <w:bCs/>
        </w:rPr>
        <w:t>301</w:t>
      </w:r>
      <w:r>
        <w:t>: 23–41. doi:</w:t>
      </w:r>
      <w:hyperlink r:id="rId29">
        <w:r>
          <w:rPr>
            <w:rStyle w:val="Hyperlink"/>
          </w:rPr>
          <w:t>10.3354/meps301023</w:t>
        </w:r>
      </w:hyperlink>
    </w:p>
    <w:p w14:paraId="5574B887" w14:textId="77777777" w:rsidR="00853DDB" w:rsidRDefault="00000000">
      <w:pPr>
        <w:pStyle w:val="Bibliography"/>
      </w:pPr>
      <w:bookmarkStart w:id="39" w:name="ref-Grace15"/>
      <w:bookmarkEnd w:id="38"/>
      <w:r>
        <w:t xml:space="preserve">Grace, M. R., D. P. </w:t>
      </w:r>
      <w:proofErr w:type="spellStart"/>
      <w:r>
        <w:t>Giling</w:t>
      </w:r>
      <w:proofErr w:type="spellEnd"/>
      <w:r>
        <w:t xml:space="preserve">, S. </w:t>
      </w:r>
      <w:proofErr w:type="spellStart"/>
      <w:r>
        <w:t>Hladyz</w:t>
      </w:r>
      <w:proofErr w:type="spellEnd"/>
      <w:r>
        <w:t>, V. Caron, R. M. Thompson, and R. Mac Nally. 2015. Fast processing of diel oxygen curves: Estimating stream metabolism with BASE (</w:t>
      </w:r>
      <w:proofErr w:type="spellStart"/>
      <w:r>
        <w:t>BAyesian</w:t>
      </w:r>
      <w:proofErr w:type="spellEnd"/>
      <w:r>
        <w:t xml:space="preserve"> Single-station Estimation). Limnology and Oceanography: Methods </w:t>
      </w:r>
      <w:r>
        <w:rPr>
          <w:b/>
          <w:bCs/>
        </w:rPr>
        <w:t>13</w:t>
      </w:r>
      <w:r>
        <w:t>: 103–114. doi:</w:t>
      </w:r>
      <w:hyperlink r:id="rId30">
        <w:r>
          <w:rPr>
            <w:rStyle w:val="Hyperlink"/>
          </w:rPr>
          <w:t>10.1002/lom3.10011</w:t>
        </w:r>
      </w:hyperlink>
    </w:p>
    <w:p w14:paraId="79D7FE0A" w14:textId="77777777" w:rsidR="00853DDB" w:rsidRDefault="00000000">
      <w:pPr>
        <w:pStyle w:val="Bibliography"/>
      </w:pPr>
      <w:bookmarkStart w:id="40" w:name="ref-Hilborn13"/>
      <w:bookmarkEnd w:id="39"/>
      <w:r>
        <w:t>Hilborn, R., and M. Mangel. 2013. The ecological detective: Confronting models with data, Princeton University Press.</w:t>
      </w:r>
    </w:p>
    <w:p w14:paraId="6E39AE28" w14:textId="77777777" w:rsidR="00853DDB" w:rsidRDefault="00000000">
      <w:pPr>
        <w:pStyle w:val="Bibliography"/>
      </w:pPr>
      <w:bookmarkStart w:id="41" w:name="ref-Ho16"/>
      <w:bookmarkEnd w:id="40"/>
      <w:r>
        <w:t xml:space="preserve">Ho, D. T., N. </w:t>
      </w:r>
      <w:proofErr w:type="spellStart"/>
      <w:r>
        <w:t>Coffineau</w:t>
      </w:r>
      <w:proofErr w:type="spellEnd"/>
      <w:r>
        <w:t xml:space="preserve">, B. Hickman, N. Chow, T. Koffman, and P. Schlosser. 2016. Influence of current velocity and wind speed on air-water gas exchange in a mangrove estuary. Geophysical Research Letters </w:t>
      </w:r>
      <w:r>
        <w:rPr>
          <w:b/>
          <w:bCs/>
        </w:rPr>
        <w:t>43</w:t>
      </w:r>
      <w:r>
        <w:t>: 3813–3821. doi:</w:t>
      </w:r>
      <w:hyperlink r:id="rId31">
        <w:r>
          <w:rPr>
            <w:rStyle w:val="Hyperlink"/>
          </w:rPr>
          <w:t>10.1002/2016GL068727</w:t>
        </w:r>
      </w:hyperlink>
    </w:p>
    <w:p w14:paraId="35DB1D5B" w14:textId="77777777" w:rsidR="00853DDB" w:rsidRDefault="00000000">
      <w:pPr>
        <w:pStyle w:val="Bibliography"/>
      </w:pPr>
      <w:bookmarkStart w:id="42" w:name="ref-hoellein2013"/>
      <w:bookmarkEnd w:id="41"/>
      <w:r>
        <w:lastRenderedPageBreak/>
        <w:t xml:space="preserve">Hoellein, T. J., D. A. Bruesewitz, and D. C. Richardson. 2013. Revisiting Odum (1956): A synthesis of aquatic ecosystem metabolism. Limnology and Oceanography </w:t>
      </w:r>
      <w:r>
        <w:rPr>
          <w:b/>
          <w:bCs/>
        </w:rPr>
        <w:t>58</w:t>
      </w:r>
      <w:r>
        <w:t>: 2089–2100. doi:</w:t>
      </w:r>
      <w:hyperlink r:id="rId32">
        <w:r>
          <w:rPr>
            <w:rStyle w:val="Hyperlink"/>
          </w:rPr>
          <w:t>10.4319/lo.2013.58.6.2089</w:t>
        </w:r>
      </w:hyperlink>
    </w:p>
    <w:p w14:paraId="32020A65" w14:textId="77777777" w:rsidR="00853DDB" w:rsidRDefault="00000000">
      <w:pPr>
        <w:pStyle w:val="Bibliography"/>
      </w:pPr>
      <w:bookmarkStart w:id="43" w:name="ref-Holtgrieve10"/>
      <w:bookmarkEnd w:id="42"/>
      <w:r>
        <w:t xml:space="preserve">Holtgrieve, G. W., D. E. Schindler, T. A. Branch, and Z. T. </w:t>
      </w:r>
      <w:proofErr w:type="spellStart"/>
      <w:r>
        <w:t>A’mar</w:t>
      </w:r>
      <w:proofErr w:type="spellEnd"/>
      <w:r>
        <w:t xml:space="preserve">. 2010. Simultaneous quantification of aquatic ecosystem metabolism and reaeration using a Bayesian statistical model of oxygen dynamics. Limnology and Oceanography </w:t>
      </w:r>
      <w:r>
        <w:rPr>
          <w:b/>
          <w:bCs/>
        </w:rPr>
        <w:t>55</w:t>
      </w:r>
      <w:r>
        <w:t>: 1047–1063. doi:</w:t>
      </w:r>
      <w:hyperlink r:id="rId33">
        <w:r>
          <w:rPr>
            <w:rStyle w:val="Hyperlink"/>
          </w:rPr>
          <w:t>10.4319/lo.2010.55.3.1047</w:t>
        </w:r>
      </w:hyperlink>
    </w:p>
    <w:p w14:paraId="13559278" w14:textId="77777777" w:rsidR="00853DDB" w:rsidRDefault="00000000">
      <w:pPr>
        <w:pStyle w:val="Bibliography"/>
      </w:pPr>
      <w:bookmarkStart w:id="44" w:name="ref-hopkinson2005"/>
      <w:bookmarkEnd w:id="43"/>
      <w:r>
        <w:t xml:space="preserve">Hopkinson, C. S., and E. M. Smith. 2005. </w:t>
      </w:r>
      <w:hyperlink r:id="rId34">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p w14:paraId="54E0CDE6" w14:textId="77777777" w:rsidR="00853DDB" w:rsidRDefault="00000000">
      <w:pPr>
        <w:pStyle w:val="Bibliography"/>
      </w:pPr>
      <w:bookmarkStart w:id="45" w:name="ref-hu2006"/>
      <w:bookmarkEnd w:id="44"/>
      <w:r>
        <w:t xml:space="preserve">Hu, J., P. Peng, G. Jia, B. Mai, and G. Zhang. 2006. Distribution and sources of organic carbon, </w:t>
      </w:r>
      <w:proofErr w:type="gramStart"/>
      <w:r>
        <w:t>nitrogen</w:t>
      </w:r>
      <w:proofErr w:type="gramEnd"/>
      <w:r>
        <w:t xml:space="preserve"> and their isotopes in sediments of the subtropical Pearl River estuary and adjacent shelf, Southern China. Marine Chemistry </w:t>
      </w:r>
      <w:r>
        <w:rPr>
          <w:b/>
          <w:bCs/>
        </w:rPr>
        <w:t>98</w:t>
      </w:r>
      <w:r>
        <w:t>: 274–285. doi:</w:t>
      </w:r>
      <w:hyperlink r:id="rId35">
        <w:r>
          <w:rPr>
            <w:rStyle w:val="Hyperlink"/>
          </w:rPr>
          <w:t>10.1016/j.marchem.2005.03.008</w:t>
        </w:r>
      </w:hyperlink>
    </w:p>
    <w:p w14:paraId="4F47D542" w14:textId="77777777" w:rsidR="00853DDB" w:rsidRDefault="00000000">
      <w:pPr>
        <w:pStyle w:val="Bibliography"/>
      </w:pPr>
      <w:bookmarkStart w:id="46" w:name="ref-jacovides2004"/>
      <w:bookmarkEnd w:id="45"/>
      <w:proofErr w:type="spellStart"/>
      <w:r>
        <w:t>Jacovides</w:t>
      </w:r>
      <w:proofErr w:type="spellEnd"/>
      <w:r>
        <w:t xml:space="preserve">, C. P., F. S. </w:t>
      </w:r>
      <w:proofErr w:type="spellStart"/>
      <w:r>
        <w:t>Timvios</w:t>
      </w:r>
      <w:proofErr w:type="spellEnd"/>
      <w:r>
        <w:t xml:space="preserve">, G. Papaioannou, D. N. Asimakopoulos, and C. M. </w:t>
      </w:r>
      <w:proofErr w:type="spellStart"/>
      <w:r>
        <w:t>Theofilou</w:t>
      </w:r>
      <w:proofErr w:type="spellEnd"/>
      <w:r>
        <w:t xml:space="preserve">. 2004. Ratio of PAR to broadband solar radiation measured in Cyprus. Agricultural and Forest Meteorology </w:t>
      </w:r>
      <w:r>
        <w:rPr>
          <w:b/>
          <w:bCs/>
        </w:rPr>
        <w:t>121</w:t>
      </w:r>
      <w:r>
        <w:t>: 135–140. doi:</w:t>
      </w:r>
      <w:hyperlink r:id="rId36">
        <w:r>
          <w:rPr>
            <w:rStyle w:val="Hyperlink"/>
          </w:rPr>
          <w:t>10.1016/j.agrformet.2003.10.001</w:t>
        </w:r>
      </w:hyperlink>
    </w:p>
    <w:p w14:paraId="11CD239D" w14:textId="77777777" w:rsidR="00853DDB" w:rsidRDefault="00000000">
      <w:pPr>
        <w:pStyle w:val="Bibliography"/>
      </w:pPr>
      <w:bookmarkStart w:id="47" w:name="ref-kemp1980"/>
      <w:bookmarkEnd w:id="46"/>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7">
        <w:r>
          <w:rPr>
            <w:rStyle w:val="Hyperlink"/>
          </w:rPr>
          <w:t>10.1016/s0302-3524(80)80065-x</w:t>
        </w:r>
      </w:hyperlink>
    </w:p>
    <w:p w14:paraId="05DC0153" w14:textId="77777777" w:rsidR="00853DDB" w:rsidRDefault="00000000">
      <w:pPr>
        <w:pStyle w:val="Bibliography"/>
      </w:pPr>
      <w:bookmarkStart w:id="48" w:name="ref-kemp2011"/>
      <w:bookmarkEnd w:id="47"/>
      <w:r>
        <w:t xml:space="preserve">Kemp, W. M., and J. M. Testa. 2011. </w:t>
      </w:r>
      <w:hyperlink r:id="rId38">
        <w:r>
          <w:rPr>
            <w:rStyle w:val="Hyperlink"/>
          </w:rPr>
          <w:t>Metabolic balance between ecosystem production and consumption</w:t>
        </w:r>
      </w:hyperlink>
      <w:r>
        <w:t xml:space="preserve">, p. 83–118. </w:t>
      </w:r>
      <w:r>
        <w:rPr>
          <w:i/>
          <w:iCs/>
        </w:rPr>
        <w:t>In</w:t>
      </w:r>
      <w:r>
        <w:t xml:space="preserve"> E. Wolanski and D. </w:t>
      </w:r>
      <w:proofErr w:type="spellStart"/>
      <w:r>
        <w:t>McLusky</w:t>
      </w:r>
      <w:proofErr w:type="spellEnd"/>
      <w:r>
        <w:t xml:space="preserve"> [eds.], Treatise on estuarine and coastal science. Elsevier.</w:t>
      </w:r>
    </w:p>
    <w:p w14:paraId="642B84F9" w14:textId="77777777" w:rsidR="00853DDB" w:rsidRDefault="00000000">
      <w:pPr>
        <w:pStyle w:val="Bibliography"/>
      </w:pPr>
      <w:bookmarkStart w:id="49" w:name="ref-kiehl1997"/>
      <w:bookmarkEnd w:id="48"/>
      <w:r>
        <w:t xml:space="preserve">Kiehl, J. T., and K. E. Trenberth. 1997. Earth’s annual global mean energy budget. Bulletin of the American Meteorological Society </w:t>
      </w:r>
      <w:r>
        <w:rPr>
          <w:b/>
          <w:bCs/>
        </w:rPr>
        <w:t>78</w:t>
      </w:r>
      <w:r>
        <w:t>: 197–208. doi:</w:t>
      </w:r>
      <w:hyperlink r:id="rId39">
        <w:r>
          <w:rPr>
            <w:rStyle w:val="Hyperlink"/>
          </w:rPr>
          <w:t>10.1175/1520-0477(1997)078&lt;0197:eagmeb&gt;2.0.co;2</w:t>
        </w:r>
      </w:hyperlink>
    </w:p>
    <w:p w14:paraId="74992AA8" w14:textId="77777777" w:rsidR="00853DDB" w:rsidRDefault="00000000">
      <w:pPr>
        <w:pStyle w:val="Bibliography"/>
      </w:pPr>
      <w:bookmarkStart w:id="50" w:name="ref-middelburg2007"/>
      <w:bookmarkEnd w:id="49"/>
      <w:r>
        <w:t xml:space="preserve">Middelburg, J. J., and P. M. J. Herman. 2007. Organic matter processing in tidal estuaries. Marine Chemistry </w:t>
      </w:r>
      <w:r>
        <w:rPr>
          <w:b/>
          <w:bCs/>
        </w:rPr>
        <w:t>106</w:t>
      </w:r>
      <w:r>
        <w:t>: 127–147. doi:</w:t>
      </w:r>
      <w:hyperlink r:id="rId40">
        <w:r>
          <w:rPr>
            <w:rStyle w:val="Hyperlink"/>
          </w:rPr>
          <w:t>10.1016/j.marchem.2006.02.007</w:t>
        </w:r>
      </w:hyperlink>
    </w:p>
    <w:p w14:paraId="330665F2" w14:textId="77777777" w:rsidR="00853DDB" w:rsidRDefault="00000000">
      <w:pPr>
        <w:pStyle w:val="Bibliography"/>
      </w:pPr>
      <w:bookmarkStart w:id="51" w:name="ref-Moriasi07"/>
      <w:bookmarkEnd w:id="50"/>
      <w:proofErr w:type="spellStart"/>
      <w:r>
        <w:t>Moriasi</w:t>
      </w:r>
      <w:proofErr w:type="spellEnd"/>
      <w:r>
        <w:t xml:space="preserve">, D. N., J. G. Arnold, M. W. Van Liew, R. L. </w:t>
      </w:r>
      <w:proofErr w:type="spellStart"/>
      <w:r>
        <w:t>Bingner</w:t>
      </w:r>
      <w:proofErr w:type="spellEnd"/>
      <w:r>
        <w:t xml:space="preserve">,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41">
        <w:r>
          <w:rPr>
            <w:rStyle w:val="Hyperlink"/>
          </w:rPr>
          <w:t>10.13031/2013.23153</w:t>
        </w:r>
      </w:hyperlink>
    </w:p>
    <w:p w14:paraId="1781B295" w14:textId="77777777" w:rsidR="00853DDB" w:rsidRDefault="00000000">
      <w:pPr>
        <w:pStyle w:val="Bibliography"/>
      </w:pPr>
      <w:bookmarkStart w:id="52" w:name="ref-Murrell18"/>
      <w:bookmarkEnd w:id="51"/>
      <w:r>
        <w:t xml:space="preserve">Murrell, M. C., J. M. Caffrey, D. T. </w:t>
      </w:r>
      <w:proofErr w:type="spellStart"/>
      <w:r>
        <w:t>Marcovich</w:t>
      </w:r>
      <w:proofErr w:type="spellEnd"/>
      <w:r>
        <w:t xml:space="preserve">,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42">
        <w:r>
          <w:rPr>
            <w:rStyle w:val="Hyperlink"/>
          </w:rPr>
          <w:t>10.1007/s12237-017-0328-9</w:t>
        </w:r>
      </w:hyperlink>
    </w:p>
    <w:p w14:paraId="65ACC469" w14:textId="77777777" w:rsidR="00853DDB" w:rsidRDefault="00000000">
      <w:pPr>
        <w:pStyle w:val="Bibliography"/>
      </w:pPr>
      <w:bookmarkStart w:id="53" w:name="ref-myers2001"/>
      <w:bookmarkEnd w:id="52"/>
      <w:r>
        <w:lastRenderedPageBreak/>
        <w:t xml:space="preserve">Myers, R. A., B. R. </w:t>
      </w:r>
      <w:proofErr w:type="spellStart"/>
      <w:r>
        <w:t>MacKenzie</w:t>
      </w:r>
      <w:proofErr w:type="spellEnd"/>
      <w:r>
        <w:t xml:space="preserve">, K. G. Bowen, and N. J. Barrowman. 2001. What is the carrying capacity for fish in the ocean? A meta-analysis of population dynamics of North Atlantic cod. Canadian Journal of Fisheries and Aquatic Sciences </w:t>
      </w:r>
      <w:r>
        <w:rPr>
          <w:b/>
          <w:bCs/>
        </w:rPr>
        <w:t>58</w:t>
      </w:r>
      <w:r>
        <w:t>: 1464–1476. doi:</w:t>
      </w:r>
      <w:hyperlink r:id="rId43">
        <w:r>
          <w:rPr>
            <w:rStyle w:val="Hyperlink"/>
          </w:rPr>
          <w:t>10.1139/f01-082</w:t>
        </w:r>
      </w:hyperlink>
    </w:p>
    <w:p w14:paraId="2FF7D885" w14:textId="77777777" w:rsidR="00853DDB" w:rsidRDefault="00000000">
      <w:pPr>
        <w:pStyle w:val="Bibliography"/>
      </w:pPr>
      <w:bookmarkStart w:id="54" w:name="ref-nagel2009"/>
      <w:bookmarkEnd w:id="53"/>
      <w:r>
        <w:t xml:space="preserve">Nagel, J. L., W. M. Kemp, J. C. Cornwell, M. S. Owens, D. Hinkle, and C. J. Madden. 2009. Seasonal and regional variations in net ecosystem production in </w:t>
      </w:r>
      <w:proofErr w:type="spellStart"/>
      <w:r>
        <w:rPr>
          <w:i/>
          <w:iCs/>
        </w:rPr>
        <w:t>Thalassia</w:t>
      </w:r>
      <w:proofErr w:type="spellEnd"/>
      <w:r>
        <w:rPr>
          <w:i/>
          <w:iCs/>
        </w:rPr>
        <w:t xml:space="preserve"> </w:t>
      </w:r>
      <w:proofErr w:type="spellStart"/>
      <w:r>
        <w:rPr>
          <w:i/>
          <w:iCs/>
        </w:rPr>
        <w:t>testudinum</w:t>
      </w:r>
      <w:proofErr w:type="spellEnd"/>
      <w:r>
        <w:t xml:space="preserve"> communities throughout Florida Bay. Contributions in Marine Science </w:t>
      </w:r>
      <w:r>
        <w:rPr>
          <w:b/>
          <w:bCs/>
        </w:rPr>
        <w:t>38</w:t>
      </w:r>
      <w:r>
        <w:t>: 91–108.</w:t>
      </w:r>
    </w:p>
    <w:p w14:paraId="523A4121" w14:textId="77777777" w:rsidR="00853DDB" w:rsidRDefault="00000000">
      <w:pPr>
        <w:pStyle w:val="Bibliography"/>
      </w:pPr>
      <w:bookmarkStart w:id="55" w:name="ref-najjar2018"/>
      <w:bookmarkEnd w:id="54"/>
      <w:r>
        <w:t xml:space="preserve">Najjar, R. G., M. Herrmann, R. Alexander, and others. 2018. Carbon budget of tidal wetlands, estuaries, and shelf waters of eastern North America. Global Biogeochemical Cycles </w:t>
      </w:r>
      <w:r>
        <w:rPr>
          <w:b/>
          <w:bCs/>
        </w:rPr>
        <w:t>32</w:t>
      </w:r>
      <w:r>
        <w:t>: 389–416. doi:</w:t>
      </w:r>
      <w:hyperlink r:id="rId44">
        <w:r>
          <w:rPr>
            <w:rStyle w:val="Hyperlink"/>
          </w:rPr>
          <w:t>10.1002/2017gb005790</w:t>
        </w:r>
      </w:hyperlink>
    </w:p>
    <w:p w14:paraId="1FE16E86" w14:textId="77777777" w:rsidR="00853DDB" w:rsidRDefault="00000000">
      <w:pPr>
        <w:pStyle w:val="Bibliography"/>
      </w:pPr>
      <w:bookmarkStart w:id="56" w:name="ref-Nash70"/>
      <w:bookmarkEnd w:id="55"/>
      <w:r>
        <w:t xml:space="preserve">Nash, J. E., and J. V. Sutcliffe. 1970. River flow forecasting through conceptual </w:t>
      </w:r>
      <w:proofErr w:type="gramStart"/>
      <w:r>
        <w:t>models</w:t>
      </w:r>
      <w:proofErr w:type="gramEnd"/>
      <w:r>
        <w:t xml:space="preserve"> part </w:t>
      </w:r>
      <w:proofErr w:type="spellStart"/>
      <w:r>
        <w:t>i</w:t>
      </w:r>
      <w:proofErr w:type="spellEnd"/>
      <w:r>
        <w:t xml:space="preserve">—a discussion of principles. Journal of hydrology </w:t>
      </w:r>
      <w:r>
        <w:rPr>
          <w:b/>
          <w:bCs/>
        </w:rPr>
        <w:t>10</w:t>
      </w:r>
      <w:r>
        <w:t>: 282–290. doi:</w:t>
      </w:r>
      <w:hyperlink r:id="rId45">
        <w:r>
          <w:rPr>
            <w:rStyle w:val="Hyperlink"/>
          </w:rPr>
          <w:t>10.1016/0022-1694(70)90255-6</w:t>
        </w:r>
      </w:hyperlink>
    </w:p>
    <w:p w14:paraId="2659D4DC" w14:textId="77777777" w:rsidR="00853DDB" w:rsidRDefault="00000000">
      <w:pPr>
        <w:pStyle w:val="Bibliography"/>
      </w:pPr>
      <w:bookmarkStart w:id="57" w:name="ref-nidzieko2014"/>
      <w:bookmarkEnd w:id="56"/>
      <w:proofErr w:type="spellStart"/>
      <w:r>
        <w:t>Nidzieko</w:t>
      </w:r>
      <w:proofErr w:type="spellEnd"/>
      <w:r>
        <w:t xml:space="preserve">, N. J., J. A. </w:t>
      </w:r>
      <w:proofErr w:type="spellStart"/>
      <w:r>
        <w:t>Needoba</w:t>
      </w:r>
      <w:proofErr w:type="spellEnd"/>
      <w:r>
        <w:t xml:space="preserve">, S. G. Monismith, and K. S. Johnson. 2014. Fortnightly tidal modulations affect net community production in a mesotidal estuary. Estuaries and Coasts </w:t>
      </w:r>
      <w:r>
        <w:rPr>
          <w:b/>
          <w:bCs/>
        </w:rPr>
        <w:t>37</w:t>
      </w:r>
      <w:r>
        <w:t>: 91–110. doi:</w:t>
      </w:r>
      <w:hyperlink r:id="rId46">
        <w:r>
          <w:rPr>
            <w:rStyle w:val="Hyperlink"/>
          </w:rPr>
          <w:t>10.1007/s12237-013-9765-2</w:t>
        </w:r>
      </w:hyperlink>
    </w:p>
    <w:p w14:paraId="5F47CF04" w14:textId="77777777" w:rsidR="00853DDB" w:rsidRDefault="00000000">
      <w:pPr>
        <w:pStyle w:val="Bibliography"/>
      </w:pPr>
      <w:bookmarkStart w:id="58" w:name="ref-nerr2023"/>
      <w:bookmarkEnd w:id="57"/>
      <w:r>
        <w:t xml:space="preserve">NOAA NERRS. 2023. NOAA National Estuarine Research Reserve System (NERRS). System-wide monitoring program. Data accessed from the NOAA NERRS Centralized Data Management Office website </w:t>
      </w:r>
      <w:hyperlink r:id="rId47">
        <w:r>
          <w:rPr>
            <w:rStyle w:val="Hyperlink"/>
          </w:rPr>
          <w:t>http://www.nerrsdata.org</w:t>
        </w:r>
      </w:hyperlink>
      <w:r>
        <w:t xml:space="preserve">; accessed </w:t>
      </w:r>
      <w:proofErr w:type="spellStart"/>
      <w:r>
        <w:t>july</w:t>
      </w:r>
      <w:proofErr w:type="spellEnd"/>
      <w:r>
        <w:t xml:space="preserve"> 2023.</w:t>
      </w:r>
    </w:p>
    <w:p w14:paraId="60DDB726" w14:textId="77777777" w:rsidR="00853DDB" w:rsidRDefault="00000000">
      <w:pPr>
        <w:pStyle w:val="Bibliography"/>
      </w:pPr>
      <w:bookmarkStart w:id="59" w:name="ref-Odum56"/>
      <w:bookmarkEnd w:id="58"/>
      <w:r>
        <w:t xml:space="preserve">Odum, H. T. 1956. Primary production in flowing waters. Limnology and Oceanography </w:t>
      </w:r>
      <w:r>
        <w:rPr>
          <w:b/>
          <w:bCs/>
        </w:rPr>
        <w:t>1</w:t>
      </w:r>
      <w:r>
        <w:t>: 102–117.</w:t>
      </w:r>
    </w:p>
    <w:p w14:paraId="34C81FD2" w14:textId="77777777" w:rsidR="00853DDB" w:rsidRDefault="00000000">
      <w:pPr>
        <w:pStyle w:val="Bibliography"/>
      </w:pPr>
      <w:bookmarkStart w:id="60" w:name="ref-Plummer03"/>
      <w:bookmarkEnd w:id="59"/>
      <w:r>
        <w:t xml:space="preserve">Plummer, </w:t>
      </w:r>
      <w:proofErr w:type="gramStart"/>
      <w:r>
        <w:t>M.</w:t>
      </w:r>
      <w:proofErr w:type="gramEnd"/>
      <w:r>
        <w:t xml:space="preserve"> and others. 2003. JAGS: A program for analysis of Bayesian graphical models using Gibbs sampling. </w:t>
      </w:r>
      <w:r>
        <w:rPr>
          <w:i/>
          <w:iCs/>
        </w:rPr>
        <w:t>Proceedings of the 3rd international workshop on distributed statistical computing</w:t>
      </w:r>
      <w:r>
        <w:t>. Vienna, Austria. 1–10.</w:t>
      </w:r>
    </w:p>
    <w:p w14:paraId="7C798E28" w14:textId="3DC87101" w:rsidR="00853DDB" w:rsidRDefault="00000000">
      <w:pPr>
        <w:pStyle w:val="Bibliography"/>
      </w:pPr>
      <w:bookmarkStart w:id="61" w:name="ref-RCT23"/>
      <w:bookmarkEnd w:id="60"/>
      <w:r>
        <w:t xml:space="preserve">R Core Team. 2023. </w:t>
      </w:r>
      <w:hyperlink r:id="rId48">
        <w:r>
          <w:rPr>
            <w:rStyle w:val="Hyperlink"/>
          </w:rPr>
          <w:t>R: A language and environment for statistical computing</w:t>
        </w:r>
      </w:hyperlink>
      <w:r>
        <w:t xml:space="preserve">, </w:t>
      </w:r>
      <w:r w:rsidR="00606A61">
        <w:t xml:space="preserve">v4.3.1, </w:t>
      </w:r>
      <w:r>
        <w:t>R Foundation for Statistical Computing.</w:t>
      </w:r>
    </w:p>
    <w:p w14:paraId="5E4F90B0" w14:textId="77777777" w:rsidR="00853DDB" w:rsidRDefault="00000000">
      <w:pPr>
        <w:pStyle w:val="Bibliography"/>
      </w:pPr>
      <w:bookmarkStart w:id="62" w:name="ref-riley2013"/>
      <w:bookmarkEnd w:id="61"/>
      <w:r>
        <w:t xml:space="preserve">Riley, A. J., and W. K. Dodds. 2013. Whole-stream metabolism: strategies for measuring and modeling diel trends of dissolved oxygen. Freshwater Science </w:t>
      </w:r>
      <w:r>
        <w:rPr>
          <w:b/>
          <w:bCs/>
        </w:rPr>
        <w:t>32</w:t>
      </w:r>
      <w:r>
        <w:t>: 56–69. doi:</w:t>
      </w:r>
      <w:hyperlink r:id="rId49">
        <w:r>
          <w:rPr>
            <w:rStyle w:val="Hyperlink"/>
          </w:rPr>
          <w:t>10.1899/12-058.1</w:t>
        </w:r>
      </w:hyperlink>
    </w:p>
    <w:p w14:paraId="2D6E8907" w14:textId="77777777" w:rsidR="00853DDB" w:rsidRDefault="00000000">
      <w:pPr>
        <w:pStyle w:val="Bibliography"/>
      </w:pPr>
      <w:bookmarkStart w:id="63" w:name="ref-russell2007"/>
      <w:bookmarkEnd w:id="62"/>
      <w:r>
        <w:t xml:space="preserve">Russell, M. J., and P. A. Montagna. 2007. Spatial and temporal variability and drivers of net ecosystem metabolism in western Gulf of Mexico estuaries. Estuaries and Coasts </w:t>
      </w:r>
      <w:r>
        <w:rPr>
          <w:b/>
          <w:bCs/>
        </w:rPr>
        <w:t>30</w:t>
      </w:r>
      <w:r>
        <w:t>: 137–153. doi:</w:t>
      </w:r>
      <w:hyperlink r:id="rId50">
        <w:r>
          <w:rPr>
            <w:rStyle w:val="Hyperlink"/>
          </w:rPr>
          <w:t>10.1007/bf02782974</w:t>
        </w:r>
      </w:hyperlink>
    </w:p>
    <w:p w14:paraId="048BAA43" w14:textId="77777777" w:rsidR="00853DDB" w:rsidRDefault="00000000">
      <w:pPr>
        <w:pStyle w:val="Bibliography"/>
      </w:pPr>
      <w:bookmarkStart w:id="64" w:name="ref-sarmiento2013"/>
      <w:bookmarkEnd w:id="63"/>
      <w:r>
        <w:t xml:space="preserve">Sarmiento, J. L., and N. Gruber. 2013. </w:t>
      </w:r>
      <w:hyperlink r:id="rId51">
        <w:r>
          <w:rPr>
            <w:rStyle w:val="Hyperlink"/>
          </w:rPr>
          <w:t>Oceanic carbon cycle, atmospheric CO2, and climate</w:t>
        </w:r>
      </w:hyperlink>
      <w:r>
        <w:t xml:space="preserve">, </w:t>
      </w:r>
      <w:r>
        <w:rPr>
          <w:i/>
          <w:iCs/>
        </w:rPr>
        <w:t>In</w:t>
      </w:r>
      <w:r>
        <w:t xml:space="preserve"> J.L. Sarmiento [ed.], Ocean biogeochemical dynamics. Princeton University Press.</w:t>
      </w:r>
    </w:p>
    <w:p w14:paraId="7D0F8236" w14:textId="77777777" w:rsidR="00853DDB" w:rsidRDefault="00000000">
      <w:pPr>
        <w:pStyle w:val="Bibliography"/>
      </w:pPr>
      <w:bookmarkStart w:id="65" w:name="ref-schubel1984"/>
      <w:bookmarkEnd w:id="64"/>
      <w:r>
        <w:t xml:space="preserve">Schubel, J. R., and V. S. Kennedy. 1984. </w:t>
      </w:r>
      <w:hyperlink r:id="rId52">
        <w:r>
          <w:rPr>
            <w:rStyle w:val="Hyperlink"/>
          </w:rPr>
          <w:t>The estuary as a filter: An introduction</w:t>
        </w:r>
      </w:hyperlink>
      <w:r>
        <w:t xml:space="preserve">, p. 1–11. </w:t>
      </w:r>
      <w:r>
        <w:rPr>
          <w:i/>
          <w:iCs/>
        </w:rPr>
        <w:t>In</w:t>
      </w:r>
      <w:r>
        <w:t xml:space="preserve"> V.S. Kennedy [ed.], The estuary as a filter. Elsevier.</w:t>
      </w:r>
    </w:p>
    <w:p w14:paraId="57034275" w14:textId="77777777" w:rsidR="00853DDB" w:rsidRDefault="00000000">
      <w:pPr>
        <w:pStyle w:val="Bibliography"/>
      </w:pPr>
      <w:bookmarkStart w:id="66" w:name="ref-staehr2011"/>
      <w:bookmarkEnd w:id="65"/>
      <w:r>
        <w:t xml:space="preserve">Staehr, P. A., J. M. Testa, W. M. Kemp, J. J. Cole, K. Sand-Jensen, and S. V. Smith. 2011. The metabolism of aquatic ecosystems: history, applications, and future challenges. Aquatic Sciences </w:t>
      </w:r>
      <w:r>
        <w:rPr>
          <w:b/>
          <w:bCs/>
        </w:rPr>
        <w:t>74</w:t>
      </w:r>
      <w:r>
        <w:t>: 15–29. doi:</w:t>
      </w:r>
      <w:hyperlink r:id="rId53">
        <w:r>
          <w:rPr>
            <w:rStyle w:val="Hyperlink"/>
          </w:rPr>
          <w:t>10.1007/s00027-011-0199-2</w:t>
        </w:r>
      </w:hyperlink>
    </w:p>
    <w:p w14:paraId="331971A0" w14:textId="77777777" w:rsidR="00853DDB" w:rsidRDefault="00000000">
      <w:pPr>
        <w:pStyle w:val="Bibliography"/>
      </w:pPr>
      <w:bookmarkStart w:id="67" w:name="ref-tassone2019"/>
      <w:bookmarkEnd w:id="66"/>
      <w:r>
        <w:lastRenderedPageBreak/>
        <w:t xml:space="preserve">Tassone, S. J., and P. A. </w:t>
      </w:r>
      <w:proofErr w:type="spellStart"/>
      <w:r>
        <w:t>Bukaveckas</w:t>
      </w:r>
      <w:proofErr w:type="spellEnd"/>
      <w:r>
        <w:t xml:space="preserve">. 2019. Seasonal, interannual, and longitudinal patterns in estuarine metabolism derived from diel oxygen data using multiple computational approaches. Estuaries and Coasts </w:t>
      </w:r>
      <w:r>
        <w:rPr>
          <w:b/>
          <w:bCs/>
        </w:rPr>
        <w:t>42</w:t>
      </w:r>
      <w:r>
        <w:t>: 1032–1051. doi:</w:t>
      </w:r>
      <w:hyperlink r:id="rId54">
        <w:r>
          <w:rPr>
            <w:rStyle w:val="Hyperlink"/>
          </w:rPr>
          <w:t>10.1007/s12237-019-00526-0</w:t>
        </w:r>
      </w:hyperlink>
    </w:p>
    <w:p w14:paraId="7228C8E9" w14:textId="77777777" w:rsidR="00853DDB" w:rsidRDefault="00000000">
      <w:pPr>
        <w:pStyle w:val="Bibliography"/>
      </w:pPr>
      <w:bookmarkStart w:id="68" w:name="ref-Thebault08"/>
      <w:bookmarkEnd w:id="67"/>
      <w:r>
        <w:t xml:space="preserve">Thébault, J., T. S. </w:t>
      </w:r>
      <w:proofErr w:type="spellStart"/>
      <w:r>
        <w:t>Schraga</w:t>
      </w:r>
      <w:proofErr w:type="spellEnd"/>
      <w:r>
        <w:t xml:space="preserve">, J. E. </w:t>
      </w:r>
      <w:proofErr w:type="spellStart"/>
      <w:r>
        <w:t>Cloern</w:t>
      </w:r>
      <w:proofErr w:type="spellEnd"/>
      <w:r>
        <w:t xml:space="preserve">, and E. G. Dunlavey. 2008. Primary production and carrying capacity of former salt ponds after reconnection to San Francisco Bay. Wetlands </w:t>
      </w:r>
      <w:r>
        <w:rPr>
          <w:b/>
          <w:bCs/>
        </w:rPr>
        <w:t>28</w:t>
      </w:r>
      <w:r>
        <w:t>: 841–851. doi:</w:t>
      </w:r>
      <w:hyperlink r:id="rId55">
        <w:r>
          <w:rPr>
            <w:rStyle w:val="Hyperlink"/>
          </w:rPr>
          <w:t>10.1672/07-190.1</w:t>
        </w:r>
      </w:hyperlink>
    </w:p>
    <w:p w14:paraId="21B07EEB" w14:textId="77777777" w:rsidR="00853DDB" w:rsidRDefault="00000000">
      <w:pPr>
        <w:pStyle w:val="Bibliography"/>
      </w:pPr>
      <w:bookmarkStart w:id="69" w:name="ref-Wanninkhof14"/>
      <w:bookmarkEnd w:id="68"/>
      <w:proofErr w:type="spellStart"/>
      <w:r>
        <w:t>Wanninkhof</w:t>
      </w:r>
      <w:proofErr w:type="spellEnd"/>
      <w:r>
        <w:t xml:space="preserve">, R. 2014. Relationship between wind speed and gas exchange over the ocean revisited. Limnology and Oceanography: Methods </w:t>
      </w:r>
      <w:r>
        <w:rPr>
          <w:b/>
          <w:bCs/>
        </w:rPr>
        <w:t>12</w:t>
      </w:r>
      <w:r>
        <w:t>: 351–362. doi:</w:t>
      </w:r>
      <w:hyperlink r:id="rId56">
        <w:r>
          <w:rPr>
            <w:rStyle w:val="Hyperlink"/>
          </w:rPr>
          <w:t>10.4319/lom.2014.12.351</w:t>
        </w:r>
      </w:hyperlink>
    </w:p>
    <w:p w14:paraId="0B01C2FC" w14:textId="77777777" w:rsidR="00853DDB" w:rsidRDefault="00000000">
      <w:pPr>
        <w:pStyle w:val="Bibliography"/>
      </w:pPr>
      <w:bookmarkStart w:id="70" w:name="ref-winslow2016"/>
      <w:bookmarkEnd w:id="69"/>
      <w:r>
        <w:t xml:space="preserve">Winslow, L. A., J. A. Zwart, R. D. Batt, H. A. Dugan, R. I. </w:t>
      </w:r>
      <w:proofErr w:type="spellStart"/>
      <w:r>
        <w:t>Woolway</w:t>
      </w:r>
      <w:proofErr w:type="spellEnd"/>
      <w:r>
        <w:t xml:space="preserve">, J. R. Corman, P. C. Hanson, and J. S. Read. 2016. </w:t>
      </w:r>
      <w:proofErr w:type="spellStart"/>
      <w:r>
        <w:t>LakeMetabolizer</w:t>
      </w:r>
      <w:proofErr w:type="spellEnd"/>
      <w:r>
        <w:t xml:space="preserve">: an R package for estimating lake metabolism from free-water oxygen using diverse statistical models. Inland Waters </w:t>
      </w:r>
      <w:r>
        <w:rPr>
          <w:b/>
          <w:bCs/>
        </w:rPr>
        <w:t>6</w:t>
      </w:r>
      <w:r>
        <w:t>: 622–636. doi:</w:t>
      </w:r>
      <w:hyperlink r:id="rId57">
        <w:r>
          <w:rPr>
            <w:rStyle w:val="Hyperlink"/>
          </w:rPr>
          <w:t>10.1080/iw-6.4.883</w:t>
        </w:r>
      </w:hyperlink>
    </w:p>
    <w:p w14:paraId="5DA1E735" w14:textId="77777777" w:rsidR="00853DDB" w:rsidRDefault="00000000">
      <w:pPr>
        <w:pStyle w:val="Bibliography"/>
      </w:pPr>
      <w:bookmarkStart w:id="71" w:name="ref-yvon-durocher2012"/>
      <w:bookmarkEnd w:id="70"/>
      <w:r>
        <w:t xml:space="preserve">Yvon-Durocher, G., J. M. Caffrey, A. </w:t>
      </w:r>
      <w:proofErr w:type="spellStart"/>
      <w:r>
        <w:t>Cescatti</w:t>
      </w:r>
      <w:proofErr w:type="spellEnd"/>
      <w:r>
        <w:t xml:space="preserve">, and others. 2012. Reconciling the temperature dependence of respiration across timescales and ecosystem types. Nature </w:t>
      </w:r>
      <w:r>
        <w:rPr>
          <w:b/>
          <w:bCs/>
        </w:rPr>
        <w:t>487</w:t>
      </w:r>
      <w:r>
        <w:t>: 472–476. doi:</w:t>
      </w:r>
      <w:hyperlink r:id="rId58">
        <w:r>
          <w:rPr>
            <w:rStyle w:val="Hyperlink"/>
          </w:rPr>
          <w:t>10.1038/nature11205</w:t>
        </w:r>
      </w:hyperlink>
    </w:p>
    <w:p w14:paraId="272FB5CC" w14:textId="77777777" w:rsidR="00853DDB" w:rsidRDefault="00000000">
      <w:pPr>
        <w:pStyle w:val="Heading2"/>
      </w:pPr>
      <w:bookmarkStart w:id="72" w:name="acknowledgments"/>
      <w:bookmarkEnd w:id="20"/>
      <w:bookmarkEnd w:id="22"/>
      <w:bookmarkEnd w:id="71"/>
      <w:r>
        <w:t>Acknowledgments</w:t>
      </w:r>
    </w:p>
    <w:p w14:paraId="6C5E08E8" w14:textId="77777777" w:rsidR="00853DDB" w:rsidRDefault="00000000">
      <w:pPr>
        <w:pStyle w:val="FirstParagraph"/>
      </w:pPr>
      <w:r>
        <w:t xml:space="preserve">We thank Jason Garwood and Ethan Borque of the Apalachicola National Estuarine Research Reserve for assisting with the deployment and processing of data used herein. We also thank Wade McGillis for assisting in this effort. We thank Darren </w:t>
      </w:r>
      <w:proofErr w:type="spellStart"/>
      <w:r>
        <w:t>Giling</w:t>
      </w:r>
      <w:proofErr w:type="spellEnd"/>
      <w:r>
        <w:t xml:space="preserve"> for initial conversations on applying BASE to estuarine data. We thank three anonymous reviewers that provided helpful feedback that improved the manuscript. This research was funded by award 1924559 from the National Science Foundation to co-PIs Raymond Najjar, Maria Herrmann, and Kathleen Hill.</w:t>
      </w:r>
    </w:p>
    <w:p w14:paraId="6E889627" w14:textId="77777777" w:rsidR="00853DDB" w:rsidRDefault="00000000">
      <w:r>
        <w:br w:type="page"/>
      </w:r>
    </w:p>
    <w:p w14:paraId="08F54956" w14:textId="77777777" w:rsidR="00853DDB" w:rsidRDefault="00000000">
      <w:pPr>
        <w:pStyle w:val="Heading2"/>
      </w:pPr>
      <w:bookmarkStart w:id="73" w:name="figure-legends"/>
      <w:bookmarkEnd w:id="72"/>
      <w:r>
        <w:lastRenderedPageBreak/>
        <w:t>Figure Legends</w:t>
      </w:r>
    </w:p>
    <w:tbl>
      <w:tblPr>
        <w:tblW w:w="5000" w:type="pct"/>
        <w:tblLayout w:type="fixed"/>
        <w:tblLook w:val="0000" w:firstRow="0" w:lastRow="0" w:firstColumn="0" w:lastColumn="0" w:noHBand="0" w:noVBand="0"/>
      </w:tblPr>
      <w:tblGrid>
        <w:gridCol w:w="9576"/>
      </w:tblGrid>
      <w:tr w:rsidR="00853DDB" w14:paraId="03270A12" w14:textId="77777777">
        <w:tc>
          <w:tcPr>
            <w:tcW w:w="7920" w:type="dxa"/>
          </w:tcPr>
          <w:p w14:paraId="5741675C" w14:textId="77777777" w:rsidR="00853DDB" w:rsidRDefault="00000000">
            <w:pPr>
              <w:pStyle w:val="ImageCaption"/>
              <w:spacing w:before="200"/>
            </w:pPr>
            <w:bookmarkStart w:id="74"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4"/>
      </w:tr>
    </w:tbl>
    <w:p w14:paraId="0BB9F942" w14:textId="60C05CCF" w:rsidR="00853DDB" w:rsidRDefault="00853DDB"/>
    <w:tbl>
      <w:tblPr>
        <w:tblW w:w="5000" w:type="pct"/>
        <w:tblLayout w:type="fixed"/>
        <w:tblLook w:val="0000" w:firstRow="0" w:lastRow="0" w:firstColumn="0" w:lastColumn="0" w:noHBand="0" w:noVBand="0"/>
      </w:tblPr>
      <w:tblGrid>
        <w:gridCol w:w="9576"/>
      </w:tblGrid>
      <w:tr w:rsidR="00853DDB" w14:paraId="2C16E818" w14:textId="77777777">
        <w:tc>
          <w:tcPr>
            <w:tcW w:w="7920" w:type="dxa"/>
          </w:tcPr>
          <w:p w14:paraId="159C668D" w14:textId="77777777" w:rsidR="00853DDB" w:rsidRDefault="00000000">
            <w:pPr>
              <w:pStyle w:val="ImageCaption"/>
              <w:spacing w:before="200"/>
            </w:pPr>
            <w:bookmarkStart w:id="75"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5"/>
      </w:tr>
    </w:tbl>
    <w:p w14:paraId="05D2B564" w14:textId="104D8659" w:rsidR="00853DDB" w:rsidRDefault="00853DDB"/>
    <w:tbl>
      <w:tblPr>
        <w:tblW w:w="5000" w:type="pct"/>
        <w:tblLayout w:type="fixed"/>
        <w:tblLook w:val="0000" w:firstRow="0" w:lastRow="0" w:firstColumn="0" w:lastColumn="0" w:noHBand="0" w:noVBand="0"/>
      </w:tblPr>
      <w:tblGrid>
        <w:gridCol w:w="9576"/>
      </w:tblGrid>
      <w:tr w:rsidR="00853DDB" w14:paraId="2955FA67" w14:textId="77777777">
        <w:tc>
          <w:tcPr>
            <w:tcW w:w="7920" w:type="dxa"/>
          </w:tcPr>
          <w:p w14:paraId="3EBB0FB2" w14:textId="77777777" w:rsidR="00853DDB" w:rsidRDefault="00000000">
            <w:pPr>
              <w:pStyle w:val="ImageCaption"/>
              <w:spacing w:before="200"/>
            </w:pPr>
            <w:bookmarkStart w:id="76"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Results are compared for EBASE parameters estimated with a (a) 7 day and (b) </w:t>
            </w:r>
            <w:proofErr w:type="gramStart"/>
            <w:r>
              <w:t>30 day</w:t>
            </w:r>
            <w:proofErr w:type="gramEnd"/>
            <w:r>
              <w:t xml:space="preserve"> optimization period. 95% credible intervals from the posterior distributions of the parameter estimates from EBASE are also shown.</w:t>
            </w:r>
          </w:p>
        </w:tc>
        <w:bookmarkEnd w:id="76"/>
      </w:tr>
    </w:tbl>
    <w:p w14:paraId="627419FB" w14:textId="72E3D942" w:rsidR="00853DDB" w:rsidRDefault="00853DDB"/>
    <w:tbl>
      <w:tblPr>
        <w:tblW w:w="5000" w:type="pct"/>
        <w:tblLayout w:type="fixed"/>
        <w:tblLook w:val="0000" w:firstRow="0" w:lastRow="0" w:firstColumn="0" w:lastColumn="0" w:noHBand="0" w:noVBand="0"/>
      </w:tblPr>
      <w:tblGrid>
        <w:gridCol w:w="9576"/>
      </w:tblGrid>
      <w:tr w:rsidR="00853DDB" w14:paraId="4F120071" w14:textId="77777777">
        <w:tc>
          <w:tcPr>
            <w:tcW w:w="7920" w:type="dxa"/>
          </w:tcPr>
          <w:p w14:paraId="28AEA58E" w14:textId="77777777" w:rsidR="00853DDB" w:rsidRDefault="00000000">
            <w:pPr>
              <w:pStyle w:val="ImageCaption"/>
              <w:spacing w:before="200"/>
            </w:pPr>
            <w:bookmarkStart w:id="77"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7"/>
      </w:tr>
    </w:tbl>
    <w:p w14:paraId="00A7D050" w14:textId="02CD433B" w:rsidR="00853DDB" w:rsidRDefault="00853DDB"/>
    <w:tbl>
      <w:tblPr>
        <w:tblW w:w="5000" w:type="pct"/>
        <w:tblLayout w:type="fixed"/>
        <w:tblLook w:val="0000" w:firstRow="0" w:lastRow="0" w:firstColumn="0" w:lastColumn="0" w:noHBand="0" w:noVBand="0"/>
      </w:tblPr>
      <w:tblGrid>
        <w:gridCol w:w="9576"/>
      </w:tblGrid>
      <w:tr w:rsidR="00853DDB" w14:paraId="78D55797" w14:textId="77777777">
        <w:tc>
          <w:tcPr>
            <w:tcW w:w="7920" w:type="dxa"/>
          </w:tcPr>
          <w:p w14:paraId="34388F11" w14:textId="77777777" w:rsidR="00853DDB" w:rsidRDefault="00000000">
            <w:pPr>
              <w:pStyle w:val="ImageCaption"/>
              <w:spacing w:before="200"/>
            </w:pPr>
            <w:bookmarkStart w:id="78"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8"/>
      </w:tr>
    </w:tbl>
    <w:p w14:paraId="2B8E2295" w14:textId="207E3D9C" w:rsidR="00853DDB" w:rsidRDefault="00853DDB"/>
    <w:tbl>
      <w:tblPr>
        <w:tblW w:w="5000" w:type="pct"/>
        <w:tblLayout w:type="fixed"/>
        <w:tblLook w:val="0000" w:firstRow="0" w:lastRow="0" w:firstColumn="0" w:lastColumn="0" w:noHBand="0" w:noVBand="0"/>
      </w:tblPr>
      <w:tblGrid>
        <w:gridCol w:w="9576"/>
      </w:tblGrid>
      <w:tr w:rsidR="00853DDB" w14:paraId="102904D9" w14:textId="77777777">
        <w:tc>
          <w:tcPr>
            <w:tcW w:w="7920" w:type="dxa"/>
          </w:tcPr>
          <w:p w14:paraId="2F8804B3" w14:textId="77777777" w:rsidR="00853DDB" w:rsidRDefault="00000000">
            <w:pPr>
              <w:pStyle w:val="ImageCaption"/>
              <w:spacing w:before="200"/>
            </w:pPr>
            <w:bookmarkStart w:id="79"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9"/>
      </w:tr>
    </w:tbl>
    <w:p w14:paraId="10ABA6B1" w14:textId="2BFB880E" w:rsidR="00853DDB" w:rsidRDefault="00853DDB"/>
    <w:tbl>
      <w:tblPr>
        <w:tblW w:w="5000" w:type="pct"/>
        <w:tblLayout w:type="fixed"/>
        <w:tblLook w:val="0000" w:firstRow="0" w:lastRow="0" w:firstColumn="0" w:lastColumn="0" w:noHBand="0" w:noVBand="0"/>
      </w:tblPr>
      <w:tblGrid>
        <w:gridCol w:w="9576"/>
      </w:tblGrid>
      <w:tr w:rsidR="00853DDB" w14:paraId="09E6D1F0" w14:textId="77777777">
        <w:tc>
          <w:tcPr>
            <w:tcW w:w="7920" w:type="dxa"/>
          </w:tcPr>
          <w:p w14:paraId="76252419" w14:textId="77777777" w:rsidR="00853DDB" w:rsidRDefault="00000000">
            <w:pPr>
              <w:pStyle w:val="ImageCaption"/>
              <w:spacing w:before="200"/>
            </w:pPr>
            <w:bookmarkStart w:id="80"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w:t>
            </w:r>
            <w:proofErr w:type="gramStart"/>
            <w:r>
              <w:t>series</w:t>
            </w:r>
            <w:proofErr w:type="gramEnd"/>
            <w:r>
              <w:t xml:space="preserve"> and the right plots show a 1:1 comparison for each result. See </w:t>
            </w:r>
            <w:hyperlink w:anchor="fig-synapanos">
              <w:r>
                <w:rPr>
                  <w:rStyle w:val="Hyperlink"/>
                </w:rPr>
                <w:t>Figure 6</w:t>
              </w:r>
            </w:hyperlink>
            <w:r>
              <w:t xml:space="preserve"> for subsets of both dissolved oxygen time series.</w:t>
            </w:r>
          </w:p>
        </w:tc>
        <w:bookmarkEnd w:id="80"/>
      </w:tr>
    </w:tbl>
    <w:p w14:paraId="7710AB97" w14:textId="549A67A2" w:rsidR="00853DDB" w:rsidRDefault="00853DDB"/>
    <w:tbl>
      <w:tblPr>
        <w:tblW w:w="5000" w:type="pct"/>
        <w:tblLayout w:type="fixed"/>
        <w:tblLook w:val="0000" w:firstRow="0" w:lastRow="0" w:firstColumn="0" w:lastColumn="0" w:noHBand="0" w:noVBand="0"/>
      </w:tblPr>
      <w:tblGrid>
        <w:gridCol w:w="9576"/>
      </w:tblGrid>
      <w:tr w:rsidR="00853DDB" w14:paraId="066657DC" w14:textId="77777777">
        <w:tc>
          <w:tcPr>
            <w:tcW w:w="7920" w:type="dxa"/>
          </w:tcPr>
          <w:p w14:paraId="20D42A45" w14:textId="77777777" w:rsidR="00853DDB" w:rsidRDefault="00000000">
            <w:pPr>
              <w:pStyle w:val="ImageCaption"/>
              <w:spacing w:before="200"/>
            </w:pPr>
            <w:bookmarkStart w:id="81"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81"/>
      </w:tr>
    </w:tbl>
    <w:p w14:paraId="1F454EA4" w14:textId="77777777" w:rsidR="00853DDB" w:rsidRDefault="00000000">
      <w:r>
        <w:br w:type="page"/>
      </w:r>
    </w:p>
    <w:p w14:paraId="40E6BA80" w14:textId="77777777" w:rsidR="00853DDB" w:rsidRDefault="00000000">
      <w:pPr>
        <w:pStyle w:val="Heading2"/>
      </w:pPr>
      <w:bookmarkStart w:id="82" w:name="tables"/>
      <w:bookmarkEnd w:id="73"/>
      <w:r>
        <w:lastRenderedPageBreak/>
        <w:t>Tables</w:t>
      </w:r>
    </w:p>
    <w:tbl>
      <w:tblPr>
        <w:tblW w:w="5000" w:type="pct"/>
        <w:tblLayout w:type="fixed"/>
        <w:tblLook w:val="0000" w:firstRow="0" w:lastRow="0" w:firstColumn="0" w:lastColumn="0" w:noHBand="0" w:noVBand="0"/>
      </w:tblPr>
      <w:tblGrid>
        <w:gridCol w:w="9576"/>
      </w:tblGrid>
      <w:tr w:rsidR="00853DDB" w14:paraId="270D4311" w14:textId="77777777">
        <w:tc>
          <w:tcPr>
            <w:tcW w:w="7920" w:type="dxa"/>
          </w:tcPr>
          <w:p w14:paraId="6E8DA0EE" w14:textId="77777777" w:rsidR="00853DDB" w:rsidRDefault="00000000">
            <w:pPr>
              <w:pStyle w:val="ImageCaption"/>
              <w:spacing w:before="200"/>
            </w:pPr>
            <w:bookmarkStart w:id="83" w:name="tbl-ebaseiotab"/>
            <w:r>
              <w:t>Table 1: EBASE model parameters showing the required input, parameters derived from the model input, and model output.</w:t>
            </w:r>
          </w:p>
          <w:tbl>
            <w:tblPr>
              <w:tblW w:w="5000" w:type="pct"/>
              <w:tblLayout w:type="fixed"/>
              <w:tblLook w:val="0020" w:firstRow="1" w:lastRow="0" w:firstColumn="0" w:lastColumn="0" w:noHBand="0" w:noVBand="0"/>
            </w:tblPr>
            <w:tblGrid>
              <w:gridCol w:w="984"/>
              <w:gridCol w:w="4596"/>
              <w:gridCol w:w="1080"/>
              <w:gridCol w:w="2700"/>
            </w:tblGrid>
            <w:tr w:rsidR="00853DDB" w14:paraId="1BB31B77" w14:textId="77777777" w:rsidTr="007975C6">
              <w:trPr>
                <w:tblHeader/>
              </w:trPr>
              <w:tc>
                <w:tcPr>
                  <w:tcW w:w="984" w:type="dxa"/>
                  <w:tcBorders>
                    <w:top w:val="single" w:sz="4" w:space="0" w:color="auto"/>
                    <w:bottom w:val="single" w:sz="4" w:space="0" w:color="auto"/>
                  </w:tcBorders>
                </w:tcPr>
                <w:p w14:paraId="4A63C1E5" w14:textId="77777777" w:rsidR="00853DDB" w:rsidRDefault="00000000">
                  <w:pPr>
                    <w:pStyle w:val="Compact"/>
                    <w:jc w:val="center"/>
                  </w:pPr>
                  <w:r>
                    <w:t>Type</w:t>
                  </w:r>
                </w:p>
              </w:tc>
              <w:tc>
                <w:tcPr>
                  <w:tcW w:w="4596" w:type="dxa"/>
                  <w:tcBorders>
                    <w:top w:val="single" w:sz="4" w:space="0" w:color="auto"/>
                    <w:bottom w:val="single" w:sz="4" w:space="0" w:color="auto"/>
                  </w:tcBorders>
                </w:tcPr>
                <w:p w14:paraId="70125CB5" w14:textId="77777777" w:rsidR="00853DDB" w:rsidRDefault="00000000">
                  <w:pPr>
                    <w:pStyle w:val="Compact"/>
                    <w:jc w:val="center"/>
                  </w:pPr>
                  <w:r>
                    <w:t>Description</w:t>
                  </w:r>
                </w:p>
              </w:tc>
              <w:tc>
                <w:tcPr>
                  <w:tcW w:w="1080" w:type="dxa"/>
                  <w:tcBorders>
                    <w:top w:val="single" w:sz="4" w:space="0" w:color="auto"/>
                    <w:bottom w:val="single" w:sz="4" w:space="0" w:color="auto"/>
                  </w:tcBorders>
                </w:tcPr>
                <w:p w14:paraId="0B7B88E3" w14:textId="77777777" w:rsidR="00853DDB" w:rsidRDefault="00000000">
                  <w:pPr>
                    <w:pStyle w:val="Compact"/>
                    <w:jc w:val="center"/>
                  </w:pPr>
                  <w:r>
                    <w:t>Model notation</w:t>
                  </w:r>
                </w:p>
              </w:tc>
              <w:tc>
                <w:tcPr>
                  <w:tcW w:w="2700" w:type="dxa"/>
                  <w:tcBorders>
                    <w:top w:val="single" w:sz="4" w:space="0" w:color="auto"/>
                    <w:bottom w:val="single" w:sz="4" w:space="0" w:color="auto"/>
                  </w:tcBorders>
                </w:tcPr>
                <w:p w14:paraId="1D3F2D21" w14:textId="77777777" w:rsidR="00853DDB" w:rsidRDefault="00000000">
                  <w:pPr>
                    <w:pStyle w:val="Compact"/>
                    <w:jc w:val="center"/>
                  </w:pPr>
                  <w:r>
                    <w:t>Units</w:t>
                  </w:r>
                </w:p>
              </w:tc>
            </w:tr>
            <w:tr w:rsidR="007975C6" w14:paraId="136A11F8" w14:textId="77777777" w:rsidTr="007975C6">
              <w:tc>
                <w:tcPr>
                  <w:tcW w:w="984" w:type="dxa"/>
                  <w:vMerge w:val="restart"/>
                  <w:tcBorders>
                    <w:top w:val="single" w:sz="4" w:space="0" w:color="auto"/>
                  </w:tcBorders>
                  <w:vAlign w:val="center"/>
                </w:tcPr>
                <w:p w14:paraId="41315ADA" w14:textId="77777777" w:rsidR="007975C6" w:rsidRDefault="007975C6" w:rsidP="007975C6">
                  <w:pPr>
                    <w:pStyle w:val="Compact"/>
                    <w:jc w:val="center"/>
                  </w:pPr>
                  <w:r>
                    <w:t>Input</w:t>
                  </w:r>
                </w:p>
              </w:tc>
              <w:tc>
                <w:tcPr>
                  <w:tcW w:w="4596" w:type="dxa"/>
                  <w:tcBorders>
                    <w:top w:val="single" w:sz="4" w:space="0" w:color="auto"/>
                  </w:tcBorders>
                </w:tcPr>
                <w:p w14:paraId="1D7746FF" w14:textId="77777777" w:rsidR="007975C6" w:rsidRDefault="007975C6">
                  <w:pPr>
                    <w:pStyle w:val="Compact"/>
                    <w:jc w:val="center"/>
                  </w:pPr>
                  <w:r>
                    <w:t>Dissolved oxygen (observed)</w:t>
                  </w:r>
                </w:p>
              </w:tc>
              <w:tc>
                <w:tcPr>
                  <w:tcW w:w="1080" w:type="dxa"/>
                  <w:tcBorders>
                    <w:top w:val="single" w:sz="4" w:space="0" w:color="auto"/>
                  </w:tcBorders>
                </w:tcPr>
                <w:p w14:paraId="03EB6A66" w14:textId="77777777" w:rsidR="007975C6" w:rsidRDefault="007975C6">
                  <w:pPr>
                    <w:pStyle w:val="Compact"/>
                    <w:jc w:val="center"/>
                  </w:pPr>
                  <w:r>
                    <w:t>C</w:t>
                  </w:r>
                </w:p>
              </w:tc>
              <w:tc>
                <w:tcPr>
                  <w:tcW w:w="2700" w:type="dxa"/>
                  <w:tcBorders>
                    <w:top w:val="single" w:sz="4" w:space="0" w:color="auto"/>
                  </w:tcBorders>
                </w:tcPr>
                <w:p w14:paraId="795D82A6"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1810365" w14:textId="77777777" w:rsidTr="007975C6">
              <w:tc>
                <w:tcPr>
                  <w:tcW w:w="984" w:type="dxa"/>
                  <w:vMerge/>
                </w:tcPr>
                <w:p w14:paraId="67400DB7" w14:textId="77777777" w:rsidR="007975C6" w:rsidRDefault="007975C6">
                  <w:pPr>
                    <w:pStyle w:val="Compact"/>
                  </w:pPr>
                </w:p>
              </w:tc>
              <w:tc>
                <w:tcPr>
                  <w:tcW w:w="4596" w:type="dxa"/>
                </w:tcPr>
                <w:p w14:paraId="1F5B0F48" w14:textId="77777777" w:rsidR="007975C6" w:rsidRDefault="007975C6">
                  <w:pPr>
                    <w:pStyle w:val="Compact"/>
                    <w:jc w:val="center"/>
                  </w:pPr>
                  <w:r>
                    <w:t>Water temperature</w:t>
                  </w:r>
                </w:p>
              </w:tc>
              <w:tc>
                <w:tcPr>
                  <w:tcW w:w="1080" w:type="dxa"/>
                </w:tcPr>
                <w:p w14:paraId="036602EB" w14:textId="77777777" w:rsidR="007975C6" w:rsidRDefault="007975C6">
                  <w:pPr>
                    <w:pStyle w:val="Compact"/>
                    <w:jc w:val="center"/>
                  </w:pPr>
                  <w:r>
                    <w:t>-</w:t>
                  </w:r>
                </w:p>
              </w:tc>
              <w:tc>
                <w:tcPr>
                  <w:tcW w:w="2700" w:type="dxa"/>
                </w:tcPr>
                <w:p w14:paraId="7B8AA8F7" w14:textId="77777777" w:rsidR="007975C6" w:rsidRDefault="00000000">
                  <w:pPr>
                    <w:pStyle w:val="Compact"/>
                    <w:jc w:val="cente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7975C6">
                    <w:t>C</w:t>
                  </w:r>
                </w:p>
              </w:tc>
            </w:tr>
            <w:tr w:rsidR="007975C6" w14:paraId="6B209173" w14:textId="77777777" w:rsidTr="007975C6">
              <w:tc>
                <w:tcPr>
                  <w:tcW w:w="984" w:type="dxa"/>
                  <w:vMerge/>
                </w:tcPr>
                <w:p w14:paraId="1D6BF051" w14:textId="77777777" w:rsidR="007975C6" w:rsidRDefault="007975C6">
                  <w:pPr>
                    <w:pStyle w:val="Compact"/>
                  </w:pPr>
                </w:p>
              </w:tc>
              <w:tc>
                <w:tcPr>
                  <w:tcW w:w="4596" w:type="dxa"/>
                </w:tcPr>
                <w:p w14:paraId="50EF16DC" w14:textId="77777777" w:rsidR="007975C6" w:rsidRDefault="007975C6">
                  <w:pPr>
                    <w:pStyle w:val="Compact"/>
                    <w:jc w:val="center"/>
                  </w:pPr>
                  <w:r>
                    <w:t>Salinity</w:t>
                  </w:r>
                </w:p>
              </w:tc>
              <w:tc>
                <w:tcPr>
                  <w:tcW w:w="1080" w:type="dxa"/>
                </w:tcPr>
                <w:p w14:paraId="7F4CE20A" w14:textId="77777777" w:rsidR="007975C6" w:rsidRDefault="007975C6">
                  <w:pPr>
                    <w:pStyle w:val="Compact"/>
                    <w:jc w:val="center"/>
                  </w:pPr>
                  <w:r>
                    <w:t>-</w:t>
                  </w:r>
                </w:p>
              </w:tc>
              <w:tc>
                <w:tcPr>
                  <w:tcW w:w="2700" w:type="dxa"/>
                </w:tcPr>
                <w:p w14:paraId="43889DF5" w14:textId="77777777" w:rsidR="007975C6" w:rsidRDefault="007975C6">
                  <w:pPr>
                    <w:pStyle w:val="Compact"/>
                    <w:jc w:val="center"/>
                  </w:pPr>
                  <w:proofErr w:type="spellStart"/>
                  <w:r>
                    <w:t>psu</w:t>
                  </w:r>
                  <w:proofErr w:type="spellEnd"/>
                </w:p>
              </w:tc>
            </w:tr>
            <w:tr w:rsidR="007975C6" w14:paraId="3E305CDC" w14:textId="77777777" w:rsidTr="007975C6">
              <w:tc>
                <w:tcPr>
                  <w:tcW w:w="984" w:type="dxa"/>
                  <w:vMerge/>
                </w:tcPr>
                <w:p w14:paraId="5B78D3A0" w14:textId="77777777" w:rsidR="007975C6" w:rsidRDefault="007975C6">
                  <w:pPr>
                    <w:pStyle w:val="Compact"/>
                  </w:pPr>
                </w:p>
              </w:tc>
              <w:tc>
                <w:tcPr>
                  <w:tcW w:w="4596" w:type="dxa"/>
                </w:tcPr>
                <w:p w14:paraId="455B7BDD" w14:textId="77777777" w:rsidR="007975C6" w:rsidRDefault="007975C6">
                  <w:pPr>
                    <w:pStyle w:val="Compact"/>
                    <w:jc w:val="center"/>
                  </w:pPr>
                  <w:r>
                    <w:t>Total photosynthetically active radiation</w:t>
                  </w:r>
                </w:p>
              </w:tc>
              <w:tc>
                <w:tcPr>
                  <w:tcW w:w="1080" w:type="dxa"/>
                </w:tcPr>
                <w:p w14:paraId="61ABA5D9" w14:textId="77777777" w:rsidR="007975C6" w:rsidRDefault="007975C6">
                  <w:pPr>
                    <w:pStyle w:val="Compact"/>
                    <w:jc w:val="center"/>
                  </w:pPr>
                  <w:r>
                    <w:t>PAR</w:t>
                  </w:r>
                </w:p>
              </w:tc>
              <w:tc>
                <w:tcPr>
                  <w:tcW w:w="2700" w:type="dxa"/>
                </w:tcPr>
                <w:p w14:paraId="11066A80" w14:textId="77777777" w:rsidR="007975C6" w:rsidRDefault="007975C6">
                  <w:pPr>
                    <w:pStyle w:val="Compact"/>
                    <w:jc w:val="center"/>
                  </w:pPr>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09902736" w14:textId="77777777" w:rsidTr="007975C6">
              <w:tc>
                <w:tcPr>
                  <w:tcW w:w="984" w:type="dxa"/>
                  <w:vMerge/>
                </w:tcPr>
                <w:p w14:paraId="60672BC7" w14:textId="77777777" w:rsidR="007975C6" w:rsidRDefault="007975C6">
                  <w:pPr>
                    <w:pStyle w:val="Compact"/>
                  </w:pPr>
                </w:p>
              </w:tc>
              <w:tc>
                <w:tcPr>
                  <w:tcW w:w="4596" w:type="dxa"/>
                </w:tcPr>
                <w:p w14:paraId="7107528C" w14:textId="77777777" w:rsidR="007975C6" w:rsidRDefault="007975C6">
                  <w:pPr>
                    <w:pStyle w:val="Compact"/>
                    <w:jc w:val="center"/>
                  </w:pPr>
                  <w:r>
                    <w:t>Wind speed</w:t>
                  </w:r>
                </w:p>
              </w:tc>
              <w:tc>
                <w:tcPr>
                  <w:tcW w:w="1080" w:type="dxa"/>
                </w:tcPr>
                <w:p w14:paraId="40F6BC38" w14:textId="77777777" w:rsidR="007975C6" w:rsidRDefault="007975C6">
                  <w:pPr>
                    <w:pStyle w:val="Compact"/>
                    <w:jc w:val="center"/>
                  </w:pPr>
                  <w:r>
                    <w:t>-</w:t>
                  </w:r>
                </w:p>
              </w:tc>
              <w:tc>
                <w:tcPr>
                  <w:tcW w:w="2700" w:type="dxa"/>
                </w:tcPr>
                <w:p w14:paraId="549F97D2" w14:textId="77777777" w:rsidR="007975C6" w:rsidRDefault="007975C6">
                  <w:pPr>
                    <w:pStyle w:val="Compact"/>
                    <w:jc w:val="center"/>
                  </w:pPr>
                  <w:r>
                    <w:t>m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2B6626BB" w14:textId="77777777" w:rsidTr="007975C6">
              <w:tc>
                <w:tcPr>
                  <w:tcW w:w="984" w:type="dxa"/>
                  <w:vMerge/>
                  <w:tcBorders>
                    <w:bottom w:val="single" w:sz="4" w:space="0" w:color="auto"/>
                  </w:tcBorders>
                </w:tcPr>
                <w:p w14:paraId="7A3D06E0" w14:textId="77777777" w:rsidR="007975C6" w:rsidRDefault="007975C6">
                  <w:pPr>
                    <w:pStyle w:val="Compact"/>
                  </w:pPr>
                </w:p>
              </w:tc>
              <w:tc>
                <w:tcPr>
                  <w:tcW w:w="4596" w:type="dxa"/>
                  <w:tcBorders>
                    <w:bottom w:val="single" w:sz="4" w:space="0" w:color="auto"/>
                  </w:tcBorders>
                </w:tcPr>
                <w:p w14:paraId="123DAB6D" w14:textId="77777777" w:rsidR="007975C6" w:rsidRDefault="007975C6">
                  <w:pPr>
                    <w:pStyle w:val="Compact"/>
                    <w:jc w:val="center"/>
                  </w:pPr>
                  <w:r>
                    <w:t>Water column depth (mean or tidal height vector)</w:t>
                  </w:r>
                </w:p>
              </w:tc>
              <w:tc>
                <w:tcPr>
                  <w:tcW w:w="1080" w:type="dxa"/>
                  <w:tcBorders>
                    <w:bottom w:val="single" w:sz="4" w:space="0" w:color="auto"/>
                  </w:tcBorders>
                </w:tcPr>
                <w:p w14:paraId="62E62560" w14:textId="77777777" w:rsidR="007975C6" w:rsidRDefault="007975C6">
                  <w:pPr>
                    <w:pStyle w:val="Compact"/>
                    <w:jc w:val="center"/>
                  </w:pPr>
                  <w:r>
                    <w:t>Z</w:t>
                  </w:r>
                </w:p>
              </w:tc>
              <w:tc>
                <w:tcPr>
                  <w:tcW w:w="2700" w:type="dxa"/>
                  <w:tcBorders>
                    <w:bottom w:val="single" w:sz="4" w:space="0" w:color="auto"/>
                  </w:tcBorders>
                </w:tcPr>
                <w:p w14:paraId="3234B73B" w14:textId="77777777" w:rsidR="007975C6" w:rsidRDefault="007975C6">
                  <w:pPr>
                    <w:pStyle w:val="Compact"/>
                    <w:jc w:val="center"/>
                  </w:pPr>
                  <w:r>
                    <w:t>m</w:t>
                  </w:r>
                </w:p>
              </w:tc>
            </w:tr>
            <w:tr w:rsidR="007975C6" w14:paraId="037B02BD" w14:textId="77777777" w:rsidTr="007975C6">
              <w:tc>
                <w:tcPr>
                  <w:tcW w:w="984" w:type="dxa"/>
                  <w:vMerge w:val="restart"/>
                  <w:tcBorders>
                    <w:top w:val="single" w:sz="4" w:space="0" w:color="auto"/>
                  </w:tcBorders>
                  <w:vAlign w:val="center"/>
                </w:tcPr>
                <w:p w14:paraId="08E894AD" w14:textId="77777777" w:rsidR="007975C6" w:rsidRDefault="007975C6" w:rsidP="007975C6">
                  <w:pPr>
                    <w:pStyle w:val="Compact"/>
                    <w:jc w:val="center"/>
                  </w:pPr>
                  <w:r>
                    <w:t>Input-derived</w:t>
                  </w:r>
                </w:p>
              </w:tc>
              <w:tc>
                <w:tcPr>
                  <w:tcW w:w="4596" w:type="dxa"/>
                  <w:tcBorders>
                    <w:top w:val="single" w:sz="4" w:space="0" w:color="auto"/>
                  </w:tcBorders>
                </w:tcPr>
                <w:p w14:paraId="5D9C61ED" w14:textId="77777777" w:rsidR="007975C6" w:rsidRDefault="007975C6">
                  <w:pPr>
                    <w:pStyle w:val="Compact"/>
                    <w:jc w:val="center"/>
                  </w:pPr>
                  <w:r>
                    <w:t xml:space="preserve">Wind speed at </w:t>
                  </w:r>
                  <w:proofErr w:type="gramStart"/>
                  <w:r>
                    <w:t>10 meter</w:t>
                  </w:r>
                  <w:proofErr w:type="gramEnd"/>
                  <w:r>
                    <w:t xml:space="preserve"> height, squared</w:t>
                  </w:r>
                </w:p>
              </w:tc>
              <w:tc>
                <w:tcPr>
                  <w:tcW w:w="1080" w:type="dxa"/>
                  <w:tcBorders>
                    <w:top w:val="single" w:sz="4" w:space="0" w:color="auto"/>
                  </w:tcBorders>
                </w:tcPr>
                <w:p w14:paraId="536599F6" w14:textId="77777777" w:rsidR="007975C6" w:rsidRDefault="007975C6">
                  <w:pPr>
                    <w:pStyle w:val="Compact"/>
                    <w:jc w:val="center"/>
                  </w:pPr>
                  <w:r>
                    <w:t>U</w:t>
                  </w:r>
                  <m:oMath>
                    <m:sSubSup>
                      <m:sSubSupPr>
                        <m:ctrlPr>
                          <w:rPr>
                            <w:rFonts w:ascii="Cambria Math" w:hAnsi="Cambria Math"/>
                          </w:rPr>
                        </m:ctrlPr>
                      </m:sSubSupPr>
                      <m:e>
                        <m:r>
                          <w:rPr>
                            <w:rFonts w:ascii="Cambria Math" w:hAnsi="Cambria Math"/>
                          </w:rPr>
                          <m:t>​</m:t>
                        </m:r>
                      </m:e>
                      <m:sub>
                        <m:r>
                          <w:rPr>
                            <w:rFonts w:ascii="Cambria Math" w:hAnsi="Cambria Math"/>
                          </w:rPr>
                          <m:t>10</m:t>
                        </m:r>
                      </m:sub>
                      <m:sup>
                        <m:r>
                          <w:rPr>
                            <w:rFonts w:ascii="Cambria Math" w:hAnsi="Cambria Math"/>
                          </w:rPr>
                          <m:t>2</m:t>
                        </m:r>
                      </m:sup>
                    </m:sSubSup>
                  </m:oMath>
                </w:p>
              </w:tc>
              <w:tc>
                <w:tcPr>
                  <w:tcW w:w="2700" w:type="dxa"/>
                  <w:tcBorders>
                    <w:top w:val="single" w:sz="4" w:space="0" w:color="auto"/>
                  </w:tcBorders>
                </w:tcPr>
                <w:p w14:paraId="7BD05C8A" w14:textId="77777777" w:rsidR="007975C6" w:rsidRDefault="007975C6">
                  <w:pPr>
                    <w:pStyle w:val="Compact"/>
                    <w:jc w:val="center"/>
                  </w:pPr>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244A2B18" w14:textId="77777777" w:rsidTr="007975C6">
              <w:tc>
                <w:tcPr>
                  <w:tcW w:w="984" w:type="dxa"/>
                  <w:vMerge/>
                </w:tcPr>
                <w:p w14:paraId="2124AFA7" w14:textId="77777777" w:rsidR="007975C6" w:rsidRDefault="007975C6">
                  <w:pPr>
                    <w:pStyle w:val="Compact"/>
                  </w:pPr>
                </w:p>
              </w:tc>
              <w:tc>
                <w:tcPr>
                  <w:tcW w:w="4596" w:type="dxa"/>
                </w:tcPr>
                <w:p w14:paraId="17736CD7" w14:textId="77777777" w:rsidR="007975C6" w:rsidRDefault="007975C6">
                  <w:pPr>
                    <w:pStyle w:val="Compact"/>
                    <w:jc w:val="center"/>
                  </w:pPr>
                  <w:r>
                    <w:t>Schmidt number (from water temperature and salinity)</w:t>
                  </w:r>
                </w:p>
              </w:tc>
              <w:tc>
                <w:tcPr>
                  <w:tcW w:w="1080" w:type="dxa"/>
                </w:tcPr>
                <w:p w14:paraId="42233F69" w14:textId="77777777" w:rsidR="007975C6" w:rsidRDefault="007975C6">
                  <w:pPr>
                    <w:pStyle w:val="Compact"/>
                    <w:jc w:val="center"/>
                  </w:pPr>
                  <w:r>
                    <w:t>Sc</w:t>
                  </w:r>
                </w:p>
              </w:tc>
              <w:tc>
                <w:tcPr>
                  <w:tcW w:w="2700" w:type="dxa"/>
                </w:tcPr>
                <w:p w14:paraId="5D4467AC" w14:textId="77777777" w:rsidR="007975C6" w:rsidRDefault="007975C6">
                  <w:pPr>
                    <w:pStyle w:val="Compact"/>
                    <w:jc w:val="center"/>
                  </w:pPr>
                  <w:r>
                    <w:t>unitless</w:t>
                  </w:r>
                </w:p>
              </w:tc>
            </w:tr>
            <w:tr w:rsidR="007975C6" w14:paraId="0502352E" w14:textId="77777777" w:rsidTr="007975C6">
              <w:tc>
                <w:tcPr>
                  <w:tcW w:w="984" w:type="dxa"/>
                  <w:vMerge/>
                  <w:tcBorders>
                    <w:bottom w:val="single" w:sz="4" w:space="0" w:color="auto"/>
                  </w:tcBorders>
                </w:tcPr>
                <w:p w14:paraId="4C6409FD" w14:textId="77777777" w:rsidR="007975C6" w:rsidRDefault="007975C6">
                  <w:pPr>
                    <w:pStyle w:val="Compact"/>
                  </w:pPr>
                </w:p>
              </w:tc>
              <w:tc>
                <w:tcPr>
                  <w:tcW w:w="4596" w:type="dxa"/>
                  <w:tcBorders>
                    <w:bottom w:val="single" w:sz="4" w:space="0" w:color="auto"/>
                  </w:tcBorders>
                </w:tcPr>
                <w:p w14:paraId="34E019AF" w14:textId="77777777" w:rsidR="007975C6" w:rsidRDefault="007975C6">
                  <w:pPr>
                    <w:pStyle w:val="Compact"/>
                    <w:jc w:val="center"/>
                  </w:pPr>
                  <w:r>
                    <w:t>Dissolved oxygen at saturation (from water temperature and salinity)</w:t>
                  </w:r>
                </w:p>
              </w:tc>
              <w:tc>
                <w:tcPr>
                  <w:tcW w:w="1080" w:type="dxa"/>
                  <w:tcBorders>
                    <w:bottom w:val="single" w:sz="4" w:space="0" w:color="auto"/>
                  </w:tcBorders>
                </w:tcPr>
                <w:p w14:paraId="14462232"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sat</m:t>
                        </m:r>
                      </m:sub>
                    </m:sSub>
                  </m:oMath>
                </w:p>
              </w:tc>
              <w:tc>
                <w:tcPr>
                  <w:tcW w:w="2700" w:type="dxa"/>
                  <w:tcBorders>
                    <w:bottom w:val="single" w:sz="4" w:space="0" w:color="auto"/>
                  </w:tcBorders>
                </w:tcPr>
                <w:p w14:paraId="619AA6E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0318035C" w14:textId="77777777" w:rsidTr="007975C6">
              <w:tc>
                <w:tcPr>
                  <w:tcW w:w="984" w:type="dxa"/>
                  <w:vMerge w:val="restart"/>
                  <w:tcBorders>
                    <w:top w:val="single" w:sz="4" w:space="0" w:color="auto"/>
                  </w:tcBorders>
                  <w:vAlign w:val="center"/>
                </w:tcPr>
                <w:p w14:paraId="40BED4D7" w14:textId="77777777" w:rsidR="007975C6" w:rsidRDefault="007975C6" w:rsidP="007975C6">
                  <w:pPr>
                    <w:pStyle w:val="Compact"/>
                    <w:jc w:val="center"/>
                  </w:pPr>
                  <w:r>
                    <w:t>Output</w:t>
                  </w:r>
                </w:p>
              </w:tc>
              <w:tc>
                <w:tcPr>
                  <w:tcW w:w="4596" w:type="dxa"/>
                  <w:tcBorders>
                    <w:top w:val="single" w:sz="4" w:space="0" w:color="auto"/>
                  </w:tcBorders>
                </w:tcPr>
                <w:p w14:paraId="73F81F9B" w14:textId="77777777" w:rsidR="007975C6" w:rsidRDefault="007975C6">
                  <w:pPr>
                    <w:pStyle w:val="Compact"/>
                    <w:jc w:val="center"/>
                  </w:pPr>
                  <w:r>
                    <w:t>Dissolved oxygen (modelled)</w:t>
                  </w:r>
                </w:p>
              </w:tc>
              <w:tc>
                <w:tcPr>
                  <w:tcW w:w="1080" w:type="dxa"/>
                  <w:tcBorders>
                    <w:top w:val="single" w:sz="4" w:space="0" w:color="auto"/>
                  </w:tcBorders>
                </w:tcPr>
                <w:p w14:paraId="10E185E8"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mod</m:t>
                        </m:r>
                      </m:sub>
                    </m:sSub>
                  </m:oMath>
                </w:p>
              </w:tc>
              <w:tc>
                <w:tcPr>
                  <w:tcW w:w="2700" w:type="dxa"/>
                  <w:tcBorders>
                    <w:top w:val="single" w:sz="4" w:space="0" w:color="auto"/>
                  </w:tcBorders>
                </w:tcPr>
                <w:p w14:paraId="36DACDDA"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F0C4A21" w14:textId="77777777" w:rsidTr="007975C6">
              <w:tc>
                <w:tcPr>
                  <w:tcW w:w="984" w:type="dxa"/>
                  <w:vMerge/>
                </w:tcPr>
                <w:p w14:paraId="4B4587C2" w14:textId="77777777" w:rsidR="007975C6" w:rsidRDefault="007975C6">
                  <w:pPr>
                    <w:pStyle w:val="Compact"/>
                  </w:pPr>
                </w:p>
              </w:tc>
              <w:tc>
                <w:tcPr>
                  <w:tcW w:w="4596" w:type="dxa"/>
                </w:tcPr>
                <w:p w14:paraId="4576052E" w14:textId="77777777" w:rsidR="007975C6" w:rsidRDefault="007975C6">
                  <w:pPr>
                    <w:pStyle w:val="Compact"/>
                    <w:jc w:val="center"/>
                  </w:pPr>
                  <w:r>
                    <w:t>Production</w:t>
                  </w:r>
                </w:p>
              </w:tc>
              <w:tc>
                <w:tcPr>
                  <w:tcW w:w="1080" w:type="dxa"/>
                </w:tcPr>
                <w:p w14:paraId="5BB18F2D" w14:textId="77777777" w:rsidR="007975C6" w:rsidRDefault="007975C6">
                  <w:pPr>
                    <w:pStyle w:val="Compact"/>
                    <w:jc w:val="center"/>
                  </w:pPr>
                  <w:r>
                    <w:t>P</w:t>
                  </w:r>
                </w:p>
              </w:tc>
              <w:tc>
                <w:tcPr>
                  <w:tcW w:w="2700" w:type="dxa"/>
                </w:tcPr>
                <w:p w14:paraId="45CE868B"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0EFF165C" w14:textId="77777777" w:rsidTr="007975C6">
              <w:tc>
                <w:tcPr>
                  <w:tcW w:w="984" w:type="dxa"/>
                  <w:vMerge/>
                </w:tcPr>
                <w:p w14:paraId="3584A057" w14:textId="77777777" w:rsidR="007975C6" w:rsidRDefault="007975C6">
                  <w:pPr>
                    <w:pStyle w:val="Compact"/>
                  </w:pPr>
                </w:p>
              </w:tc>
              <w:tc>
                <w:tcPr>
                  <w:tcW w:w="4596" w:type="dxa"/>
                </w:tcPr>
                <w:p w14:paraId="3C0806F7" w14:textId="77777777" w:rsidR="007975C6" w:rsidRDefault="007975C6">
                  <w:pPr>
                    <w:pStyle w:val="Compact"/>
                    <w:jc w:val="center"/>
                  </w:pPr>
                  <w:r>
                    <w:t>Respiration</w:t>
                  </w:r>
                </w:p>
              </w:tc>
              <w:tc>
                <w:tcPr>
                  <w:tcW w:w="1080" w:type="dxa"/>
                </w:tcPr>
                <w:p w14:paraId="1B001803" w14:textId="77777777" w:rsidR="007975C6" w:rsidRDefault="007975C6">
                  <w:pPr>
                    <w:pStyle w:val="Compact"/>
                    <w:jc w:val="center"/>
                  </w:pPr>
                  <w:r>
                    <w:t>R</w:t>
                  </w:r>
                </w:p>
              </w:tc>
              <w:tc>
                <w:tcPr>
                  <w:tcW w:w="2700" w:type="dxa"/>
                </w:tcPr>
                <w:p w14:paraId="6DA5DC3E"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EDAFAC4" w14:textId="77777777" w:rsidTr="007975C6">
              <w:tc>
                <w:tcPr>
                  <w:tcW w:w="984" w:type="dxa"/>
                  <w:vMerge/>
                </w:tcPr>
                <w:p w14:paraId="6B09872F" w14:textId="77777777" w:rsidR="007975C6" w:rsidRDefault="007975C6">
                  <w:pPr>
                    <w:pStyle w:val="Compact"/>
                  </w:pPr>
                </w:p>
              </w:tc>
              <w:tc>
                <w:tcPr>
                  <w:tcW w:w="4596" w:type="dxa"/>
                </w:tcPr>
                <w:p w14:paraId="67940604" w14:textId="77777777" w:rsidR="007975C6" w:rsidRDefault="007975C6">
                  <w:pPr>
                    <w:pStyle w:val="Compact"/>
                    <w:jc w:val="center"/>
                  </w:pPr>
                  <w:r>
                    <w:t>Gas exchange</w:t>
                  </w:r>
                </w:p>
              </w:tc>
              <w:tc>
                <w:tcPr>
                  <w:tcW w:w="1080" w:type="dxa"/>
                </w:tcPr>
                <w:p w14:paraId="34B7AFAE" w14:textId="77777777" w:rsidR="007975C6" w:rsidRDefault="007975C6">
                  <w:pPr>
                    <w:pStyle w:val="Compact"/>
                    <w:jc w:val="center"/>
                  </w:pPr>
                  <w:r>
                    <w:t>D</w:t>
                  </w:r>
                </w:p>
              </w:tc>
              <w:tc>
                <w:tcPr>
                  <w:tcW w:w="2700" w:type="dxa"/>
                </w:tcPr>
                <w:p w14:paraId="05DB7317"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C083EDE" w14:textId="77777777" w:rsidTr="007975C6">
              <w:tc>
                <w:tcPr>
                  <w:tcW w:w="984" w:type="dxa"/>
                  <w:vMerge/>
                </w:tcPr>
                <w:p w14:paraId="41D320FF" w14:textId="77777777" w:rsidR="007975C6" w:rsidRDefault="007975C6">
                  <w:pPr>
                    <w:pStyle w:val="Compact"/>
                  </w:pPr>
                </w:p>
              </w:tc>
              <w:tc>
                <w:tcPr>
                  <w:tcW w:w="4596" w:type="dxa"/>
                </w:tcPr>
                <w:p w14:paraId="5BA5B0C6" w14:textId="77777777" w:rsidR="007975C6" w:rsidRDefault="007975C6">
                  <w:pPr>
                    <w:pStyle w:val="Compact"/>
                    <w:jc w:val="center"/>
                  </w:pPr>
                  <w:r>
                    <w:t>Light efficiency</w:t>
                  </w:r>
                </w:p>
              </w:tc>
              <w:tc>
                <w:tcPr>
                  <w:tcW w:w="1080" w:type="dxa"/>
                </w:tcPr>
                <w:p w14:paraId="7E7B8979" w14:textId="77777777" w:rsidR="007975C6" w:rsidRDefault="007975C6">
                  <w:pPr>
                    <w:pStyle w:val="Compact"/>
                    <w:jc w:val="center"/>
                  </w:pPr>
                  <w:r>
                    <w:t>a</w:t>
                  </w:r>
                </w:p>
              </w:tc>
              <w:tc>
                <w:tcPr>
                  <w:tcW w:w="2700" w:type="dxa"/>
                </w:tcPr>
                <w:p w14:paraId="6455D63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tr w:rsidR="007975C6" w14:paraId="16AFF524" w14:textId="77777777" w:rsidTr="007975C6">
              <w:tc>
                <w:tcPr>
                  <w:tcW w:w="984" w:type="dxa"/>
                  <w:vMerge/>
                  <w:tcBorders>
                    <w:bottom w:val="single" w:sz="4" w:space="0" w:color="auto"/>
                  </w:tcBorders>
                </w:tcPr>
                <w:p w14:paraId="7360B5A5" w14:textId="77777777" w:rsidR="007975C6" w:rsidRDefault="007975C6">
                  <w:pPr>
                    <w:pStyle w:val="Compact"/>
                  </w:pPr>
                </w:p>
              </w:tc>
              <w:tc>
                <w:tcPr>
                  <w:tcW w:w="4596" w:type="dxa"/>
                  <w:tcBorders>
                    <w:bottom w:val="single" w:sz="4" w:space="0" w:color="auto"/>
                  </w:tcBorders>
                </w:tcPr>
                <w:p w14:paraId="60256377" w14:textId="77777777" w:rsidR="007975C6" w:rsidRDefault="007975C6">
                  <w:pPr>
                    <w:pStyle w:val="Compact"/>
                    <w:jc w:val="center"/>
                  </w:pPr>
                  <w:r>
                    <w:t>Sensitivity of gas transfer to wind speed</w:t>
                  </w:r>
                </w:p>
              </w:tc>
              <w:tc>
                <w:tcPr>
                  <w:tcW w:w="1080" w:type="dxa"/>
                  <w:tcBorders>
                    <w:bottom w:val="single" w:sz="4" w:space="0" w:color="auto"/>
                  </w:tcBorders>
                </w:tcPr>
                <w:p w14:paraId="1565B50F" w14:textId="77777777" w:rsidR="007975C6" w:rsidRDefault="007975C6">
                  <w:pPr>
                    <w:pStyle w:val="Compact"/>
                    <w:jc w:val="center"/>
                  </w:pPr>
                  <w:r>
                    <w:t>b</w:t>
                  </w:r>
                </w:p>
              </w:tc>
              <w:tc>
                <w:tcPr>
                  <w:tcW w:w="2700" w:type="dxa"/>
                  <w:tcBorders>
                    <w:bottom w:val="single" w:sz="4" w:space="0" w:color="auto"/>
                  </w:tcBorders>
                </w:tcPr>
                <w:p w14:paraId="79DFB858" w14:textId="77777777" w:rsidR="007975C6" w:rsidRDefault="007975C6">
                  <w:pPr>
                    <w:pStyle w:val="Compact"/>
                    <w:jc w:val="center"/>
                  </w:pPr>
                  <w:r>
                    <w:t xml:space="preserve">(cm </w:t>
                  </w:r>
                  <w:proofErr w:type="spellStart"/>
                  <w:r>
                    <w:t>hr</w:t>
                  </w:r>
                  <w:proofErr w:type="spellEnd"/>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bookmarkEnd w:id="83"/>
          </w:tbl>
          <w:p w14:paraId="775C3294" w14:textId="77777777" w:rsidR="00853DDB" w:rsidRDefault="00853DDB"/>
        </w:tc>
      </w:tr>
    </w:tbl>
    <w:p w14:paraId="42D29AD9" w14:textId="77777777" w:rsidR="00853DDB" w:rsidRDefault="00000000">
      <w:r>
        <w:br w:type="page"/>
      </w:r>
    </w:p>
    <w:tbl>
      <w:tblPr>
        <w:tblW w:w="5000" w:type="pct"/>
        <w:tblLayout w:type="fixed"/>
        <w:tblLook w:val="0000" w:firstRow="0" w:lastRow="0" w:firstColumn="0" w:lastColumn="0" w:noHBand="0" w:noVBand="0"/>
      </w:tblPr>
      <w:tblGrid>
        <w:gridCol w:w="9576"/>
      </w:tblGrid>
      <w:tr w:rsidR="00853DDB" w14:paraId="41B93281" w14:textId="77777777">
        <w:tc>
          <w:tcPr>
            <w:tcW w:w="7920" w:type="dxa"/>
          </w:tcPr>
          <w:p w14:paraId="248B4F19" w14:textId="77777777" w:rsidR="00853DDB" w:rsidRDefault="00000000">
            <w:pPr>
              <w:pStyle w:val="ImageCaption"/>
              <w:spacing w:before="200"/>
            </w:pPr>
            <w:bookmarkStart w:id="84" w:name="tbl-apacmptab"/>
            <w:r>
              <w:lastRenderedPageBreak/>
              <w:t>Table 2: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xml:space="preserve">)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w:t>
            </w:r>
            <w:proofErr w:type="gramStart"/>
            <w:r>
              <w:t>all</w:t>
            </w:r>
            <w:proofErr w:type="gramEnd"/>
            <w:r>
              <w:t xml:space="preserve"> less than 0.005.</w:t>
            </w:r>
          </w:p>
          <w:tbl>
            <w:tblPr>
              <w:tblW w:w="0" w:type="auto"/>
              <w:tblLayout w:type="fixed"/>
              <w:tblLook w:val="0020" w:firstRow="1" w:lastRow="0" w:firstColumn="0" w:lastColumn="0" w:noHBand="0" w:noVBand="0"/>
            </w:tblPr>
            <w:tblGrid>
              <w:gridCol w:w="2640"/>
              <w:gridCol w:w="2640"/>
              <w:gridCol w:w="2640"/>
            </w:tblGrid>
            <w:tr w:rsidR="00853DDB" w14:paraId="03D4B460" w14:textId="77777777" w:rsidTr="007975C6">
              <w:trPr>
                <w:tblHeader/>
              </w:trPr>
              <w:tc>
                <w:tcPr>
                  <w:tcW w:w="2640" w:type="dxa"/>
                  <w:tcBorders>
                    <w:top w:val="single" w:sz="4" w:space="0" w:color="auto"/>
                    <w:bottom w:val="single" w:sz="4" w:space="0" w:color="auto"/>
                  </w:tcBorders>
                </w:tcPr>
                <w:p w14:paraId="0F664AE0" w14:textId="77777777" w:rsidR="00853DDB" w:rsidRDefault="00000000" w:rsidP="007975C6">
                  <w:pPr>
                    <w:pStyle w:val="Compact"/>
                  </w:pPr>
                  <w:r>
                    <w:t>Parameter</w:t>
                  </w:r>
                </w:p>
              </w:tc>
              <w:tc>
                <w:tcPr>
                  <w:tcW w:w="2640" w:type="dxa"/>
                  <w:tcBorders>
                    <w:top w:val="single" w:sz="4" w:space="0" w:color="auto"/>
                    <w:bottom w:val="single" w:sz="4" w:space="0" w:color="auto"/>
                  </w:tcBorders>
                </w:tcPr>
                <w:p w14:paraId="62533037" w14:textId="77777777" w:rsidR="00853DDB" w:rsidRDefault="00000000">
                  <w:pPr>
                    <w:pStyle w:val="Compact"/>
                    <w:jc w:val="center"/>
                  </w:pPr>
                  <m:oMathPara>
                    <m:oMath>
                      <m:r>
                        <w:rPr>
                          <w:rFonts w:ascii="Cambria Math" w:hAnsi="Cambria Math"/>
                        </w:rPr>
                        <m:t>ρ</m:t>
                      </m:r>
                    </m:oMath>
                  </m:oMathPara>
                </w:p>
              </w:tc>
              <w:tc>
                <w:tcPr>
                  <w:tcW w:w="2640" w:type="dxa"/>
                  <w:tcBorders>
                    <w:top w:val="single" w:sz="4" w:space="0" w:color="auto"/>
                    <w:bottom w:val="single" w:sz="4" w:space="0" w:color="auto"/>
                  </w:tcBorders>
                </w:tcPr>
                <w:p w14:paraId="2C6D9AB4" w14:textId="77777777" w:rsidR="00853DDB" w:rsidRDefault="00000000">
                  <w:pPr>
                    <w:pStyle w:val="Compact"/>
                    <w:jc w:val="center"/>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853DDB" w14:paraId="55E6C6D7" w14:textId="77777777" w:rsidTr="007975C6">
              <w:tc>
                <w:tcPr>
                  <w:tcW w:w="2640" w:type="dxa"/>
                  <w:tcBorders>
                    <w:top w:val="single" w:sz="4" w:space="0" w:color="auto"/>
                  </w:tcBorders>
                </w:tcPr>
                <w:p w14:paraId="12187735" w14:textId="77777777" w:rsidR="00853DDB" w:rsidRDefault="00000000" w:rsidP="007975C6">
                  <w:pPr>
                    <w:pStyle w:val="Compact"/>
                  </w:pPr>
                  <w:r>
                    <w:t>P</w:t>
                  </w:r>
                </w:p>
              </w:tc>
              <w:tc>
                <w:tcPr>
                  <w:tcW w:w="2640" w:type="dxa"/>
                  <w:tcBorders>
                    <w:top w:val="single" w:sz="4" w:space="0" w:color="auto"/>
                  </w:tcBorders>
                </w:tcPr>
                <w:p w14:paraId="4FA1E5CC" w14:textId="77777777" w:rsidR="00853DDB" w:rsidRDefault="00000000">
                  <w:pPr>
                    <w:pStyle w:val="Compact"/>
                    <w:jc w:val="center"/>
                  </w:pPr>
                  <w:r>
                    <w:t>0.7 / 0.71</w:t>
                  </w:r>
                </w:p>
              </w:tc>
              <w:tc>
                <w:tcPr>
                  <w:tcW w:w="2640" w:type="dxa"/>
                  <w:tcBorders>
                    <w:top w:val="single" w:sz="4" w:space="0" w:color="auto"/>
                  </w:tcBorders>
                </w:tcPr>
                <w:p w14:paraId="10F9B022" w14:textId="77777777" w:rsidR="00853DDB" w:rsidRDefault="00000000">
                  <w:pPr>
                    <w:pStyle w:val="Compact"/>
                    <w:jc w:val="center"/>
                  </w:pPr>
                  <w:r>
                    <w:t>76.17 / 14.9</w:t>
                  </w:r>
                </w:p>
              </w:tc>
            </w:tr>
            <w:tr w:rsidR="00853DDB" w14:paraId="2A219E05" w14:textId="77777777" w:rsidTr="007975C6">
              <w:tc>
                <w:tcPr>
                  <w:tcW w:w="2640" w:type="dxa"/>
                </w:tcPr>
                <w:p w14:paraId="116712AE" w14:textId="77777777" w:rsidR="00853DDB" w:rsidRDefault="00000000" w:rsidP="007975C6">
                  <w:pPr>
                    <w:pStyle w:val="Compact"/>
                  </w:pPr>
                  <w:r>
                    <w:t>R</w:t>
                  </w:r>
                </w:p>
              </w:tc>
              <w:tc>
                <w:tcPr>
                  <w:tcW w:w="2640" w:type="dxa"/>
                </w:tcPr>
                <w:p w14:paraId="3A445841" w14:textId="77777777" w:rsidR="00853DDB" w:rsidRDefault="00000000">
                  <w:pPr>
                    <w:pStyle w:val="Compact"/>
                    <w:jc w:val="center"/>
                  </w:pPr>
                  <w:r>
                    <w:t>0.51 / 0.49</w:t>
                  </w:r>
                </w:p>
              </w:tc>
              <w:tc>
                <w:tcPr>
                  <w:tcW w:w="2640" w:type="dxa"/>
                </w:tcPr>
                <w:p w14:paraId="6AFA948C" w14:textId="77777777" w:rsidR="00853DDB" w:rsidRDefault="00000000">
                  <w:pPr>
                    <w:pStyle w:val="Compact"/>
                    <w:jc w:val="center"/>
                  </w:pPr>
                  <w:r>
                    <w:t>98.76 / 27.29</w:t>
                  </w:r>
                </w:p>
              </w:tc>
            </w:tr>
            <w:tr w:rsidR="00853DDB" w14:paraId="1F465971" w14:textId="77777777" w:rsidTr="007975C6">
              <w:tc>
                <w:tcPr>
                  <w:tcW w:w="2640" w:type="dxa"/>
                  <w:tcBorders>
                    <w:bottom w:val="single" w:sz="4" w:space="0" w:color="auto"/>
                  </w:tcBorders>
                </w:tcPr>
                <w:p w14:paraId="66B7F3AA" w14:textId="77777777" w:rsidR="00853DDB" w:rsidRDefault="00000000" w:rsidP="007975C6">
                  <w:pPr>
                    <w:pStyle w:val="Compact"/>
                  </w:pPr>
                  <w:r>
                    <w:t>NEM</w:t>
                  </w:r>
                </w:p>
              </w:tc>
              <w:tc>
                <w:tcPr>
                  <w:tcW w:w="2640" w:type="dxa"/>
                  <w:tcBorders>
                    <w:bottom w:val="single" w:sz="4" w:space="0" w:color="auto"/>
                  </w:tcBorders>
                </w:tcPr>
                <w:p w14:paraId="3A0BB665" w14:textId="77777777" w:rsidR="00853DDB" w:rsidRDefault="00000000">
                  <w:pPr>
                    <w:pStyle w:val="Compact"/>
                    <w:jc w:val="center"/>
                  </w:pPr>
                  <w:r>
                    <w:t>0.36 / 0.52</w:t>
                  </w:r>
                </w:p>
              </w:tc>
              <w:tc>
                <w:tcPr>
                  <w:tcW w:w="2640" w:type="dxa"/>
                  <w:tcBorders>
                    <w:bottom w:val="single" w:sz="4" w:space="0" w:color="auto"/>
                  </w:tcBorders>
                </w:tcPr>
                <w:p w14:paraId="6E612145" w14:textId="77777777" w:rsidR="00853DDB" w:rsidRDefault="00000000">
                  <w:pPr>
                    <w:pStyle w:val="Compact"/>
                    <w:jc w:val="center"/>
                  </w:pPr>
                  <w:r>
                    <w:t>42.28 / 17.98</w:t>
                  </w:r>
                </w:p>
              </w:tc>
            </w:tr>
            <w:bookmarkEnd w:id="84"/>
          </w:tbl>
          <w:p w14:paraId="68E203D0" w14:textId="77777777" w:rsidR="00853DDB" w:rsidRDefault="00853DDB"/>
        </w:tc>
      </w:tr>
      <w:bookmarkEnd w:id="82"/>
    </w:tbl>
    <w:p w14:paraId="78D366EF" w14:textId="77777777" w:rsidR="00CB6781" w:rsidRDefault="00CB6781"/>
    <w:sectPr w:rsidR="00CB6781" w:rsidSect="00862638">
      <w:footerReference w:type="default" r:id="rId5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CB54A" w14:textId="77777777" w:rsidR="00862638" w:rsidRDefault="00862638">
      <w:pPr>
        <w:spacing w:after="0"/>
      </w:pPr>
      <w:r>
        <w:separator/>
      </w:r>
    </w:p>
  </w:endnote>
  <w:endnote w:type="continuationSeparator" w:id="0">
    <w:p w14:paraId="02D6DB0B" w14:textId="77777777" w:rsidR="00862638" w:rsidRDefault="00862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962650"/>
      <w:docPartObj>
        <w:docPartGallery w:val="Page Numbers (Bottom of Page)"/>
        <w:docPartUnique/>
      </w:docPartObj>
    </w:sdtPr>
    <w:sdtEndPr>
      <w:rPr>
        <w:noProof/>
      </w:rPr>
    </w:sdtEndPr>
    <w:sdtContent>
      <w:p w14:paraId="691E072D" w14:textId="77777777" w:rsidR="0034798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62E6D" w14:textId="77777777" w:rsidR="00347981" w:rsidRDefault="00347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50E99" w14:textId="77777777" w:rsidR="00862638" w:rsidRDefault="00862638">
      <w:r>
        <w:separator/>
      </w:r>
    </w:p>
  </w:footnote>
  <w:footnote w:type="continuationSeparator" w:id="0">
    <w:p w14:paraId="42CFB2AF" w14:textId="77777777" w:rsidR="00862638" w:rsidRDefault="00862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15695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5C22D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2D050E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00F8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7A6E4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0507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772284873">
    <w:abstractNumId w:val="10"/>
  </w:num>
  <w:num w:numId="15" w16cid:durableId="1770469793">
    <w:abstractNumId w:val="5"/>
  </w:num>
  <w:num w:numId="16" w16cid:durableId="201554886">
    <w:abstractNumId w:val="4"/>
  </w:num>
  <w:num w:numId="17" w16cid:durableId="586883080">
    <w:abstractNumId w:val="3"/>
  </w:num>
  <w:num w:numId="18" w16cid:durableId="1743603724">
    <w:abstractNumId w:val="2"/>
  </w:num>
  <w:num w:numId="19" w16cid:durableId="1194463478">
    <w:abstractNumId w:val="10"/>
  </w:num>
  <w:num w:numId="20" w16cid:durableId="1808552402">
    <w:abstractNumId w:val="5"/>
  </w:num>
  <w:num w:numId="21" w16cid:durableId="442387816">
    <w:abstractNumId w:val="4"/>
  </w:num>
  <w:num w:numId="22" w16cid:durableId="1906530101">
    <w:abstractNumId w:val="3"/>
  </w:num>
  <w:num w:numId="23" w16cid:durableId="431709079">
    <w:abstractNumId w:val="2"/>
  </w:num>
  <w:num w:numId="24" w16cid:durableId="1139028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DDB"/>
    <w:rsid w:val="00072181"/>
    <w:rsid w:val="00160FAF"/>
    <w:rsid w:val="00347981"/>
    <w:rsid w:val="00606A61"/>
    <w:rsid w:val="006A1533"/>
    <w:rsid w:val="006A1B66"/>
    <w:rsid w:val="007975C6"/>
    <w:rsid w:val="00813D72"/>
    <w:rsid w:val="00853DDB"/>
    <w:rsid w:val="00862638"/>
    <w:rsid w:val="00B371D4"/>
    <w:rsid w:val="00CB6781"/>
    <w:rsid w:val="00D804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8A63"/>
  <w15:docId w15:val="{A67F45A9-FECA-480B-BC0B-9AA67DF8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EB4874"/>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FollowedHyperlink">
    <w:name w:val="FollowedHyperlink"/>
    <w:basedOn w:val="DefaultParagraphFont"/>
    <w:semiHidden/>
    <w:unhideWhenUsed/>
    <w:rsid w:val="006A1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532251" TargetMode="External"/><Relationship Id="rId18" Type="http://schemas.openxmlformats.org/officeDocument/2006/relationships/hyperlink" Target="https://doi.org/10.1146/annurev-marine-042121-012329" TargetMode="External"/><Relationship Id="rId26" Type="http://schemas.openxmlformats.org/officeDocument/2006/relationships/hyperlink" Target="https://doi.org/10.1029/2007jc004663" TargetMode="External"/><Relationship Id="rId39" Type="http://schemas.openxmlformats.org/officeDocument/2006/relationships/hyperlink" Target="https://doi.org/10.1175/1520-0477(1997)078%3c0197:eagmeb%3e2.0.co;2" TargetMode="External"/><Relationship Id="rId21" Type="http://schemas.openxmlformats.org/officeDocument/2006/relationships/hyperlink" Target="https://doi.org/10.1038/s41598-017-05031-7" TargetMode="External"/><Relationship Id="rId34" Type="http://schemas.openxmlformats.org/officeDocument/2006/relationships/hyperlink" Target="https://doi.org/10.1093/acprof:oso/9780198527084.003.0008" TargetMode="External"/><Relationship Id="rId42" Type="http://schemas.openxmlformats.org/officeDocument/2006/relationships/hyperlink" Target="https://doi.org/10.1007/s12237-017-0328-9" TargetMode="External"/><Relationship Id="rId47" Type="http://schemas.openxmlformats.org/officeDocument/2006/relationships/hyperlink" Target="http://www.nerrsdata.org" TargetMode="External"/><Relationship Id="rId50" Type="http://schemas.openxmlformats.org/officeDocument/2006/relationships/hyperlink" Target="https://doi.org/10.1007/bf02782974" TargetMode="External"/><Relationship Id="rId55" Type="http://schemas.openxmlformats.org/officeDocument/2006/relationships/hyperlink" Target="https://doi.org/10.1672/07-190.1"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02/lom3.10062" TargetMode="External"/><Relationship Id="rId29" Type="http://schemas.openxmlformats.org/officeDocument/2006/relationships/hyperlink" Target="https://doi.org/10.3354/meps301023" TargetMode="External"/><Relationship Id="rId11" Type="http://schemas.openxmlformats.org/officeDocument/2006/relationships/hyperlink" Target="https://cran.r-project.org/web/packages/EBASE/index.html" TargetMode="External"/><Relationship Id="rId24" Type="http://schemas.openxmlformats.org/officeDocument/2006/relationships/hyperlink" Target="https://doi.org/10.1146/annurev-marine-120709-142723" TargetMode="External"/><Relationship Id="rId32" Type="http://schemas.openxmlformats.org/officeDocument/2006/relationships/hyperlink" Target="https://doi.org/10.4319/lo.2013.58.6.2089" TargetMode="External"/><Relationship Id="rId37" Type="http://schemas.openxmlformats.org/officeDocument/2006/relationships/hyperlink" Target="https://doi.org/10.1016/s0302-3524(80)80065-x" TargetMode="External"/><Relationship Id="rId40" Type="http://schemas.openxmlformats.org/officeDocument/2006/relationships/hyperlink" Target="https://doi.org/10.1016/j.marchem.2006.02.007" TargetMode="External"/><Relationship Id="rId45" Type="http://schemas.openxmlformats.org/officeDocument/2006/relationships/hyperlink" Target="https://doi.org/10.1016/0022-1694(70)90255-6" TargetMode="External"/><Relationship Id="rId53" Type="http://schemas.openxmlformats.org/officeDocument/2006/relationships/hyperlink" Target="https://doi.org/10.1007/s00027-011-0199-2" TargetMode="External"/><Relationship Id="rId58" Type="http://schemas.openxmlformats.org/officeDocument/2006/relationships/hyperlink" Target="https://doi.org/10.1038/nature1120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16/b978-0-12-374711-2.00504-0" TargetMode="External"/><Relationship Id="rId14" Type="http://schemas.openxmlformats.org/officeDocument/2006/relationships/hyperlink" Target="https://doi.org/10.1002/2017jg004140" TargetMode="External"/><Relationship Id="rId22" Type="http://schemas.openxmlformats.org/officeDocument/2006/relationships/hyperlink" Target="https://doi.org/10.1007/978-94-017-0299-7_19" TargetMode="External"/><Relationship Id="rId27" Type="http://schemas.openxmlformats.org/officeDocument/2006/relationships/hyperlink" Target="https://doi.org/10.1017/cbo9780511525025.006" TargetMode="External"/><Relationship Id="rId30" Type="http://schemas.openxmlformats.org/officeDocument/2006/relationships/hyperlink" Target="https://doi.org/10.1002/lom3.10011" TargetMode="External"/><Relationship Id="rId35" Type="http://schemas.openxmlformats.org/officeDocument/2006/relationships/hyperlink" Target="https://doi.org/10.1016/j.marchem.2005.03.008" TargetMode="External"/><Relationship Id="rId43" Type="http://schemas.openxmlformats.org/officeDocument/2006/relationships/hyperlink" Target="https://doi.org/10.1139/f01-082" TargetMode="External"/><Relationship Id="rId48" Type="http://schemas.openxmlformats.org/officeDocument/2006/relationships/hyperlink" Target="https://www.R-project.org/" TargetMode="External"/><Relationship Id="rId56" Type="http://schemas.openxmlformats.org/officeDocument/2006/relationships/hyperlink" Target="https://doi.org/10.4319/lom.2014.12.351" TargetMode="External"/><Relationship Id="rId8" Type="http://schemas.openxmlformats.org/officeDocument/2006/relationships/hyperlink" Target="https://cran.r-project.org/web/packages/EBASE/index.html" TargetMode="External"/><Relationship Id="rId51" Type="http://schemas.openxmlformats.org/officeDocument/2006/relationships/hyperlink" Target="https://doi.org/10.2307/j.ctt3fgxqx" TargetMode="External"/><Relationship Id="rId3" Type="http://schemas.openxmlformats.org/officeDocument/2006/relationships/settings" Target="settings.xml"/><Relationship Id="rId12" Type="http://schemas.openxmlformats.org/officeDocument/2006/relationships/hyperlink" Target="https://github.com/fawda123/ebase-manu" TargetMode="External"/><Relationship Id="rId17" Type="http://schemas.openxmlformats.org/officeDocument/2006/relationships/hyperlink" Target="https://fawda123.github.io/EBASE" TargetMode="External"/><Relationship Id="rId25" Type="http://schemas.openxmlformats.org/officeDocument/2006/relationships/hyperlink" Target="https://doi.org/10.5194/bg-11-2477-2014" TargetMode="External"/><Relationship Id="rId33" Type="http://schemas.openxmlformats.org/officeDocument/2006/relationships/hyperlink" Target="https://doi.org/10.4319/lo.2010.55.3.1047" TargetMode="External"/><Relationship Id="rId38" Type="http://schemas.openxmlformats.org/officeDocument/2006/relationships/hyperlink" Target="https://doi.org/10.1016/b978-0-12-374711-2.00706-3" TargetMode="External"/><Relationship Id="rId46" Type="http://schemas.openxmlformats.org/officeDocument/2006/relationships/hyperlink" Target="https://doi.org/10.1007/s12237-013-9765-2" TargetMode="External"/><Relationship Id="rId59" Type="http://schemas.openxmlformats.org/officeDocument/2006/relationships/footer" Target="footer1.xml"/><Relationship Id="rId20" Type="http://schemas.openxmlformats.org/officeDocument/2006/relationships/hyperlink" Target="https://doi.org/10.1016/s0304-3800(01)00328-3" TargetMode="External"/><Relationship Id="rId41" Type="http://schemas.openxmlformats.org/officeDocument/2006/relationships/hyperlink" Target="https://doi.org/10.13031/2013.23153" TargetMode="External"/><Relationship Id="rId54" Type="http://schemas.openxmlformats.org/officeDocument/2006/relationships/hyperlink" Target="https://doi.org/10.1007/s12237-019-0052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awda123/WtRegDO" TargetMode="External"/><Relationship Id="rId23" Type="http://schemas.openxmlformats.org/officeDocument/2006/relationships/hyperlink" Target="https://doi.org/10.1007/bf02803563" TargetMode="External"/><Relationship Id="rId28" Type="http://schemas.openxmlformats.org/officeDocument/2006/relationships/hyperlink" Target="https://doi.org/10.4319/lo.1992.37.6.1307" TargetMode="External"/><Relationship Id="rId36" Type="http://schemas.openxmlformats.org/officeDocument/2006/relationships/hyperlink" Target="https://doi.org/10.1016/j.agrformet.2003.10.001" TargetMode="External"/><Relationship Id="rId49" Type="http://schemas.openxmlformats.org/officeDocument/2006/relationships/hyperlink" Target="https://doi.org/10.1899/12-058.1" TargetMode="External"/><Relationship Id="rId57" Type="http://schemas.openxmlformats.org/officeDocument/2006/relationships/hyperlink" Target="https://doi.org/10.1080/iw-6.4.883" TargetMode="External"/><Relationship Id="rId10" Type="http://schemas.openxmlformats.org/officeDocument/2006/relationships/hyperlink" Target="https://github.com/dgiling/BASEmetab" TargetMode="External"/><Relationship Id="rId31" Type="http://schemas.openxmlformats.org/officeDocument/2006/relationships/hyperlink" Target="https://doi.org/10.1002/2016GL068727" TargetMode="External"/><Relationship Id="rId44" Type="http://schemas.openxmlformats.org/officeDocument/2006/relationships/hyperlink" Target="https://doi.org/10.1002/2017gb005790" TargetMode="External"/><Relationship Id="rId52" Type="http://schemas.openxmlformats.org/officeDocument/2006/relationships/hyperlink" Target="https://doi.org/10.1016/b978-0-12-405070-9.50007-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EB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37</Pages>
  <Words>11705</Words>
  <Characters>66720</Characters>
  <Application>Microsoft Office Word</Application>
  <DocSecurity>0</DocSecurity>
  <Lines>556</Lines>
  <Paragraphs>156</Paragraphs>
  <ScaleCrop>false</ScaleCrop>
  <Company/>
  <LinksUpToDate>false</LinksUpToDate>
  <CharactersWithSpaces>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Herrmann2, and Raymond G Najjar2</dc:creator>
  <cp:keywords/>
  <cp:lastModifiedBy>Marcus Beck</cp:lastModifiedBy>
  <cp:revision>8</cp:revision>
  <dcterms:created xsi:type="dcterms:W3CDTF">2024-03-12T17:33:00Z</dcterms:created>
  <dcterms:modified xsi:type="dcterms:W3CDTF">2024-03-22T12:09:00Z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