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3"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estuaries, justifying our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these differences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2"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See the new table for inputs/outputs.</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This equation is</w:t>
      </w:r>
      <w:r>
        <w:rPr>
          <w:iCs/>
          <w:i/>
        </w:rPr>
        <w:t xml:space="preserve"> </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text goes here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text goes here</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text goes here</w:t>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2"/>
    <w:bookmarkEnd w:id="23"/>
    <w:bookmarkStart w:id="25"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4"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4"/>
    <w:bookmarkEnd w:id="25"/>
    <w:bookmarkStart w:id="37" w:name="references"/>
    <w:p>
      <w:pPr>
        <w:pStyle w:val="Heading2"/>
      </w:pPr>
      <w:r>
        <w:t xml:space="preserve">References</w:t>
      </w:r>
    </w:p>
    <w:bookmarkStart w:id="36" w:name="refs"/>
    <w:bookmarkStart w:id="27"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26">
        <w:r>
          <w:rPr>
            <w:rStyle w:val="Hyperlink"/>
          </w:rPr>
          <w:t xml:space="preserve">10.1002/lom3.10062</w:t>
        </w:r>
      </w:hyperlink>
    </w:p>
    <w:bookmarkEnd w:id="27"/>
    <w:bookmarkStart w:id="29"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28">
        <w:r>
          <w:rPr>
            <w:rStyle w:val="Hyperlink"/>
          </w:rPr>
          <w:t xml:space="preserve">10.1007/bf02803563</w:t>
        </w:r>
      </w:hyperlink>
    </w:p>
    <w:bookmarkEnd w:id="29"/>
    <w:bookmarkStart w:id="31"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30">
        <w:r>
          <w:rPr>
            <w:rStyle w:val="Hyperlink"/>
          </w:rPr>
          <w:t xml:space="preserve">10.1016/j.marchem.2005.03.008</w:t>
        </w:r>
      </w:hyperlink>
    </w:p>
    <w:bookmarkEnd w:id="31"/>
    <w:bookmarkStart w:id="33"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32">
        <w:r>
          <w:rPr>
            <w:rStyle w:val="Hyperlink"/>
          </w:rPr>
          <w:t xml:space="preserve">10.1016/j.marchem.2006.02.007</w:t>
        </w:r>
      </w:hyperlink>
    </w:p>
    <w:bookmarkEnd w:id="33"/>
    <w:bookmarkStart w:id="35"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34">
        <w:r>
          <w:rPr>
            <w:rStyle w:val="Hyperlink"/>
          </w:rPr>
          <w:t xml:space="preserve">10.4319/lom.2014.12.351</w:t>
        </w:r>
      </w:hyperlink>
    </w:p>
    <w:bookmarkEnd w:id="35"/>
    <w:bookmarkEnd w:id="36"/>
    <w:bookmarkEnd w:id="37"/>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s://doi.org/10.1002/lom3.10062" TargetMode="External" /><Relationship Type="http://schemas.openxmlformats.org/officeDocument/2006/relationships/hyperlink" Id="rId28" Target="https://doi.org/10.1007/bf02803563" TargetMode="External" /><Relationship Type="http://schemas.openxmlformats.org/officeDocument/2006/relationships/hyperlink" Id="rId30" Target="https://doi.org/10.1016/j.marchem.2005.03.008" TargetMode="External" /><Relationship Type="http://schemas.openxmlformats.org/officeDocument/2006/relationships/hyperlink" Id="rId32" Target="https://doi.org/10.1016/j.marchem.2006.02.007" TargetMode="External" /><Relationship Type="http://schemas.openxmlformats.org/officeDocument/2006/relationships/hyperlink" Id="rId34" Target="https://doi.org/10.4319/lom.2014.12.35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lom3.10062" TargetMode="External" /><Relationship Type="http://schemas.openxmlformats.org/officeDocument/2006/relationships/hyperlink" Id="rId28" Target="https://doi.org/10.1007/bf02803563" TargetMode="External" /><Relationship Type="http://schemas.openxmlformats.org/officeDocument/2006/relationships/hyperlink" Id="rId30" Target="https://doi.org/10.1016/j.marchem.2005.03.008" TargetMode="External" /><Relationship Type="http://schemas.openxmlformats.org/officeDocument/2006/relationships/hyperlink" Id="rId32" Target="https://doi.org/10.1016/j.marchem.2006.02.007" TargetMode="External" /><Relationship Type="http://schemas.openxmlformats.org/officeDocument/2006/relationships/hyperlink" Id="rId34" Target="https://doi.org/10.4319/lom.2014.1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2024-02-29T23:03:51Z</dcterms:created>
  <dcterms:modified xsi:type="dcterms:W3CDTF">2024-02-29T23:03:51Z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