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Thank you for providing these thorough comments on our manuscript. Please see our responses below.</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We agree this clarification is needed. The first study</w:t>
      </w:r>
      <w:r>
        <w:rPr>
          <w:iCs/>
          <w:i/>
        </w:rPr>
        <w:t xml:space="preserve"> </w:t>
      </w:r>
      <w:r>
        <w:rPr>
          <w:iCs/>
          <w:i/>
        </w:rPr>
        <w:t xml:space="preserve">(Ciavatta et al. 2008)</w:t>
      </w:r>
      <w:r>
        <w:rPr>
          <w:iCs/>
          <w:i/>
        </w:rPr>
        <w:t xml:space="preserve"> </w:t>
      </w:r>
      <w:r>
        <w:rPr>
          <w:iCs/>
          <w:i/>
        </w:rPr>
        <w:t xml:space="preserve">actually did not use a Bayesian approach, rather it provided simultaneous estimation of the metabolic parameters using a conventional empirical model framework. This reference to a Bayesian approach was in error and we have removed this citation from the introduction.</w:t>
      </w:r>
      <w:r>
        <w:rPr>
          <w:iCs/>
          <w:i/>
        </w:rPr>
        <w:t xml:space="preserve"> </w:t>
      </w:r>
      <w:r>
        <w:rPr>
          <w:iCs/>
          <w:i/>
        </w:rPr>
        <w:t xml:space="preserve">Tassone and Bukaveckas (2019)</w:t>
      </w:r>
      <w:r>
        <w:rPr>
          <w:iCs/>
          <w:i/>
        </w:rPr>
        <w:t xml:space="preserve"> </w:t>
      </w:r>
      <w:r>
        <w:rPr>
          <w:iCs/>
          <w:i/>
        </w:rPr>
        <w:t xml:space="preserve">does provide a good example for comparison with our work and we elaborate on this in the revised text on line 105:</w:t>
      </w:r>
      <w:r>
        <w:rPr>
          <w:iCs/>
          <w:i/>
        </w:rPr>
        <w:t xml:space="preserve"> </w:t>
      </w:r>
      <w:r>
        <w:rPr>
          <w:iCs/>
          <w:i/>
        </w:rPr>
        <w:t xml:space="preserve">“</w:t>
      </w:r>
      <w:r>
        <w:rPr>
          <w:iCs/>
          <w:i/>
        </w:rPr>
        <w:t xml:space="preserve">Tassone and Bukaveckas (2019)</w:t>
      </w:r>
      <w:r>
        <w:rPr>
          <w:iCs/>
          <w:i/>
        </w:rPr>
        <w:t xml:space="preserve"> </w:t>
      </w:r>
      <w:r>
        <w:rPr>
          <w:iCs/>
          <w:i/>
        </w:rPr>
        <w:t xml:space="preserve">adapted a Bayesian approach developed for streams</w:t>
      </w:r>
      <w:r>
        <w:rPr>
          <w:iCs/>
          <w:i/>
        </w:rPr>
        <w:t xml:space="preserve"> </w:t>
      </w:r>
      <w:r>
        <w:rPr>
          <w:iCs/>
          <w:i/>
        </w:rPr>
        <w:t xml:space="preserve">(Appling et al. 2018)</w:t>
      </w:r>
      <w:r>
        <w:rPr>
          <w:iCs/>
          <w:i/>
        </w:rPr>
        <w:t xml:space="preserve"> </w:t>
      </w:r>
      <w:r>
        <w:rPr>
          <w:iCs/>
          <w:i/>
        </w:rPr>
        <w:t xml:space="preserve">in an estuarine setting to estimate metabolic rates in the James River. Although this approach demonstrated the utility of such an approach in estuaries, much of the core model structure developed for streams was unchanged and may not have been fully descriptive of fundamental processes influencing metabolism in open-water environments.</w:t>
      </w:r>
      <w:r>
        <w:rPr>
          <w:iCs/>
          <w:i/>
        </w:rPr>
        <w:t xml:space="preserve">”</w:t>
      </w:r>
    </w:p>
    <w:p>
      <w:pPr>
        <w:pStyle w:val="BodyText"/>
      </w:pPr>
      <w:r>
        <w:rPr>
          <w:iCs/>
          <w:i/>
        </w:rPr>
        <w:t xml:space="preserve">We then continue the justification for our use of BASE, adding the following:</w:t>
      </w:r>
    </w:p>
    <w:p>
      <w:pPr>
        <w:pStyle w:val="BodyText"/>
      </w:pPr>
      <w:r>
        <w:rPr>
          <w:iCs/>
          <w:i/>
        </w:rPr>
        <w:t xml:space="preserve">Line 108:</w:t>
      </w:r>
      <w:r>
        <w:rPr>
          <w:iCs/>
          <w:i/>
        </w:rPr>
        <w:t xml:space="preserve"> </w:t>
      </w:r>
      <w:r>
        <w:rPr>
          <w:iCs/>
          <w:i/>
        </w:rPr>
        <w:t xml:space="preserve">“</w:t>
      </w:r>
      <w:r>
        <w:rPr>
          <w:iCs/>
          <w:i/>
        </w:rPr>
        <w:t xml:space="preserve">The underlying model components can also easily be updated given the relatively simple format of the approach.</w:t>
      </w:r>
      <w:r>
        <w:rPr>
          <w:iCs/>
          <w:i/>
        </w:rPr>
        <w:t xml:space="preserve">”</w:t>
      </w:r>
    </w:p>
    <w:p>
      <w:pPr>
        <w:pStyle w:val="BodyText"/>
      </w:pPr>
      <w:r>
        <w:rPr>
          <w:iCs/>
          <w:i/>
        </w:rPr>
        <w:t xml:space="preserve">Line 115:</w:t>
      </w:r>
      <w:r>
        <w:rPr>
          <w:iCs/>
          <w:i/>
        </w:rPr>
        <w:t xml:space="preserve"> </w:t>
      </w:r>
      <w:r>
        <w:rPr>
          <w:iCs/>
          <w:i/>
        </w:rPr>
        <w:t xml:space="preserve">“</w:t>
      </w:r>
      <w:r>
        <w:rPr>
          <w:iCs/>
          <w:i/>
        </w:rPr>
        <w:t xml:space="preserve">We focus on BASE given the relative simplicity and, therefore, ease of application compared to other stream-based Bayesian approaches</w:t>
      </w:r>
      <w:r>
        <w:rPr>
          <w:iCs/>
          <w:i/>
        </w:rPr>
        <w:t xml:space="preserve"> </w:t>
      </w:r>
      <w:r>
        <w:rPr>
          <w:iCs/>
          <w:i/>
        </w:rPr>
        <w:t xml:space="preserve">(e.g., Appling et al. 2018)</w:t>
      </w:r>
      <w:r>
        <w:rPr>
          <w:iCs/>
          <w:i/>
        </w:rPr>
        <w:t xml:space="preserve">.</w:t>
      </w:r>
      <w:r>
        <w:rPr>
          <w:iCs/>
          <w:i/>
        </w:rPr>
        <w:t xml:space="preserve">”</w:t>
      </w:r>
    </w:p>
    <w:p>
      <w:pPr>
        <w:pStyle w:val="BodyText"/>
      </w:pPr>
      <w:r>
        <w:rPr>
          <w:iCs/>
          <w:i/>
        </w:rPr>
        <w:t xml:space="preserve">The streamMetabolizer package is a great contribution to the field, although our implicit goal of this work was to modify a readily accessible open source approach such as BASE for our needs. The framework was easily extendable for our chosen gas-exchange method</w:t>
      </w:r>
      <w:r>
        <w:rPr>
          <w:iCs/>
          <w:i/>
        </w:rPr>
        <w:t xml:space="preserve"> </w:t>
      </w:r>
      <w:r>
        <w:rPr>
          <w:iCs/>
          <w:i/>
        </w:rPr>
        <w:t xml:space="preserve">(Wanninkhof 2014)</w:t>
      </w:r>
      <w:r>
        <w:rPr>
          <w:iCs/>
          <w:i/>
        </w:rPr>
        <w:t xml:space="preserve"> </w:t>
      </w:r>
      <w:r>
        <w:rPr>
          <w:iCs/>
          <w:i/>
        </w:rPr>
        <w:t xml:space="preserve">and modification of the software functionality (i.e., user-chosen optimization period and dealing with data gaps).</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Thank you for pointing out this reference. We have included an explicit mention of equifinality and a citation for</w:t>
      </w:r>
      <w:r>
        <w:rPr>
          <w:iCs/>
          <w:i/>
        </w:rPr>
        <w:t xml:space="preserve"> </w:t>
      </w:r>
      <w:r>
        <w:rPr>
          <w:iCs/>
          <w:i/>
        </w:rPr>
        <w:t xml:space="preserve">Appling et al. (2018)</w:t>
      </w:r>
      <w:r>
        <w:rPr>
          <w:iCs/>
          <w:i/>
        </w:rPr>
        <w:t xml:space="preserve"> </w:t>
      </w:r>
      <w:r>
        <w:rPr>
          <w:iCs/>
          <w:i/>
        </w:rPr>
        <w:t xml:space="preserve">on line 352. Also please see our addition to the discussion on line 490. This is described in full in response to the general comments from Reviewer 3.</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Please see our response to your general comment above.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Please see our response to your general comment above.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point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uncertainty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Please see our response to your general comment above. Although</w:t>
      </w:r>
      <w:r>
        <w:rPr>
          <w:iCs/>
          <w:i/>
        </w:rPr>
        <w:t xml:space="preserve"> </w:t>
      </w:r>
      <w:r>
        <w:rPr>
          <w:iCs/>
          <w:i/>
        </w:rPr>
        <w:t xml:space="preserve">Tassone and Bukaveckas (2019)</w:t>
      </w:r>
      <w:r>
        <w:rPr>
          <w:iCs/>
          <w:i/>
        </w:rPr>
        <w:t xml:space="preserve"> </w:t>
      </w:r>
      <w:r>
        <w:rPr>
          <w:iCs/>
          <w:i/>
        </w:rPr>
        <w:t xml:space="preserve">does provide another useful example, we still feel that these methods have not been thoroughly explored in estuaries.</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30"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Thank you for providing thoughtful comments on our manuscript. Please see our responses below.</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one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rPr>
          <w:iCs/>
          <w:i/>
        </w:rPr>
        <w:t xml:space="preserve">Response: Apologies for this confusion. Eq. 3 is not used in EBASE, rather it is discussed as the gas transfer used in BASE that is inappropriate for our application, justifying use of the gas exchange model in</w:t>
      </w:r>
      <w:r>
        <w:rPr>
          <w:iCs/>
          <w:i/>
        </w:rPr>
        <w:t xml:space="preserve"> </w:t>
      </w:r>
      <w:r>
        <w:rPr>
          <w:iCs/>
          <w:i/>
        </w:rPr>
        <w:t xml:space="preserve">Wanninkhof (2014)</w:t>
      </w:r>
      <w:r>
        <w:rPr>
          <w:iCs/>
          <w:i/>
        </w:rPr>
        <w:t xml:space="preserve">. Line 166 was revised to make this more clear:</w:t>
      </w:r>
      <w:r>
        <w:rPr>
          <w:iCs/>
          <w:i/>
        </w:rPr>
        <w:t xml:space="preserve"> </w:t>
      </w:r>
      <w:r>
        <w:rPr>
          <w:iCs/>
          <w:i/>
        </w:rPr>
        <w:t xml:space="preserve">“</w:t>
      </w:r>
      <w:r>
        <w:rPr>
          <w:iCs/>
          <w:i/>
        </w:rPr>
        <w:t xml:space="preserve">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 (Equation 2)…</w:t>
      </w:r>
      <w:r>
        <w:rPr>
          <w:iCs/>
          <w:i/>
        </w:rPr>
        <w:t xml:space="preserve">”</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rPr>
          <w:iCs/>
          <w:i/>
        </w:rPr>
        <w:t xml:space="preserve">Response: We have noted lack of clarity in our description of Equation 3 that includes the depth-dependency. As noted by Reviewer 3,</w:t>
      </w:r>
      <w:r>
        <w:rPr>
          <w:iCs/>
          <w:i/>
        </w:rPr>
        <w:t xml:space="preserve"> </w:t>
      </w:r>
      <w:r>
        <w:rPr>
          <w:iCs/>
          <w:i/>
        </w:rPr>
        <w:t xml:space="preserve">Grace et al. (2015)</w:t>
      </w:r>
      <w:r>
        <w:rPr>
          <w:iCs/>
          <w:i/>
        </w:rPr>
        <w:t xml:space="preserve"> </w:t>
      </w:r>
      <w:r>
        <w:rPr>
          <w:iCs/>
          <w:i/>
        </w:rPr>
        <w:t xml:space="preserve">do not include a depth-dependency in this equation. We have since revised the equation and text accordingly, emphasizing the importance of wind for the transfer velocity in open-water systems. Regarding temperature, we feel justified in its inclusion for gas exchange given the previously noted relationship with the Schmidt number, a known factor to be important in open-water systems. Also see our response to your comment on line 164.</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Yes, we agree this issue is perplexing and worth exploring further. We have mentioned in the original draft how this could be explored further, e.g., evaluation in other locations where gas exchange may be a more dominant component of the metabolic model (line 490). We have also added a brief description of</w:t>
      </w:r>
      <w:r>
        <w:rPr>
          <w:iCs/>
          <w:i/>
        </w:rPr>
        <w:t xml:space="preserve"> </w:t>
      </w:r>
      <w:r>
        <w:rPr>
          <w:iCs/>
          <w:i/>
        </w:rPr>
        <w:t xml:space="preserve">Appling et al. (2018)</w:t>
      </w:r>
      <w:r>
        <w:rPr>
          <w:iCs/>
          <w:i/>
        </w:rPr>
        <w:t xml:space="preserve"> </w:t>
      </w:r>
      <w:r>
        <w:rPr>
          <w:iCs/>
          <w:i/>
        </w:rPr>
        <w:t xml:space="preserve">that confront this issue in stream metabolic models. Please see our response to the general comments from Reviewer 3.</w:t>
      </w:r>
    </w:p>
    <w:bookmarkEnd w:id="21"/>
    <w:bookmarkStart w:id="29"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Added R in parentheses.</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Sentence was revised as follows:</w:t>
      </w:r>
      <w:r>
        <w:rPr>
          <w:iCs/>
          <w:i/>
        </w:rPr>
        <w:t xml:space="preserve"> </w:t>
      </w:r>
      <w:r>
        <w:rPr>
          <w:iCs/>
          <w:i/>
        </w:rPr>
        <w:t xml:space="preserve">“</w:t>
      </w:r>
      <w:r>
        <w:rPr>
          <w:iCs/>
          <w:i/>
        </w:rPr>
        <w:t xml:space="preserve">…forming particulate organic carbon with multiple fates, e.g., buried in estuarine sediments, incorporated into biota, transferred to the ocean, etc.</w:t>
      </w:r>
      <w:r>
        <w:rPr>
          <w:iCs/>
          <w:i/>
        </w:rPr>
        <w:t xml:space="preserve"> </w:t>
      </w:r>
      <w:r>
        <w:rPr>
          <w:iCs/>
          <w:i/>
        </w:rPr>
        <w:t xml:space="preserve">(Hu et al. 2006; Middelburg and Herman 2007)</w:t>
      </w:r>
      <w:r>
        <w:rPr>
          <w:iCs/>
          <w:i/>
        </w:rPr>
        <w:t xml:space="preserve">.</w:t>
      </w:r>
      <w:r>
        <w:rPr>
          <w:iCs/>
          <w:i/>
        </w:rPr>
        <w:t xml:space="preserve">”</w:t>
      </w:r>
    </w:p>
    <w:p>
      <w:pPr>
        <w:pStyle w:val="BodyText"/>
      </w:pPr>
      <w:r>
        <w:t xml:space="preserve">L83: which computed rates were negative? P, R, or both?</w:t>
      </w:r>
    </w:p>
    <w:p>
      <w:pPr>
        <w:pStyle w:val="BodyText"/>
      </w:pPr>
      <w:r>
        <w:rPr>
          <w:iCs/>
          <w:i/>
        </w:rPr>
        <w:t xml:space="preserve">Response: Revised as</w:t>
      </w:r>
      <w:r>
        <w:rPr>
          <w:iCs/>
          <w:i/>
        </w:rPr>
        <w:t xml:space="preserve"> </w:t>
      </w:r>
      <w:r>
        <w:rPr>
          <w:iCs/>
          <w:i/>
        </w:rPr>
        <w:t xml:space="preserve">“</w:t>
      </w:r>
      <w:r>
        <w:rPr>
          <w:iCs/>
          <w:i/>
        </w:rPr>
        <w:t xml:space="preserve">The computed rates were negative 23% of the time for both P and R…</w:t>
      </w:r>
      <w:r>
        <w:rPr>
          <w:iCs/>
          <w:i/>
        </w:rPr>
        <w:t xml:space="preserve">”</w:t>
      </w:r>
    </w:p>
    <w:p>
      <w:pPr>
        <w:pStyle w:val="BodyText"/>
      </w:pPr>
      <w:r>
        <w:t xml:space="preserve">L128: mean depth?</w:t>
      </w:r>
    </w:p>
    <w:p>
      <w:pPr>
        <w:pStyle w:val="BodyText"/>
      </w:pPr>
      <w:r>
        <w:rPr>
          <w:iCs/>
          <w:i/>
        </w:rPr>
        <w:t xml:space="preserve">Response: The software can handle a single value (e.g., mean depth) or a vector of tidal height depths equal in length to the input time series. This is expressed in the documentation: https://fawda123.github.io/EBASE/reference/ebase.html. This is also expressed in the new table showing model inputs/outputs as requested above.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Please see the new table for inputs/outputs. Although equation 1 can apply to different units of space and time, we have added those used herein in parentheses:</w:t>
      </w:r>
      <w:r>
        <w:rPr>
          <w:iCs/>
          <w:i/>
        </w:rPr>
        <w:t xml:space="preserve"> </w:t>
      </w:r>
      <w:r>
        <w:rPr>
          <w:iCs/>
          <w:i/>
        </w:rPr>
        <w:t xml:space="preserve">“</w:t>
      </w:r>
      <w:r>
        <w:rPr>
          <w:iCs/>
          <w:i/>
        </w:rPr>
        <w:t xml:space="preserve">The equation has dimensions of moles per unit area and time (e.g.,</w:t>
      </w:r>
      <w:r>
        <w:rPr>
          <w:iCs/>
          <w:i/>
        </w:rPr>
        <w:t xml:space="preserve">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r>
        <w:rPr>
          <w:iCs/>
          <w:i/>
        </w:rPr>
        <w:t xml:space="preserv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We have specified that the unknown metabolic parameters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are constant at the unit of the model optimization period chosen by the user, although P and D vary continuously given their dependence on measured input parameters (e.g., PAR, wind) that can change at each time step. Please see our response to reviewer 1 on line 181.</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Please see our response to the previous comment and the new input/output table. It’s an ambiguous parameter, but really just an indication of how sensitive the gas transfer is to wind speed. The sentence was revised as</w:t>
      </w:r>
      <w:r>
        <w:rPr>
          <w:iCs/>
          <w:i/>
        </w:rPr>
        <w:t xml:space="preserve"> </w:t>
      </w:r>
      <w:r>
        <w:rPr>
          <w:iCs/>
          <w:i/>
        </w:rPr>
        <w:t xml:space="preserve">“</w:t>
      </w:r>
      <w:r>
        <w:rPr>
          <w:iCs/>
          <w:i/>
        </w:rPr>
        <w:t xml:space="preserve">The</w:t>
      </w:r>
      <w:r>
        <w:rPr>
          <w:iCs/>
          <w:i/>
        </w:rPr>
        <w:t xml:space="preserve"> </w:t>
      </w:r>
      <m:oMath>
        <m:r>
          <m:t>b</m:t>
        </m:r>
      </m:oMath>
      <w:r>
        <w:rPr>
          <w:iCs/>
          <w:i/>
        </w:rPr>
        <w:t xml:space="preserve"> </w:t>
      </w:r>
      <w:r>
        <w:rPr>
          <w:iCs/>
          <w:i/>
        </w:rPr>
        <w:t xml:space="preserve">parameter is fairly well known for open-ocean conditions primarily as an expression of the sensitivity of gas exchange to wind…</w:t>
      </w:r>
      <w:r>
        <w:rPr>
          <w:iCs/>
          <w:i/>
        </w:rPr>
        <w:t xml:space="preserv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This was an inaccurate statement on our part. We have updated the equation and text accordingly:</w:t>
      </w:r>
    </w:p>
    <w:p>
      <w:pPr>
        <w:pStyle w:val="BodyText"/>
      </w:pPr>
      <w:r>
        <w:rPr>
          <w:iCs/>
          <w:i/>
        </w:rPr>
        <w:t xml:space="preserve">Line 141: “Equation 1 is similar to the oxygen mass balance equation in BASE</w:t>
      </w:r>
      <w:r>
        <w:rPr>
          <w:iCs/>
          <w:i/>
        </w:rPr>
        <w:t xml:space="preserve"> </w:t>
      </w:r>
      <w:r>
        <w:rPr>
          <w:iCs/>
          <w:i/>
        </w:rPr>
        <w:t xml:space="preserve">(Grace et al. 2015)</w:t>
      </w:r>
      <w:r>
        <w:rPr>
          <w:iCs/>
          <w:i/>
        </w:rPr>
        <w:t xml:space="preserve">, with the main difference being the treatment of gas exchange. While both assume that gas exchange is proportional to the concentration gradient across the air–water interface, the treatments of the proportionality differ.</w:t>
      </w:r>
      <w:r>
        <w:rPr>
          <w:iCs/>
          <w:i/>
        </w:rPr>
        <w:t xml:space="preserve"> </w:t>
      </w:r>
      <w:r>
        <w:rPr>
          <w:iCs/>
          <w:i/>
        </w:rPr>
        <w:t xml:space="preserve">Grace et al. (2015)</w:t>
      </w:r>
      <w:r>
        <w:rPr>
          <w:iCs/>
          <w:i/>
        </w:rPr>
        <w:t xml:space="preserve"> </w:t>
      </w:r>
      <w:r>
        <w:rPr>
          <w:iCs/>
          <w:i/>
        </w:rPr>
        <w:t xml:space="preserve">used the following for the volumetric gas flux (</w:t>
      </w:r>
      <m:oMath>
        <m:r>
          <m:t>D</m:t>
        </m:r>
        <m:r>
          <m:t>v</m:t>
        </m:r>
        <m:r>
          <m:t>o</m:t>
        </m:r>
        <m:r>
          <m:t>l</m:t>
        </m:r>
      </m:oMath>
      <w:r>
        <w:rPr>
          <w:iCs/>
          <w:i/>
        </w:rPr>
        <w:t xml:space="preserve">) in BASE:</w:t>
      </w:r>
    </w:p>
    <w:p>
      <w:pPr>
        <w:pStyle w:val="BodyText"/>
      </w:pPr>
      <m:oMathPara>
        <m:oMathParaPr>
          <m:jc m:val="center"/>
        </m:oMathParaPr>
        <m:oMath>
          <m:r>
            <m:t>D</m:t>
          </m:r>
          <m:r>
            <m:t>v</m:t>
          </m:r>
          <m:r>
            <m:t>o</m:t>
          </m:r>
          <m:r>
            <m:t>l</m:t>
          </m:r>
          <m:r>
            <m:rPr>
              <m:sty m:val="p"/>
            </m:rPr>
            <m:t>=</m:t>
          </m:r>
          <m:d>
            <m:dPr>
              <m:begChr m:val="["/>
              <m:endChr m:val="]"/>
              <m:sepChr m:val=""/>
              <m:grow/>
            </m:dPr>
            <m:e>
              <m:r>
                <m:t> </m:t>
              </m:r>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d>
                <m:dPr>
                  <m:begChr m:val="("/>
                  <m:endChr m:val=")"/>
                  <m:sepChr m:val=""/>
                  <m:grow/>
                </m:dPr>
                <m:e>
                  <m:sSub>
                    <m:e>
                      <m:r>
                        <m:t>C</m:t>
                      </m:r>
                    </m:e>
                    <m:sub>
                      <m:r>
                        <m:t>s</m:t>
                      </m:r>
                      <m:r>
                        <m:t>a</m:t>
                      </m:r>
                      <m:r>
                        <m:t>t</m:t>
                      </m:r>
                    </m:sub>
                  </m:sSub>
                  <m:r>
                    <m:rPr>
                      <m:sty m:val="p"/>
                    </m:rPr>
                    <m:t>−</m:t>
                  </m:r>
                  <m:r>
                    <m:t>C</m:t>
                  </m:r>
                </m:e>
              </m:d>
            </m:e>
          </m:d>
          <m:r>
            <m:t> </m:t>
          </m:r>
        </m:oMath>
      </m:oMathPara>
    </w:p>
    <w:p>
      <w:pPr>
        <w:pStyle w:val="FirstParagraph"/>
      </w:pPr>
      <w:r>
        <w:rPr>
          <w:iCs/>
          <w:i/>
        </w:rPr>
        <w:t xml:space="preserve">where</w:t>
      </w:r>
      <w:r>
        <w:rPr>
          <w:iCs/>
          <w:i/>
        </w:rPr>
        <w:t xml:space="preserve"> </w:t>
      </w:r>
      <m:oMath>
        <m:r>
          <m:t>T</m:t>
        </m:r>
      </m:oMath>
      <w:r>
        <w:rPr>
          <w:iCs/>
          <w:i/>
        </w:rPr>
        <w:t xml:space="preserve"> </w:t>
      </w:r>
      <w:r>
        <w:rPr>
          <w:iCs/>
          <w:i/>
        </w:rPr>
        <w:t xml:space="preserve">is the instantaneous water temperature,</w:t>
      </w:r>
      <w:r>
        <w:rPr>
          <w:iCs/>
          <w:i/>
        </w:rPr>
        <w:t xml:space="preserve"> </w:t>
      </w:r>
      <m:oMath>
        <m:acc>
          <m:accPr>
            <m:chr m:val="‾"/>
          </m:accPr>
          <m:e>
            <m:r>
              <m:t>T</m:t>
            </m:r>
          </m:e>
        </m:acc>
      </m:oMath>
      <w:r>
        <w:rPr>
          <w:iCs/>
          <w:i/>
        </w:rPr>
        <w:t xml:space="preserve"> </w:t>
      </w:r>
      <w:r>
        <w:rPr>
          <w:iCs/>
          <w:i/>
        </w:rPr>
        <w:t xml:space="preserve">is the average water temperature over each 24-hour period in the oxygen time series (both in</w:t>
      </w:r>
      <w:r>
        <w:rPr>
          <w:iCs/>
          <w:i/>
        </w:rPr>
        <w:t xml:space="preserve"> </w:t>
      </w:r>
      <m:oMath>
        <m:sSup>
          <m:e>
            <m:r>
              <m:t>​</m:t>
            </m:r>
          </m:e>
          <m:sup>
            <m:r>
              <m:rPr>
                <m:sty m:val="p"/>
              </m:rPr>
              <m:t>∘</m:t>
            </m:r>
          </m:sup>
        </m:sSup>
      </m:oMath>
      <w:r>
        <w:rPr>
          <w:iCs/>
          <w:i/>
        </w:rPr>
        <w:t xml:space="preserve">C),</w:t>
      </w:r>
      <w:r>
        <w:rPr>
          <w:iCs/>
          <w:i/>
        </w:rPr>
        <w:t xml:space="preserve"> </w:t>
      </w:r>
      <m:oMath>
        <m:r>
          <m:t>C</m:t>
        </m:r>
      </m:oMath>
      <w:r>
        <w:rPr>
          <w:iCs/>
          <w:i/>
        </w:rPr>
        <w:t xml:space="preserve"> </w:t>
      </w:r>
      <w:r>
        <w:rPr>
          <w:iCs/>
          <w:i/>
        </w:rPr>
        <w:t xml:space="preserve">is the measured dissolved oxygen, and</w:t>
      </w:r>
      <w:r>
        <w:rPr>
          <w:iCs/>
          <w:i/>
        </w:rPr>
        <w:t xml:space="preserve"> </w:t>
      </w:r>
      <m:oMath>
        <m:sSub>
          <m:e>
            <m:r>
              <m:t>C</m:t>
            </m:r>
          </m:e>
          <m:sub>
            <m:r>
              <m:t>s</m:t>
            </m:r>
            <m:r>
              <m:t>a</m:t>
            </m:r>
            <m:r>
              <m:t>t</m:t>
            </m:r>
          </m:sub>
        </m:sSub>
      </m:oMath>
      <w:r>
        <w:rPr>
          <w:iCs/>
          <w:i/>
        </w:rPr>
        <w:t xml:space="preserve"> </w:t>
      </w:r>
      <w:r>
        <w:rPr>
          <w:iCs/>
          <w:i/>
        </w:rPr>
        <w:t xml:space="preserve">is the saturation concentration.</w:t>
      </w:r>
      <w:r>
        <w:rPr>
          <w:iCs/>
          <w:i/>
        </w:rPr>
        <w:t xml:space="preserve"> </w:t>
      </w:r>
      <m:oMath>
        <m:r>
          <m:t>K</m:t>
        </m:r>
      </m:oMath>
      <w:r>
        <w:rPr>
          <w:iCs/>
          <w:i/>
        </w:rPr>
        <w:t xml:space="preserve"> </w:t>
      </w:r>
      <w:r>
        <w:rPr>
          <w:iCs/>
          <w:i/>
        </w:rPr>
        <w:t xml:space="preserve">is the reaeration coefficient, which was estimated from the data. In EBASE, gas flux per unit surface area of the air-water interface is proportional to the concentration gradient, with the proportionality taken from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(see Equation 2). EBASE also allows</w:t>
      </w:r>
      <w:r>
        <w:rPr>
          <w:iCs/>
          <w:i/>
        </w:rPr>
        <w:t xml:space="preserve"> </w:t>
      </w:r>
      <m:oMath>
        <m:r>
          <m:t>b</m:t>
        </m:r>
      </m:oMath>
      <w:r>
        <w:rPr>
          <w:iCs/>
          <w:i/>
        </w:rPr>
        <w:t xml:space="preserve"> </w:t>
      </w:r>
      <w:r>
        <w:rPr>
          <w:iCs/>
          <w:i/>
        </w:rPr>
        <w:t xml:space="preserve">to be a free parameter that may reflect spatial and temporal variability in factors other than wind and temperature that may influence transfer velocity.</w:t>
      </w:r>
      <w:r>
        <w:rPr>
          <w:iCs/>
          <w:i/>
        </w:rPr>
        <w:t xml:space="preserve"> </w:t>
      </w:r>
      <w:r>
        <w:rPr>
          <w:iCs/>
          <w:i/>
        </w:rPr>
        <w:t xml:space="preserve">Wanninkhof (2014)</w:t>
      </w:r>
      <w:r>
        <w:rPr>
          <w:iCs/>
          <w:i/>
        </w:rPr>
        <w:t xml:space="preserve"> </w:t>
      </w:r>
      <w:r>
        <w:rPr>
          <w:iCs/>
          <w:i/>
        </w:rPr>
        <w:t xml:space="preserve">estimated a fixed</w:t>
      </w:r>
      <w:r>
        <w:rPr>
          <w:iCs/>
          <w:i/>
        </w:rPr>
        <w:t xml:space="preserve"> </w:t>
      </w:r>
      <m:oMath>
        <m:r>
          <m:t>b</m:t>
        </m:r>
      </m:oMath>
      <w:r>
        <w:rPr>
          <w:iCs/>
          <w:i/>
        </w:rPr>
        <w:t xml:space="preserve"> </w:t>
      </w:r>
      <w:r>
        <w:rPr>
          <w:iCs/>
          <w:i/>
        </w:rPr>
        <w:t xml:space="preserve">parameter as 0.251</w:t>
      </w:r>
      <w:r>
        <w:rPr>
          <w:iCs/>
          <w:i/>
        </w:rPr>
        <w:t xml:space="preserve"> </w:t>
      </w:r>
      <m:oMath>
        <m:d>
          <m:dPr>
            <m:begChr m:val="("/>
            <m:endChr m:val=")"/>
            <m:sepChr m:val=""/>
            <m:grow/>
          </m:dPr>
          <m:e>
            <m:r>
              <m:rPr>
                <m:nor/>
                <m:sty m:val="p"/>
              </m:rPr>
              <m:t>cm</m:t>
            </m:r>
            <m:r>
              <m:t> </m:t>
            </m:r>
            <m:sSup>
              <m:e>
                <m:r>
                  <m:rPr>
                    <m:nor/>
                    <m:sty m:val="p"/>
                  </m:rPr>
                  <m:t>hr</m:t>
                </m:r>
              </m:e>
              <m:sup>
                <m:r>
                  <m:rPr>
                    <m:sty m:val="p"/>
                  </m:rPr>
                  <m:t>−</m:t>
                </m:r>
                <m:r>
                  <m:t>1</m:t>
                </m:r>
              </m:sup>
            </m:sSup>
          </m:e>
        </m:d>
        <m:r>
          <m:rPr>
            <m:sty m:val="p"/>
          </m:rPr>
          <m:t>/</m:t>
        </m:r>
        <m:d>
          <m:dPr>
            <m:begChr m:val="("/>
            <m:endChr m:val=")"/>
            <m:sepChr m:val=""/>
            <m:grow/>
          </m:dPr>
          <m:e>
            <m:sSup>
              <m:e>
                <m:r>
                  <m:rPr>
                    <m:nor/>
                    <m:sty m:val="p"/>
                  </m:rPr>
                  <m:t>m</m:t>
                </m:r>
              </m:e>
              <m:sup>
                <m:r>
                  <m:t>2</m:t>
                </m:r>
              </m:sup>
            </m:sSup>
            <m:r>
              <m:t> </m:t>
            </m:r>
            <m:sSup>
              <m:e>
                <m:r>
                  <m:rPr>
                    <m:nor/>
                    <m:sty m:val="p"/>
                  </m:rPr>
                  <m:t>s</m:t>
                </m:r>
              </m:e>
              <m:sup>
                <m:r>
                  <m:rPr>
                    <m:sty m:val="p"/>
                  </m:rPr>
                  <m:t>−</m:t>
                </m:r>
                <m:r>
                  <m:t>2</m:t>
                </m:r>
              </m:sup>
            </m:sSup>
          </m:e>
        </m:d>
      </m:oMath>
      <w:r>
        <w:rPr>
          <w:iCs/>
          <w:i/>
        </w:rPr>
        <w:t xml:space="preserv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It’s the exception and not the norm that published software remains the same after a descriptive manuscript is published. For this reason, we have added a version of EBASE that is appropriate for this paper (v1.0.0) and included the version number in the text. EBASE is also now on</w:t>
      </w:r>
      <w:r>
        <w:rPr>
          <w:iCs/>
          <w:i/>
        </w:rPr>
        <w:t xml:space="preserve"> </w:t>
      </w:r>
      <w:hyperlink r:id="rId22">
        <w:r>
          <w:rPr>
            <w:rStyle w:val="Hyperlink"/>
            <w:iCs/>
            <w:i/>
          </w:rPr>
          <w:t xml:space="preserve">CRAN</w:t>
        </w:r>
      </w:hyperlink>
      <w:r>
        <w:rPr>
          <w:iCs/>
          <w:i/>
        </w:rPr>
        <w:t xml:space="preserve">, the Centralized R Archive Network, where a majority of publicly available R packages are hosted, in addition to the</w:t>
      </w:r>
      <w:r>
        <w:rPr>
          <w:iCs/>
          <w:i/>
        </w:rPr>
        <w:t xml:space="preserve"> </w:t>
      </w:r>
      <w:hyperlink r:id="rId23">
        <w:r>
          <w:rPr>
            <w:rStyle w:val="Hyperlink"/>
            <w:iCs/>
            <w:i/>
          </w:rPr>
          <w:t xml:space="preserve">GitHub repository</w:t>
        </w:r>
      </w:hyperlink>
      <w:r>
        <w:rPr>
          <w:iCs/>
          <w:i/>
        </w:rPr>
        <w:t xml:space="preserve">. We have also added text on line 193 indicating where source materials for this manuscript (i.e., to reproduce results) can be found:</w:t>
      </w:r>
      <w:r>
        <w:rPr>
          <w:iCs/>
          <w:i/>
        </w:rPr>
        <w:t xml:space="preserve"> </w:t>
      </w:r>
      <w:r>
        <w:rPr>
          <w:iCs/>
          <w:i/>
        </w:rPr>
        <w:t xml:space="preserve">“</w:t>
      </w:r>
      <w:r>
        <w:rPr>
          <w:iCs/>
          <w:i/>
        </w:rPr>
        <w:t xml:space="preserve">All results provided herein were generated using the EBASE R package (specific materials for this manuscript can be found at</w:t>
      </w:r>
      <w:r>
        <w:rPr>
          <w:iCs/>
          <w:i/>
        </w:rPr>
        <w:t xml:space="preserve"> </w:t>
      </w:r>
      <w:hyperlink r:id="rId24">
        <w:r>
          <w:rPr>
            <w:rStyle w:val="Hyperlink"/>
            <w:iCs/>
            <w:i/>
          </w:rPr>
          <w:t xml:space="preserve">https://github.com/fawda123/ebase-manu</w:t>
        </w:r>
      </w:hyperlink>
      <w:r>
        <w:rPr>
          <w:iCs/>
          <w:i/>
        </w:rPr>
        <w:t xml:space="preserve">).</w:t>
      </w:r>
      <w:r>
        <w:rPr>
          <w:iCs/>
          <w:i/>
        </w:rPr>
        <w:t xml:space="preserve">”</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Point well taken, we have not been consistent in the exponent notation as the text uses positive with fractions and the figures use negative with no fractions. We have corrected all instances in the text to use negative exponents. However, we have retained the units for</w:t>
      </w:r>
      <w:r>
        <w:rPr>
          <w:iCs/>
          <w:i/>
        </w:rPr>
        <w:t xml:space="preserve"> </w:t>
      </w:r>
      <m:oMath>
        <m:r>
          <m:t>a</m:t>
        </m:r>
      </m:oMath>
      <w:r>
        <w:rPr>
          <w:iCs/>
          <w:i/>
        </w:rPr>
        <w:t xml:space="preserve"> </w:t>
      </w:r>
      <w:r>
        <w:rPr>
          <w:iCs/>
          <w:i/>
        </w:rPr>
        <w:t xml:space="preserve">since this makes the relationship between</w:t>
      </w:r>
      <w:r>
        <w:rPr>
          <w:iCs/>
          <w:i/>
        </w:rPr>
        <w:t xml:space="preserve"> </w:t>
      </w:r>
      <m:oMath>
        <m:r>
          <m:t>P</m:t>
        </m:r>
      </m:oMath>
      <w:r>
        <w:rPr>
          <w:iCs/>
          <w:i/>
        </w:rPr>
        <w:t xml:space="preserve">,</w:t>
      </w:r>
      <w:r>
        <w:rPr>
          <w:iCs/>
          <w:i/>
        </w:rPr>
        <w:t xml:space="preserve"> </w:t>
      </w:r>
      <m:oMath>
        <m:r>
          <m:t>a</m:t>
        </m:r>
      </m:oMath>
      <w:r>
        <w:rPr>
          <w:iCs/>
          <w:i/>
        </w:rPr>
        <w:t xml:space="preserve">, and</w:t>
      </w:r>
      <w:r>
        <w:rPr>
          <w:iCs/>
          <w:i/>
        </w:rPr>
        <w:t xml:space="preserve"> </w:t>
      </w:r>
      <m:oMath>
        <m:r>
          <m:t>P</m:t>
        </m:r>
        <m:r>
          <m:t>A</m:t>
        </m:r>
        <m:r>
          <m:t>R</m:t>
        </m:r>
      </m:oMath>
      <w:r>
        <w:rPr>
          <w:iCs/>
          <w:i/>
        </w:rPr>
        <w:t xml:space="preserve"> </w:t>
      </w:r>
      <w:r>
        <w:rPr>
          <w:iCs/>
          <w:i/>
        </w:rPr>
        <w:t xml:space="preserve">more clear, i.e., the units for PAR (</w:t>
      </w:r>
      <m:oMath>
        <m:r>
          <m:t>W</m:t>
        </m:r>
        <m:r>
          <m:t> </m:t>
        </m:r>
        <m:sSup>
          <m:e>
            <m:r>
              <m:t>m</m:t>
            </m:r>
          </m:e>
          <m:sup>
            <m:r>
              <m:rPr>
                <m:sty m:val="p"/>
              </m:rPr>
              <m:t>−</m:t>
            </m:r>
            <m:r>
              <m:t>2</m:t>
            </m:r>
          </m:sup>
        </m:sSup>
      </m:oMath>
      <w:r>
        <w:rPr>
          <w:iCs/>
          <w:i/>
        </w:rPr>
        <w:t xml:space="preserve">) when multiplied by the units for</w:t>
      </w:r>
      <w:r>
        <w:rPr>
          <w:iCs/>
          <w:i/>
        </w:rPr>
        <w:t xml:space="preserve"> </w:t>
      </w:r>
      <m:oMath>
        <m:r>
          <m:t>a</m:t>
        </m:r>
      </m:oMath>
      <w:r>
        <w:rPr>
          <w:iCs/>
          <w:i/>
        </w:rPr>
        <w:t xml:space="preserve"> </w:t>
      </w:r>
      <w:r>
        <w:rPr>
          <w:iCs/>
          <w:i/>
        </w:rPr>
        <w:t xml:space="preserve">(</w:t>
      </w:r>
      <m:oMath>
        <m:d>
          <m:dPr>
            <m:begChr m:val="("/>
            <m:endChr m:val=")"/>
            <m:sepChr m:val=""/>
            <m:grow/>
          </m:dPr>
          <m:e>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e>
        </m:d>
        <m:r>
          <m:rPr>
            <m:sty m:val="p"/>
          </m:rPr>
          <m:t>/</m:t>
        </m:r>
        <m:d>
          <m:dPr>
            <m:begChr m:val="("/>
            <m:endChr m:val=")"/>
            <m:sepChr m:val=""/>
            <m:grow/>
          </m:dPr>
          <m:e>
            <m:r>
              <m:t>W</m:t>
            </m:r>
            <m:r>
              <m:t> </m:t>
            </m:r>
            <m:sSup>
              <m:e>
                <m:r>
                  <m:t>m</m:t>
                </m:r>
              </m:e>
              <m:sup>
                <m:r>
                  <m:rPr>
                    <m:sty m:val="p"/>
                  </m:rPr>
                  <m:t>−</m:t>
                </m:r>
                <m:r>
                  <m:t>2</m:t>
                </m:r>
              </m:sup>
            </m:sSup>
          </m:e>
        </m:d>
      </m:oMath>
      <w:r>
        <w:rPr>
          <w:iCs/>
          <w:i/>
        </w:rPr>
        <w:t xml:space="preserve">) produce the units for P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Yes, we noticed this behavior as well. To us, this is a reflection of the instability in the parameter estimation. Earlier iterations of model development did not have this constraint and the</w:t>
      </w:r>
      <w:r>
        <w:rPr>
          <w:iCs/>
          <w:i/>
        </w:rPr>
        <w:t xml:space="preserve"> </w:t>
      </w:r>
      <m:oMath>
        <m:r>
          <m:t>b</m:t>
        </m:r>
      </m:oMath>
      <w:r>
        <w:rPr>
          <w:iCs/>
          <w:i/>
        </w:rPr>
        <w:t xml:space="preserve"> </w:t>
      </w:r>
      <w:r>
        <w:rPr>
          <w:iCs/>
          <w:i/>
        </w:rPr>
        <w:t xml:space="preserve">parameter was often estimated at unreasonably high values, often causing the other parameters (</w:t>
      </w:r>
      <m:oMath>
        <m:r>
          <m:t>a</m:t>
        </m:r>
      </m:oMath>
      <w:r>
        <w:rPr>
          <w:iCs/>
          <w:i/>
        </w:rPr>
        <w:t xml:space="preserve"> </w:t>
      </w:r>
      <w:r>
        <w:rPr>
          <w:iCs/>
          <w:i/>
        </w:rPr>
        <w:t xml:space="preserve">and</w:t>
      </w:r>
      <w:r>
        <w:rPr>
          <w:iCs/>
          <w:i/>
        </w:rPr>
        <w:t xml:space="preserve"> </w:t>
      </w:r>
      <m:oMath>
        <m:r>
          <m:t>R</m:t>
        </m:r>
      </m:oMath>
      <w:r>
        <w:rPr>
          <w:iCs/>
          <w:i/>
        </w:rPr>
        <w:t xml:space="preserve">) to also be unreasonable. We previously described some rationale for why this parameters was so poorly constrained and offer some potential solutions for future research (i.e., lines 482-490, 502-509.)</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Perhaps, although our focus was on the primary metabolic parameters returned by EBASE given the goal of assessing parameter recovery (of which kw is included). For sake of interest, below is a plot of D and kw for the synthetic data (data available here:</w:t>
      </w:r>
      <w:r>
        <w:rPr>
          <w:iCs/>
          <w:i/>
        </w:rPr>
        <w:t xml:space="preserve"> </w:t>
      </w:r>
      <w:hyperlink r:id="rId25">
        <w:r>
          <w:rPr>
            <w:rStyle w:val="Hyperlink"/>
            <w:iCs/>
            <w:i/>
          </w:rPr>
          <w:t xml:space="preserve">https://raw.githubusercontent.com/fawda123/BASEmetab_script/master/data/apafwoxy2.csv</w:t>
        </w:r>
      </w:hyperlink>
      <w:r>
        <w:rPr>
          <w:iCs/>
          <w:i/>
        </w:rPr>
        <w:t xml:space="preserve">). Note that kw is directly proportional to wind, whereas D is mostly a function of kw and the difference between C and Csat.</w:t>
      </w:r>
    </w:p>
    <w:p>
      <w:pPr>
        <w:pStyle w:val="BodyText"/>
      </w:pPr>
      <w:r>
        <w:drawing>
          <wp:inline>
            <wp:extent cx="5943600" cy="2971800"/>
            <wp:effectExtent b="0" l="0" r="0" t="0"/>
            <wp:docPr descr="" title="" id="27" name="Picture"/>
            <a:graphic>
              <a:graphicData uri="http://schemas.openxmlformats.org/drawingml/2006/picture">
                <pic:pic>
                  <pic:nvPicPr>
                    <pic:cNvPr descr="review_response_files/figure-docx/unnamed-chunk-3-1.png" id="28"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Good suggestion, we have added this text to line 541 (also note the last sentence that was added in response to a general comment from reviewer 1 regarding how frequency of continuous sampling may affect the results):</w:t>
      </w:r>
      <w:r>
        <w:rPr>
          <w:iCs/>
          <w:i/>
        </w:rPr>
        <w:t xml:space="preserve"> </w:t>
      </w:r>
      <w:r>
        <w:rPr>
          <w:iCs/>
          <w:i/>
        </w:rPr>
        <w:t xml:space="preserve">“</w:t>
      </w:r>
      <w:r>
        <w:rPr>
          <w:iCs/>
          <w:i/>
        </w:rPr>
        <w:t xml:space="preserve">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r>
        <w:rPr>
          <w:iCs/>
          <w:i/>
        </w:rPr>
        <w:t xml:space="preserve">”</w:t>
      </w:r>
    </w:p>
    <w:bookmarkEnd w:id="29"/>
    <w:bookmarkEnd w:id="30"/>
    <w:bookmarkStart w:id="32"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Thank you for these suggestions. We agree an explicit description of how the approach can be applied regarding uncertainties in the</w:t>
      </w:r>
      <w:r>
        <w:rPr>
          <w:iCs/>
          <w:i/>
        </w:rPr>
        <w:t xml:space="preserve"> </w:t>
      </w:r>
      <m:oMath>
        <m:r>
          <m:t>b</m:t>
        </m:r>
      </m:oMath>
      <w:r>
        <w:rPr>
          <w:iCs/>
          <w:i/>
        </w:rPr>
        <w:t xml:space="preserve"> </w:t>
      </w:r>
      <w:r>
        <w:rPr>
          <w:iCs/>
          <w:i/>
        </w:rPr>
        <w:t xml:space="preserve">parameter is needed. Some discussion is already included (e.g., line 488). We have also added text describing how</w:t>
      </w:r>
      <w:r>
        <w:rPr>
          <w:iCs/>
          <w:i/>
        </w:rPr>
        <w:t xml:space="preserve"> </w:t>
      </w:r>
      <w:r>
        <w:rPr>
          <w:iCs/>
          <w:i/>
        </w:rPr>
        <w:t xml:space="preserve">Appling et al. (2018)</w:t>
      </w:r>
      <w:r>
        <w:rPr>
          <w:iCs/>
          <w:i/>
        </w:rPr>
        <w:t xml:space="preserve"> </w:t>
      </w:r>
      <w:r>
        <w:rPr>
          <w:iCs/>
          <w:i/>
        </w:rPr>
        <w:t xml:space="preserve">addressed the issue, although this addition describes further model development rather than application. Revisions were made to the first paragraph of the discussion.</w:t>
      </w:r>
    </w:p>
    <w:p>
      <w:pPr>
        <w:pStyle w:val="BodyText"/>
      </w:pPr>
      <w:r>
        <w:rPr>
          <w:iCs/>
          <w:i/>
        </w:rPr>
        <w:t xml:space="preserve">Line 490:</w:t>
      </w:r>
      <w:r>
        <w:rPr>
          <w:iCs/>
          <w:i/>
        </w:rPr>
        <w:t xml:space="preserve"> </w:t>
      </w:r>
      <w:r>
        <w:rPr>
          <w:iCs/>
          <w:i/>
        </w:rPr>
        <w:t xml:space="preserve">“</w:t>
      </w:r>
      <w:r>
        <w:rPr>
          <w:iCs/>
          <w:i/>
        </w:rPr>
        <w:t xml:space="preserve">For application, users of EBASE may simply use a fixed value for</w:t>
      </w:r>
      <w:r>
        <w:rPr>
          <w:iCs/>
          <w:i/>
        </w:rPr>
        <w:t xml:space="preserve"> </w:t>
      </w:r>
      <m:oMath>
        <m:r>
          <m:t>b</m:t>
        </m:r>
      </m:oMath>
      <w:r>
        <w:rPr>
          <w:iCs/>
          <w:i/>
        </w:rPr>
        <w:t xml:space="preserve"> </w:t>
      </w:r>
      <w:r>
        <w:rPr>
          <w:iCs/>
          <w:i/>
        </w:rPr>
        <w:t xml:space="preserve">(e.g., 0.251</w:t>
      </w:r>
      <w:r>
        <w:rPr>
          <w:iCs/>
          <w:i/>
        </w:rPr>
        <w:t xml:space="preserve"> </w:t>
      </w:r>
      <m:oMath>
        <m:d>
          <m:dPr>
            <m:begChr m:val="("/>
            <m:endChr m:val=")"/>
            <m:sepChr m:val=""/>
            <m:grow/>
          </m:dPr>
          <m:e>
            <m:r>
              <m:rPr>
                <m:nor/>
                <m:sty m:val="p"/>
              </m:rPr>
              <m:t>cm</m:t>
            </m:r>
            <m:r>
              <m:t> </m:t>
            </m:r>
            <m:sSup>
              <m:e>
                <m:r>
                  <m:rPr>
                    <m:nor/>
                    <m:sty m:val="p"/>
                  </m:rPr>
                  <m:t>hr</m:t>
                </m:r>
              </m:e>
              <m:sup>
                <m:r>
                  <m:rPr>
                    <m:sty m:val="p"/>
                  </m:rPr>
                  <m:t>−</m:t>
                </m:r>
                <m:r>
                  <m:t>1</m:t>
                </m:r>
              </m:sup>
            </m:sSup>
          </m:e>
        </m:d>
        <m:r>
          <m:rPr>
            <m:sty m:val="p"/>
          </m:rPr>
          <m:t>/</m:t>
        </m:r>
        <m:d>
          <m:dPr>
            <m:begChr m:val="("/>
            <m:endChr m:val=")"/>
            <m:sepChr m:val=""/>
            <m:grow/>
          </m:dPr>
          <m:e>
            <m:sSup>
              <m:e>
                <m:r>
                  <m:rPr>
                    <m:nor/>
                    <m:sty m:val="p"/>
                  </m:rPr>
                  <m:t>m</m:t>
                </m:r>
              </m:e>
              <m:sup>
                <m:r>
                  <m:t>2</m:t>
                </m:r>
              </m:sup>
            </m:sSup>
            <m:r>
              <m:t> </m:t>
            </m:r>
            <m:sSup>
              <m:e>
                <m:r>
                  <m:rPr>
                    <m:nor/>
                    <m:sty m:val="p"/>
                  </m:rPr>
                  <m:t>s</m:t>
                </m:r>
              </m:e>
              <m:sup>
                <m:r>
                  <m:rPr>
                    <m:sty m:val="p"/>
                  </m:rPr>
                  <m:t>−</m:t>
                </m:r>
                <m:r>
                  <m:t>2</m:t>
                </m:r>
              </m:sup>
            </m:sSup>
          </m:e>
        </m:d>
      </m:oMath>
      <w:r>
        <w:rPr>
          <w:iCs/>
          <w:i/>
        </w:rPr>
        <w:t xml:space="preserve">) or perform a simple sensitivity analysis by varying</w:t>
      </w:r>
      <w:r>
        <w:rPr>
          <w:iCs/>
          <w:i/>
        </w:rPr>
        <w:t xml:space="preserve"> </w:t>
      </w:r>
      <m:oMath>
        <m:r>
          <m:t>b</m:t>
        </m:r>
      </m:oMath>
      <w:r>
        <w:rPr>
          <w:iCs/>
          <w:i/>
        </w:rPr>
        <w:t xml:space="preserve"> </w:t>
      </w:r>
      <w:r>
        <w:rPr>
          <w:iCs/>
          <w:i/>
        </w:rPr>
        <w:t xml:space="preserve">+/- a small percentage to determine how</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may change. Further model development may consider alternative approaches for dealing with equifinality, i.e., when the same modeled DO time series can be returned with different estimates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w:t>
      </w:r>
      <w:r>
        <w:rPr>
          <w:iCs/>
          <w:i/>
        </w:rPr>
        <w:t xml:space="preserve"> </w:t>
      </w:r>
      <w:r>
        <w:rPr>
          <w:iCs/>
          <w:i/>
        </w:rPr>
        <w:t xml:space="preserve">Appling et al. (2018)</w:t>
      </w:r>
      <w:r>
        <w:rPr>
          <w:iCs/>
          <w:i/>
        </w:rPr>
        <w:t xml:space="preserve"> </w:t>
      </w:r>
      <w:r>
        <w:rPr>
          <w:iCs/>
          <w:i/>
        </w:rPr>
        <w:t xml:space="preserve">provide a useful example for a stream metabolic model that addresses equifinality by allowing model parameters to vary with key drivers at sub-daily scales (e.g., gas exchange versus discharge) and avoiding assumptions that model residuals are uncorrelated.</w:t>
      </w:r>
      <w:r>
        <w:rPr>
          <w:iCs/>
          <w:i/>
        </w:rPr>
        <w:t xml:space="preserve">”</w:t>
      </w:r>
    </w:p>
    <w:bookmarkStart w:id="31"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was modified as suggested.</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The sentence was modified to clarify the meaning. We have retained</w:t>
      </w:r>
      <w:r>
        <w:rPr>
          <w:iCs/>
          <w:i/>
        </w:rPr>
        <w:t xml:space="preserve"> </w:t>
      </w:r>
      <w:r>
        <w:rPr>
          <w:iCs/>
          <w:i/>
        </w:rPr>
        <w:t xml:space="preserve">“</w:t>
      </w:r>
      <w:r>
        <w:rPr>
          <w:iCs/>
          <w:i/>
        </w:rPr>
        <w:t xml:space="preserve">constrain</w:t>
      </w:r>
      <w:r>
        <w:rPr>
          <w:iCs/>
          <w:i/>
        </w:rPr>
        <w:t xml:space="preserve">”</w:t>
      </w:r>
      <w:r>
        <w:rPr>
          <w:iCs/>
          <w:i/>
        </w:rPr>
        <w:t xml:space="preserve"> </w:t>
      </w:r>
      <w:r>
        <w:rPr>
          <w:iCs/>
          <w:i/>
        </w:rPr>
        <w:t xml:space="preserve">given that it’s used throughout the paper, but we provide an explicit meaning in parentheses:</w:t>
      </w:r>
      <w:r>
        <w:rPr>
          <w:iCs/>
          <w:i/>
        </w:rPr>
        <w:t xml:space="preserve"> </w:t>
      </w:r>
      <w:r>
        <w:rPr>
          <w:iCs/>
          <w:i/>
        </w:rPr>
        <w:t xml:space="preserve">“</w:t>
      </w:r>
      <w:r>
        <w:rPr>
          <w:iCs/>
          <w:i/>
        </w:rPr>
        <w:t xml:space="preserve">We also attempt to constrain (i.e., accurately estimate) the gas transfer velocity using EBASE but are unable…</w:t>
      </w:r>
      <w:r>
        <w:rPr>
          <w:iCs/>
          <w:i/>
        </w:rPr>
        <w:t xml:space="preserve">”</w:t>
      </w:r>
      <w:r>
        <w:rPr>
          <w:iCs/>
          <w:i/>
        </w:rPr>
        <w:t xml:space="preserv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Thank you for pointing out this error. We have removed this from the text and revised accordingly. Please see our response to reviewer 2 for line 164.</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w:t>
      </w:r>
    </w:p>
    <w:p>
      <w:pPr>
        <w:pStyle w:val="BodyText"/>
      </w:pPr>
      <w:r>
        <w:rPr>
          <w:iCs/>
          <w:i/>
        </w:rPr>
        <w:t xml:space="preserve">Response: Sentence was revised as follows:</w:t>
      </w:r>
      <w:r>
        <w:rPr>
          <w:iCs/>
          <w:i/>
        </w:rPr>
        <w:t xml:space="preserve"> </w:t>
      </w:r>
      <w:r>
        <w:rPr>
          <w:iCs/>
          <w:i/>
        </w:rPr>
        <w:t xml:space="preserve">“</w:t>
      </w:r>
      <w:r>
        <w:rPr>
          <w:iCs/>
          <w:i/>
        </w:rPr>
        <w:t xml:space="preserve">…the potential for the model to produce the right answer (accurate</w:t>
      </w:r>
      <w:r>
        <w:rPr>
          <w:iCs/>
          <w:i/>
        </w:rPr>
        <w:t xml:space="preserve"> </w:t>
      </w:r>
      <m:oMath>
        <m:r>
          <m:t>D</m:t>
        </m:r>
        <m:r>
          <m:t>O</m:t>
        </m:r>
      </m:oMath>
      <w:r>
        <w:rPr>
          <w:iCs/>
          <w:i/>
        </w:rPr>
        <w:t xml:space="preserve">) for the wrong reasons (inaccurate</w:t>
      </w:r>
      <w:r>
        <w:rPr>
          <w:iCs/>
          <w:i/>
        </w:rPr>
        <w:t xml:space="preserve"> </w:t>
      </w:r>
      <m:oMath>
        <m:r>
          <m:t>P</m:t>
        </m:r>
      </m:oMath>
      <w:r>
        <w:rPr>
          <w:iCs/>
          <w:i/>
        </w:rPr>
        <w:t xml:space="preserve">,</w:t>
      </w:r>
      <w:r>
        <w:rPr>
          <w:iCs/>
          <w:i/>
        </w:rPr>
        <w:t xml:space="preserve"> </w:t>
      </w:r>
      <m:oMath>
        <m:r>
          <m:t>R</m:t>
        </m:r>
      </m:oMath>
      <w:r>
        <w:rPr>
          <w:iCs/>
          <w:i/>
        </w:rPr>
        <w:t xml:space="preserve">, or</w:t>
      </w:r>
      <w:r>
        <w:rPr>
          <w:iCs/>
          <w:i/>
        </w:rPr>
        <w:t xml:space="preserve"> </w:t>
      </w:r>
      <m:oMath>
        <m:r>
          <m:t>D</m:t>
        </m:r>
      </m:oMath>
      <w:r>
        <w:rPr>
          <w:iCs/>
          <w:i/>
        </w:rPr>
        <w:t xml:space="preserve">), since</w:t>
      </w:r>
      <w:r>
        <w:rPr>
          <w:iCs/>
          <w:i/>
        </w:rPr>
        <w:t xml:space="preserve"> </w:t>
      </w:r>
      <m:oMath>
        <m:r>
          <m:t>D</m:t>
        </m:r>
        <m:r>
          <m:t>O</m:t>
        </m:r>
      </m:oMath>
      <w:r>
        <w:rPr>
          <w:iCs/>
          <w:i/>
        </w:rPr>
        <w:t xml:space="preserve"> </w:t>
      </w:r>
      <w:r>
        <w:rPr>
          <w:iCs/>
          <w:i/>
        </w:rPr>
        <w:t xml:space="preserve">is simply a mass balance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 </w:t>
      </w:r>
      <w:r>
        <w:rPr>
          <w:iCs/>
          <w:i/>
        </w:rPr>
        <w:t xml:space="preserve">(Equation 1). This issue, or equifinality, has been encountered in stream metabolic models</w:t>
      </w:r>
      <w:r>
        <w:rPr>
          <w:iCs/>
          <w:i/>
        </w:rPr>
        <w:t xml:space="preserve"> </w:t>
      </w:r>
      <w:r>
        <w:rPr>
          <w:iCs/>
          <w:i/>
        </w:rPr>
        <w:t xml:space="preserve">(Appling et al. 2018)</w:t>
      </w:r>
      <w:r>
        <w:rPr>
          <w:iCs/>
          <w:i/>
        </w:rPr>
        <w:t xml:space="preserve">.</w:t>
      </w:r>
      <w:r>
        <w:rPr>
          <w:iCs/>
          <w:i/>
        </w:rPr>
        <w:t xml:space="preserve">”</w:t>
      </w:r>
    </w:p>
    <w:bookmarkEnd w:id="31"/>
    <w:bookmarkEnd w:id="32"/>
    <w:bookmarkStart w:id="52" w:name="references"/>
    <w:p>
      <w:pPr>
        <w:pStyle w:val="Heading2"/>
      </w:pPr>
      <w:r>
        <w:t xml:space="preserve">References</w:t>
      </w:r>
    </w:p>
    <w:bookmarkStart w:id="51" w:name="refs"/>
    <w:bookmarkStart w:id="34" w:name="ref-appling2018"/>
    <w:p>
      <w:pPr>
        <w:pStyle w:val="Bibliography"/>
      </w:pPr>
      <w:r>
        <w:t xml:space="preserve">Appling, A. P., R. O. Hall, C. B. Yackulic, and M. Arroita. 2018. Overcoming Equifinality: Leveraging Long Time Series for Stream Metabolism Estimation. Journal of Geophysical Research: Biogeosciences</w:t>
      </w:r>
      <w:r>
        <w:t xml:space="preserve"> </w:t>
      </w:r>
      <w:r>
        <w:rPr>
          <w:bCs/>
          <w:b/>
        </w:rPr>
        <w:t xml:space="preserve">123</w:t>
      </w:r>
      <w:r>
        <w:t xml:space="preserve">: 624–645. doi:</w:t>
      </w:r>
      <w:hyperlink r:id="rId33">
        <w:r>
          <w:rPr>
            <w:rStyle w:val="Hyperlink"/>
          </w:rPr>
          <w:t xml:space="preserve">10.1002/2017jg004140</w:t>
        </w:r>
      </w:hyperlink>
    </w:p>
    <w:bookmarkEnd w:id="34"/>
    <w:bookmarkStart w:id="36"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5">
        <w:r>
          <w:rPr>
            <w:rStyle w:val="Hyperlink"/>
          </w:rPr>
          <w:t xml:space="preserve">10.1002/lom3.10062</w:t>
        </w:r>
      </w:hyperlink>
    </w:p>
    <w:bookmarkEnd w:id="36"/>
    <w:bookmarkStart w:id="38"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37">
        <w:r>
          <w:rPr>
            <w:rStyle w:val="Hyperlink"/>
          </w:rPr>
          <w:t xml:space="preserve">10.1007/bf02803563</w:t>
        </w:r>
      </w:hyperlink>
    </w:p>
    <w:bookmarkEnd w:id="38"/>
    <w:bookmarkStart w:id="40" w:name="ref-ciavatta2008"/>
    <w:p>
      <w:pPr>
        <w:pStyle w:val="Bibliography"/>
      </w:pPr>
      <w:r>
        <w:t xml:space="preserve">Ciavatta, S., R. Pastres, C. Badetti, G. Ferrari, and M. B. Beck. 2008. Estimation of phytoplanktonic production and system respiration from data collected by a real-time monitoring network in the Lagoon of Venice. Ecological Modelling</w:t>
      </w:r>
      <w:r>
        <w:t xml:space="preserve"> </w:t>
      </w:r>
      <w:r>
        <w:rPr>
          <w:bCs/>
          <w:b/>
        </w:rPr>
        <w:t xml:space="preserve">212</w:t>
      </w:r>
      <w:r>
        <w:t xml:space="preserve">: 28–36. doi:</w:t>
      </w:r>
      <w:hyperlink r:id="rId39">
        <w:r>
          <w:rPr>
            <w:rStyle w:val="Hyperlink"/>
          </w:rPr>
          <w:t xml:space="preserve">10.1016/j.ecolmodel.2007.10.025</w:t>
        </w:r>
      </w:hyperlink>
    </w:p>
    <w:bookmarkEnd w:id="40"/>
    <w:bookmarkStart w:id="42"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BASE</w:t>
      </w:r>
      <w:r>
        <w:t xml:space="preserve"> </w:t>
      </w:r>
      <w:r>
        <w:t xml:space="preserve">(</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41">
        <w:r>
          <w:rPr>
            <w:rStyle w:val="Hyperlink"/>
          </w:rPr>
          <w:t xml:space="preserve">10.1002/lom3.10011</w:t>
        </w:r>
      </w:hyperlink>
    </w:p>
    <w:bookmarkEnd w:id="42"/>
    <w:bookmarkStart w:id="44" w:name="ref-hu2006"/>
    <w:p>
      <w:pPr>
        <w:pStyle w:val="Bibliography"/>
      </w:pPr>
      <w:r>
        <w:t xml:space="preserve">Hu, J., P. Peng, G. Jia, B. Mai, and G. Zhang. 2006. Distribution and sources of organic carbon, nitrogen and their isotopes in sediments of the subtropical Pearl River estuary and adjacent shelf, Southern China. Marine Chemistry</w:t>
      </w:r>
      <w:r>
        <w:t xml:space="preserve"> </w:t>
      </w:r>
      <w:r>
        <w:rPr>
          <w:bCs/>
          <w:b/>
        </w:rPr>
        <w:t xml:space="preserve">98</w:t>
      </w:r>
      <w:r>
        <w:t xml:space="preserve">: 274–285. doi:</w:t>
      </w:r>
      <w:hyperlink r:id="rId43">
        <w:r>
          <w:rPr>
            <w:rStyle w:val="Hyperlink"/>
          </w:rPr>
          <w:t xml:space="preserve">10.1016/j.marchem.2005.03.008</w:t>
        </w:r>
      </w:hyperlink>
    </w:p>
    <w:bookmarkEnd w:id="44"/>
    <w:bookmarkStart w:id="46" w:name="ref-middelburg2007"/>
    <w:p>
      <w:pPr>
        <w:pStyle w:val="Bibliography"/>
      </w:pPr>
      <w:r>
        <w:t xml:space="preserve">Middelburg, J. J., and P. M. J. Herman. 2007. Organic matter processing in tidal estuaries. Marine Chemistry</w:t>
      </w:r>
      <w:r>
        <w:t xml:space="preserve"> </w:t>
      </w:r>
      <w:r>
        <w:rPr>
          <w:bCs/>
          <w:b/>
        </w:rPr>
        <w:t xml:space="preserve">106</w:t>
      </w:r>
      <w:r>
        <w:t xml:space="preserve">: 127–147. doi:</w:t>
      </w:r>
      <w:hyperlink r:id="rId45">
        <w:r>
          <w:rPr>
            <w:rStyle w:val="Hyperlink"/>
          </w:rPr>
          <w:t xml:space="preserve">10.1016/j.marchem.2006.02.007</w:t>
        </w:r>
      </w:hyperlink>
    </w:p>
    <w:bookmarkEnd w:id="46"/>
    <w:bookmarkStart w:id="48" w:name="ref-tassone2019"/>
    <w:p>
      <w:pPr>
        <w:pStyle w:val="Bibliography"/>
      </w:pPr>
      <w:r>
        <w:t xml:space="preserve">Tassone, S. J., and P. A. Bukaveckas. 2019. Seasonal, interannual, and longitudinal patterns in estuarine metabolism derived from diel oxygen data using multiple computational approaches. Estuaries and Coasts</w:t>
      </w:r>
      <w:r>
        <w:t xml:space="preserve"> </w:t>
      </w:r>
      <w:r>
        <w:rPr>
          <w:bCs/>
          <w:b/>
        </w:rPr>
        <w:t xml:space="preserve">42</w:t>
      </w:r>
      <w:r>
        <w:t xml:space="preserve">: 1032–1051. doi:</w:t>
      </w:r>
      <w:hyperlink r:id="rId47">
        <w:r>
          <w:rPr>
            <w:rStyle w:val="Hyperlink"/>
          </w:rPr>
          <w:t xml:space="preserve">10.1007/s12237-019-00526-0</w:t>
        </w:r>
      </w:hyperlink>
    </w:p>
    <w:bookmarkEnd w:id="48"/>
    <w:bookmarkStart w:id="50"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49">
        <w:r>
          <w:rPr>
            <w:rStyle w:val="Hyperlink"/>
          </w:rPr>
          <w:t xml:space="preserve">10.4319/lom.2014.12.351</w:t>
        </w:r>
      </w:hyperlink>
    </w:p>
    <w:bookmarkEnd w:id="50"/>
    <w:bookmarkEnd w:id="51"/>
    <w:bookmarkEnd w:id="5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2" Target="https://cran.r-project.org/web/packages/EBASE/index.html" TargetMode="External" /><Relationship Type="http://schemas.openxmlformats.org/officeDocument/2006/relationships/hyperlink" Id="rId33" Target="https://doi.org/10.1002/2017jg004140" TargetMode="External" /><Relationship Type="http://schemas.openxmlformats.org/officeDocument/2006/relationships/hyperlink" Id="rId41" Target="https://doi.org/10.1002/lom3.10011" TargetMode="External" /><Relationship Type="http://schemas.openxmlformats.org/officeDocument/2006/relationships/hyperlink" Id="rId35" Target="https://doi.org/10.1002/lom3.10062" TargetMode="External" /><Relationship Type="http://schemas.openxmlformats.org/officeDocument/2006/relationships/hyperlink" Id="rId37" Target="https://doi.org/10.1007/bf02803563" TargetMode="External" /><Relationship Type="http://schemas.openxmlformats.org/officeDocument/2006/relationships/hyperlink" Id="rId47" Target="https://doi.org/10.1007/s12237-019-00526-0" TargetMode="External" /><Relationship Type="http://schemas.openxmlformats.org/officeDocument/2006/relationships/hyperlink" Id="rId39" Target="https://doi.org/10.1016/j.ecolmodel.2007.10.025" TargetMode="External" /><Relationship Type="http://schemas.openxmlformats.org/officeDocument/2006/relationships/hyperlink" Id="rId43" Target="https://doi.org/10.1016/j.marchem.2005.03.008" TargetMode="External" /><Relationship Type="http://schemas.openxmlformats.org/officeDocument/2006/relationships/hyperlink" Id="rId45" Target="https://doi.org/10.1016/j.marchem.2006.02.007" TargetMode="External" /><Relationship Type="http://schemas.openxmlformats.org/officeDocument/2006/relationships/hyperlink" Id="rId49" Target="https://doi.org/10.4319/lom.2014.12.351" TargetMode="External" /><Relationship Type="http://schemas.openxmlformats.org/officeDocument/2006/relationships/hyperlink" Id="rId23" Target="https://github.com/fawda123/EBASE" TargetMode="External" /><Relationship Type="http://schemas.openxmlformats.org/officeDocument/2006/relationships/hyperlink" Id="rId24" Target="https://github.com/fawda123/ebase-manu" TargetMode="External" /><Relationship Type="http://schemas.openxmlformats.org/officeDocument/2006/relationships/hyperlink" Id="rId25" Target="https://raw.githubusercontent.com/fawda123/BASEmetab_script/master/data/apafwoxy2.csv" TargetMode="External" /></Relationships>
</file>

<file path=word/_rels/footnotes.xml.rels><?xml version="1.0" encoding="UTF-8"?><Relationships xmlns="http://schemas.openxmlformats.org/package/2006/relationships"><Relationship Type="http://schemas.openxmlformats.org/officeDocument/2006/relationships/hyperlink" Id="rId22" Target="https://cran.r-project.org/web/packages/EBASE/index.html" TargetMode="External" /><Relationship Type="http://schemas.openxmlformats.org/officeDocument/2006/relationships/hyperlink" Id="rId33" Target="https://doi.org/10.1002/2017jg004140" TargetMode="External" /><Relationship Type="http://schemas.openxmlformats.org/officeDocument/2006/relationships/hyperlink" Id="rId41" Target="https://doi.org/10.1002/lom3.10011" TargetMode="External" /><Relationship Type="http://schemas.openxmlformats.org/officeDocument/2006/relationships/hyperlink" Id="rId35" Target="https://doi.org/10.1002/lom3.10062" TargetMode="External" /><Relationship Type="http://schemas.openxmlformats.org/officeDocument/2006/relationships/hyperlink" Id="rId37" Target="https://doi.org/10.1007/bf02803563" TargetMode="External" /><Relationship Type="http://schemas.openxmlformats.org/officeDocument/2006/relationships/hyperlink" Id="rId47" Target="https://doi.org/10.1007/s12237-019-00526-0" TargetMode="External" /><Relationship Type="http://schemas.openxmlformats.org/officeDocument/2006/relationships/hyperlink" Id="rId39" Target="https://doi.org/10.1016/j.ecolmodel.2007.10.025" TargetMode="External" /><Relationship Type="http://schemas.openxmlformats.org/officeDocument/2006/relationships/hyperlink" Id="rId43" Target="https://doi.org/10.1016/j.marchem.2005.03.008" TargetMode="External" /><Relationship Type="http://schemas.openxmlformats.org/officeDocument/2006/relationships/hyperlink" Id="rId45" Target="https://doi.org/10.1016/j.marchem.2006.02.007" TargetMode="External" /><Relationship Type="http://schemas.openxmlformats.org/officeDocument/2006/relationships/hyperlink" Id="rId49" Target="https://doi.org/10.4319/lom.2014.12.351" TargetMode="External" /><Relationship Type="http://schemas.openxmlformats.org/officeDocument/2006/relationships/hyperlink" Id="rId23" Target="https://github.com/fawda123/EBASE" TargetMode="External" /><Relationship Type="http://schemas.openxmlformats.org/officeDocument/2006/relationships/hyperlink" Id="rId24" Target="https://github.com/fawda123/ebase-manu" TargetMode="External" /><Relationship Type="http://schemas.openxmlformats.org/officeDocument/2006/relationships/hyperlink" Id="rId25" Target="https://raw.githubusercontent.com/fawda123/BASEmetab_script/master/data/apafwoxy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2024-03-12T17:38:40Z</dcterms:created>
  <dcterms:modified xsi:type="dcterms:W3CDTF">2024-03-12T17:38:40Z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