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ome-methods"/>
      <w:r>
        <w:t xml:space="preserve">Some methods</w:t>
      </w:r>
      <w:bookmarkEnd w:id="20"/>
    </w:p>
    <w:p>
      <w:pPr>
        <w:pStyle w:val="FirstParagraph"/>
      </w:pPr>
      <w:r>
        <w:t xml:space="preserve">Image analysis methods were developed in the Python programming language to automatically measure the surface area of individual in each image.. The python libraries OpenCV (Bradski 2000) and ImageAI (Olafenwa and Olafenwa 2018) were used to first separate the portion of each image identified as oysters from the background and then individual oysters were automatically identified for size analysis. . Individuals were identified by automatically tracing the contour of each oyster and then estimating the surface area using a conversion factor to translate the number of image pixels occupied by each oyster to an areal size measurement using the ruler placed in each image. We analysed a subset of the same number of the oysters from each treatment. We present the workflow of different libraries in the supplementary.</w:t>
      </w:r>
    </w:p>
    <w:p>
      <w:pPr>
        <w:pStyle w:val="BodyText"/>
      </w:pPr>
      <w:r>
        <w:t xml:space="preserve">Differences among treatments, experimental time points (weeks), and species for each of the morphological measurements were evaluated using generalized linear models and linear mixed-effects regression models in the R statistical programming language (RDCT 2020). The lmerTest package (Kuznetsova et al. 2017) was used to evaluate differences among treatments and weeks using a random intercept for the replicate jars assigned to each treatment. The standard glm function from the base R stats package was used when insufficient degrees of freedom prevented a random jar effect for specific subsets of the data. Models were developed separately within each week period to identify significant differences among treatments (one-way ANOVA) for each species and combined using both week and treatment as factor levels for the model predictors (two-way ANOVA as additive effects and with interactions). Post-hoc comparisons among factor levels were also conducted to compare contrasts for pairs of treatments using the estimate_contrasts function from the modelbased package (Makowski et al. 2020).</w:t>
      </w:r>
    </w:p>
    <w:p>
      <w:pPr>
        <w:pStyle w:val="BodyText"/>
      </w:pPr>
      <w:r>
        <w:t xml:space="preserve">Quantile regression analyses were also used to test for significant differences among treatments for larger individuals. This was done to account for potential differences in growth rates from density-dependent feeding effects in each jar that were independent of the treatments. Specifically, individuals in each jar that were located on the periphery of the cluster of oysters may have more access to food as compared to individuals in the center of each cluster. As a result, differences in growth between treatments may be more easily identified by evaluating only individuals with positive growth and only individuals at a higher percentile of growth. Quantile regression models were used to test for significant differences in size (area and weight) for individuals at the 80th percentile for each treatment and on the subset of individuals that showed only positive growth throughout the six-week period. The qt function from the quantreg package was used for all analyses (Koenker 2020). As for the linear models above, separate models were developed to test for differences among treatments within each week and for both week and treatment as predictors.</w:t>
      </w:r>
    </w:p>
    <w:p>
      <w:pPr>
        <w:pStyle w:val="BodyText"/>
      </w:pPr>
      <w:r>
        <w:t xml:space="preserve">We visually investigated the survival of the oysters at the time of stopping the experiments and counting the number of organisms that died between the biweekly time exposure. Survival curves for each treatment and by species were estimated across the duration of the exposure period from week zero to week six using the survival package (Therneau 2020) in R (RDCT 2020). Survival rates for each of the four time points during the exposure period were evaluated using the Kaplan-Meier estimate for right-censored data (i.e, each individual was marked as 0 = alive, 1 = dead for the estimates). The survival curves produced the approximate percentage of individuals surviving at each time step with 95% confidence intervals. Significant differences between the survival curves of each treatment were then evaluated using the G-rho family of tests implemented in the survdiff function of the survival package (Harrington and Fleming 1982).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2020-08-29T13:45:30Z</dcterms:created>
  <dcterms:modified xsi:type="dcterms:W3CDTF">2020-08-29T13:45:30Z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bookdown::word_document2</vt:lpwstr>
  </property>
</Properties>
</file>