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ome-results"/>
      <w:r>
        <w:t xml:space="preserve">Some results</w:t>
      </w:r>
      <w:bookmarkEnd w:id="20"/>
    </w:p>
    <w:p>
      <w:pPr>
        <w:pStyle w:val="FirstParagraph"/>
      </w:pPr>
      <w:r>
        <w:t xml:space="preserve">Linear models of treatment response either within week or including week as a predictor showed that there were few significant differences in size or weights for both species of oysters. Mixed-effects models for weight that evaluated each week separately showed no significant associations with treatment for Olympia, except for the week 4 model which showed significantly larger individuals in the 7.7A0.5 treatment compared to those in the 8.0C treatment. There was no significant week or treatment effect in the weight models for Olympia using the two-way analysis design. Similarly, mixed-effect models for weight of Pacific oysters had no significant differences for treatments within each model, except for the week 2 model where the 7.7A0.2 treatment had individuals that were on average significantly heavier than all other treatments. There were no significant week or treatment differences for weight of Pacific oysters in the two-way analysis models. For size, there were no differences for either species for any of the models. However, a comparison of size rate measured as the areal growth per day showed a significant effect of week for Pacific oysters, where the growth rates were in consistent decline across the experiment.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2020-08-29T14:19:15Z</dcterms:created>
  <dcterms:modified xsi:type="dcterms:W3CDTF">2020-08-29T14:19:15Z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bookdown::word_document2</vt:lpwstr>
  </property>
</Properties>
</file>