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AFFE427"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xml:space="preserve">. Empirical descriptions of each model were based on predictive performance against the observed data and ability to reproduce flow-normalized trends with simulated data.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35pt" o:ole="">
            <v:imagedata r:id="rId11" o:title=""/>
          </v:shape>
          <o:OLEObject Type="Embed" ProgID="Equation.3" ShapeID="_x0000_i1025" DrawAspect="Content" ObjectID="_1534769127"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 xml:space="preserve">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77777777"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w:t>
      </w:r>
      <w:r w:rsidRPr="007400BF">
        <w:rPr>
          <w:rFonts w:ascii="Times New Roman" w:hAnsi="Times New Roman" w:cs="Times New Roman"/>
          <w:sz w:val="24"/>
          <w:szCs w:val="24"/>
        </w:rPr>
        <w:lastRenderedPageBreak/>
        <w:t>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7215B121"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 that describe the linear relationship with the response variable.  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However, lack of understanding of how the theoretical foundations of each model differ has likely contributed to their applications for similar purposes without a strong basis for choosing one over the other.</w:t>
      </w:r>
    </w:p>
    <w:p w14:paraId="67CE5D9D" w14:textId="0CA6B1BD"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 xml:space="preserve">ressions that are each </w:t>
      </w:r>
      <w:r w:rsidRPr="00FF4027">
        <w:rPr>
          <w:rFonts w:ascii="Times New Roman" w:hAnsi="Times New Roman" w:cs="Times New Roman"/>
          <w:sz w:val="24"/>
          <w:szCs w:val="24"/>
        </w:rPr>
        <w:lastRenderedPageBreak/>
        <w:t>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GAMs estimate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that optimizes the tradeoff between precision and model over-fitting.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is </w:t>
      </w:r>
      <w:r>
        <w:rPr>
          <w:rFonts w:ascii="Times New Roman" w:hAnsi="Times New Roman" w:cs="Times New Roman"/>
          <w:sz w:val="24"/>
          <w:szCs w:val="24"/>
        </w:rPr>
        <w:t>mathema</w:t>
      </w:r>
      <w:r w:rsidRPr="00FF4027">
        <w:rPr>
          <w:rFonts w:ascii="Times New Roman" w:hAnsi="Times New Roman" w:cs="Times New Roman"/>
          <w:sz w:val="24"/>
          <w:szCs w:val="24"/>
        </w:rPr>
        <w:t>tically complex by comparison.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FF4027">
        <w:rPr>
          <w:rFonts w:ascii="Times New Roman" w:hAnsi="Times New Roman" w:cs="Times New Roman"/>
          <w:sz w:val="24"/>
          <w:szCs w:val="24"/>
        </w:rPr>
        <w:t>wiggliness</w:t>
      </w:r>
      <w:proofErr w:type="spellEnd"/>
      <w:r w:rsidRPr="00FF4027">
        <w:rPr>
          <w:rFonts w:ascii="Times New Roman" w:hAnsi="Times New Roman" w:cs="Times New Roman"/>
          <w:sz w:val="24"/>
          <w:szCs w:val="24"/>
        </w:rPr>
        <w:t xml:space="preserve">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w:t>
      </w:r>
      <w:r w:rsidRPr="00FF4027">
        <w:rPr>
          <w:rFonts w:ascii="Times New Roman" w:hAnsi="Times New Roman" w:cs="Times New Roman"/>
          <w:sz w:val="24"/>
          <w:szCs w:val="24"/>
        </w:rPr>
        <w:lastRenderedPageBreak/>
        <w:t>(k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w:t>
      </w:r>
      <w:proofErr w:type="spellStart"/>
      <w:r w:rsidRPr="00FF4027">
        <w:rPr>
          <w:rFonts w:ascii="Times New Roman" w:hAnsi="Times New Roman" w:cs="Times New Roman"/>
          <w:sz w:val="24"/>
          <w:szCs w:val="24"/>
        </w:rPr>
        <w:t>Efron</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Tibshirani</w:t>
      </w:r>
      <w:proofErr w:type="spellEnd"/>
      <w:r w:rsidRPr="00FF4027">
        <w:rPr>
          <w:rFonts w:ascii="Times New Roman" w:hAnsi="Times New Roman" w:cs="Times New Roman"/>
          <w:sz w:val="24"/>
          <w:szCs w:val="24"/>
        </w:rPr>
        <w:t xml:space="preserve"> 1993, </w:t>
      </w:r>
      <w:proofErr w:type="spellStart"/>
      <w:r w:rsidRPr="00FF4027">
        <w:rPr>
          <w:rFonts w:ascii="Times New Roman" w:hAnsi="Times New Roman" w:cs="Times New Roman"/>
          <w:sz w:val="24"/>
          <w:szCs w:val="24"/>
        </w:rPr>
        <w:t>Arlot</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Celisse</w:t>
      </w:r>
      <w:proofErr w:type="spellEnd"/>
      <w:r w:rsidRPr="00FF4027">
        <w:rPr>
          <w:rFonts w:ascii="Times New Roman" w:hAnsi="Times New Roman" w:cs="Times New Roman"/>
          <w:sz w:val="24"/>
          <w:szCs w:val="24"/>
        </w:rPr>
        <w:t xml:space="preserv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w:t>
      </w:r>
      <w:proofErr w:type="spellStart"/>
      <w:r w:rsidRPr="00FF4027">
        <w:rPr>
          <w:rFonts w:ascii="Times New Roman" w:hAnsi="Times New Roman" w:cs="Times New Roman"/>
          <w:sz w:val="24"/>
          <w:szCs w:val="24"/>
        </w:rPr>
        <w:t>Nocedal</w:t>
      </w:r>
      <w:proofErr w:type="spellEnd"/>
      <w:r w:rsidRPr="00FF4027">
        <w:rPr>
          <w:rFonts w:ascii="Times New Roman" w:hAnsi="Times New Roman" w:cs="Times New Roman"/>
          <w:sz w:val="24"/>
          <w:szCs w:val="24"/>
        </w:rPr>
        <w:t xml:space="preserve">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w:t>
      </w:r>
      <w:r w:rsidRPr="007400BF">
        <w:rPr>
          <w:rFonts w:ascii="Times New Roman" w:hAnsi="Times New Roman" w:cs="Times New Roman"/>
          <w:sz w:val="24"/>
          <w:szCs w:val="24"/>
        </w:rPr>
        <w:lastRenderedPageBreak/>
        <w:t>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w14:anchorId="4213C1A2">
          <v:shape id="_x0000_i1026" type="#_x0000_t75" style="width:148.1pt;height:51.6pt" o:ole="">
            <v:imagedata r:id="rId13" o:title=""/>
          </v:shape>
          <o:OLEObject Type="Embed" ProgID="Equation.3" ShapeID="_x0000_i1026" DrawAspect="Content" ObjectID="_1534769128" r:id="rId14"/>
        </w:object>
      </w:r>
      <w:r w:rsidR="009D25FE">
        <w:rPr>
          <w:rFonts w:ascii="Times New Roman" w:hAnsi="Times New Roman" w:cs="Times New Roman"/>
          <w:sz w:val="24"/>
          <w:szCs w:val="24"/>
        </w:rPr>
        <w:tab/>
        <w:t>(2)</w:t>
      </w:r>
    </w:p>
    <w:p w14:paraId="1CB8A4D3"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4769129" r:id="rId16"/>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w14:anchorId="7216FD6A">
          <v:shape id="_x0000_i1028" type="#_x0000_t75" style="width:193.6pt;height:51.6pt" o:ole="">
            <v:imagedata r:id="rId17" o:title=""/>
          </v:shape>
          <o:OLEObject Type="Embed" ProgID="Equation.3" ShapeID="_x0000_i1028" DrawAspect="Content" ObjectID="_1534769130"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7.55pt;height:21.75pt" o:ole="">
            <v:imagedata r:id="rId19" o:title=""/>
          </v:shape>
          <o:OLEObject Type="Embed" ProgID="Equation.3" ShapeID="_x0000_i1029" DrawAspect="Content" ObjectID="_1534769131"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4769132"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w14:anchorId="4A495FA7">
          <v:shape id="_x0000_i1031" type="#_x0000_t75" style="width:179.3pt;height:67.9pt" o:ole="">
            <v:imagedata r:id="rId23" o:title=""/>
          </v:shape>
          <o:OLEObject Type="Embed" ProgID="Equation.3" ShapeID="_x0000_i1031" DrawAspect="Content" ObjectID="_1534769133"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whereas a slope different </w:t>
      </w:r>
      <w:r w:rsidRPr="007400BF">
        <w:rPr>
          <w:rFonts w:ascii="Times New Roman" w:hAnsi="Times New Roman" w:cs="Times New Roman"/>
          <w:sz w:val="24"/>
          <w:szCs w:val="24"/>
        </w:rPr>
        <w:lastRenderedPageBreak/>
        <w:t>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t>
      </w:r>
      <w:r w:rsidRPr="007400BF">
        <w:rPr>
          <w:rFonts w:ascii="Times New Roman" w:hAnsi="Times New Roman" w:cs="Times New Roman"/>
          <w:sz w:val="24"/>
          <w:szCs w:val="24"/>
        </w:rPr>
        <w:lastRenderedPageBreak/>
        <w:t xml:space="preserve">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1pt;height:19pt" o:ole="">
            <v:imagedata r:id="rId25" o:title=""/>
          </v:shape>
          <o:OLEObject Type="Embed" ProgID="Equation.3" ShapeID="_x0000_i1032" DrawAspect="Content" ObjectID="_1534769134"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w:t>
      </w:r>
      <w:r w:rsidRPr="007400BF">
        <w:rPr>
          <w:rFonts w:ascii="Times New Roman" w:hAnsi="Times New Roman" w:cs="Times New Roman"/>
          <w:sz w:val="24"/>
          <w:szCs w:val="24"/>
        </w:rPr>
        <w:lastRenderedPageBreak/>
        <w:t xml:space="preserve">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5.15pt;height:20.4pt" o:ole="">
            <v:imagedata r:id="rId27" o:title=""/>
          </v:shape>
          <o:OLEObject Type="Embed" ProgID="Equation.3" ShapeID="_x0000_i1033" DrawAspect="Content" ObjectID="_1534769135"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4769136"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4769137"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2.6pt;height:19pt" o:ole="">
            <v:imagedata r:id="rId33" o:title=""/>
          </v:shape>
          <o:OLEObject Type="Embed" ProgID="Equation.3" ShapeID="_x0000_i1036" DrawAspect="Content" ObjectID="_1534769138" r:id="rId34"/>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w14:anchorId="63A3E2E9">
          <v:shape id="_x0000_i1037" type="#_x0000_t75" style="width:148.75pt;height:21.75pt" o:ole="">
            <v:imagedata r:id="rId35" o:title=""/>
          </v:shape>
          <o:OLEObject Type="Embed" ProgID="Equation.3" ShapeID="_x0000_i1037" DrawAspect="Content" ObjectID="_1534769139"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4769140" r:id="rId38"/>
        </w:object>
      </w:r>
      <w:r w:rsidR="00570A57">
        <w:rPr>
          <w:rFonts w:ascii="Times New Roman" w:hAnsi="Times New Roman" w:cs="Times New Roman"/>
          <w:sz w:val="24"/>
          <w:szCs w:val="24"/>
        </w:rPr>
        <w:tab/>
        <w:t>(7)</w:t>
      </w:r>
    </w:p>
    <w:p w14:paraId="0EBFE33C" w14:textId="060371FF"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w14:anchorId="6A4BCA63">
          <v:shape id="_x0000_i1039" type="#_x0000_t75" style="width:29.2pt;height:20.4pt" o:ole="">
            <v:imagedata r:id="rId39" o:title=""/>
          </v:shape>
          <o:OLEObject Type="Embed" ProgID="Equation.3" ShapeID="_x0000_i1039" DrawAspect="Content" ObjectID="_1534769141" r:id="rId40"/>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w14:anchorId="78A03A43">
          <v:shape id="_x0000_i1040" type="#_x0000_t75" style="width:32.6pt;height:21.75pt" o:ole="">
            <v:imagedata r:id="rId41" o:title=""/>
          </v:shape>
          <o:OLEObject Type="Embed" ProgID="Equation.3" ShapeID="_x0000_i1040" DrawAspect="Content" ObjectID="_1534769142" r:id="rId42"/>
        </w:object>
      </w:r>
      <w:r w:rsidR="009F7F29" w:rsidRPr="009F7F29">
        <w:rPr>
          <w:rFonts w:ascii="Times New Roman" w:hAnsi="Times New Roman" w:cs="Times New Roman"/>
          <w:sz w:val="24"/>
          <w:szCs w:val="24"/>
        </w:rPr>
        <w:t>, are estimated empirically f</w:t>
      </w:r>
      <w:r w:rsidR="00994618">
        <w:rPr>
          <w:rFonts w:ascii="Times New Roman" w:hAnsi="Times New Roman" w:cs="Times New Roman"/>
          <w:sz w:val="24"/>
          <w:szCs w:val="24"/>
        </w:rPr>
        <w:t>r</w:t>
      </w:r>
      <w:r w:rsidR="009F7F29" w:rsidRPr="009F7F29">
        <w:rPr>
          <w:rFonts w:ascii="Times New Roman" w:hAnsi="Times New Roman" w:cs="Times New Roman"/>
          <w:sz w:val="24"/>
          <w:szCs w:val="24"/>
        </w:rPr>
        <w:t>om the simulated data. The estimated flow time series within the parentheses,</w:t>
      </w:r>
      <w:r w:rsidR="009F7F29" w:rsidRPr="009F7F29">
        <w:rPr>
          <w:rFonts w:ascii="Times New Roman" w:hAnsi="Times New Roman" w:cs="Times New Roman"/>
          <w:position w:val="-16"/>
          <w:sz w:val="24"/>
          <w:szCs w:val="24"/>
        </w:rPr>
        <w:object w:dxaOrig="1820" w:dyaOrig="440" w14:anchorId="35E817AC">
          <v:shape id="_x0000_i1041" type="#_x0000_t75" style="width:91pt;height:21.75pt" o:ole="">
            <v:imagedata r:id="rId43" o:title=""/>
          </v:shape>
          <o:OLEObject Type="Embed" ProgID="Equation.3" ShapeID="_x0000_i1041" DrawAspect="Content" ObjectID="_1534769143" r:id="rId44"/>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0"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w:t>
      </w:r>
    </w:p>
    <w:p w14:paraId="727D3622" w14:textId="4A653EF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9pt;height:20.4pt" o:ole="">
            <v:imagedata r:id="rId45" o:title=""/>
          </v:shape>
          <o:OLEObject Type="Embed" ProgID="Equation.3" ShapeID="_x0000_i1042" DrawAspect="Content" ObjectID="_1534769144" r:id="rId46"/>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29.9pt;height:20.4pt" o:ole="">
            <v:imagedata r:id="rId47" o:title=""/>
          </v:shape>
          <o:OLEObject Type="Embed" ProgID="Equation.3" ShapeID="_x0000_i1043" DrawAspect="Content" ObjectID="_1534769145" r:id="rId48"/>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13AE311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w:t>
      </w:r>
      <w:bookmarkStart w:id="1" w:name="_GoBack"/>
      <w:bookmarkEnd w:id="1"/>
      <w:r w:rsidRPr="007400BF">
        <w:rPr>
          <w:rFonts w:ascii="Times New Roman" w:hAnsi="Times New Roman" w:cs="Times New Roman"/>
          <w:sz w:val="24"/>
          <w:szCs w:val="24"/>
        </w:rPr>
        <w:t>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2" w:author="Beck, Marcus" w:date="2016-09-07T14:42:00Z">
        <w:r w:rsidR="00064877">
          <w:rPr>
            <w:rFonts w:ascii="Times New Roman" w:hAnsi="Times New Roman" w:cs="Times New Roman"/>
            <w:sz w:val="24"/>
            <w:szCs w:val="24"/>
          </w:rPr>
          <w:t xml:space="preserve"> (seasonal component</w:t>
        </w:r>
      </w:ins>
      <w:ins w:id="3" w:author="Beck, Marcus" w:date="2016-09-07T14:48:00Z">
        <w:r w:rsidR="00064877">
          <w:rPr>
            <w:rFonts w:ascii="Times New Roman" w:hAnsi="Times New Roman" w:cs="Times New Roman"/>
            <w:sz w:val="24"/>
            <w:szCs w:val="24"/>
          </w:rPr>
          <w:t xml:space="preserve">, </w:t>
        </w:r>
      </w:ins>
      <w:proofErr w:type="spellStart"/>
      <w:ins w:id="4" w:author="Beck, Marcus" w:date="2016-09-07T14:49:00Z">
        <w:r w:rsidR="00064877">
          <w:rPr>
            <w:rFonts w:ascii="Times New Roman" w:hAnsi="Times New Roman" w:cs="Times New Roman"/>
            <w:sz w:val="24"/>
            <w:szCs w:val="24"/>
          </w:rPr>
          <w:t>sinuisoidal</w:t>
        </w:r>
        <w:proofErr w:type="spellEnd"/>
        <w:r w:rsidR="00064877">
          <w:rPr>
            <w:rFonts w:ascii="Times New Roman" w:hAnsi="Times New Roman" w:cs="Times New Roman"/>
            <w:sz w:val="24"/>
            <w:szCs w:val="24"/>
          </w:rPr>
          <w:t xml:space="preserve"> terms in eq. (1)</w:t>
        </w:r>
      </w:ins>
      <w:ins w:id="5"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6"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7"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8" w:author="Beck, Marcus" w:date="2016-09-07T14:42:00Z">
        <w:r w:rsidRPr="007400BF" w:rsidDel="00064877">
          <w:rPr>
            <w:rFonts w:ascii="Times New Roman" w:hAnsi="Times New Roman" w:cs="Times New Roman"/>
            <w:sz w:val="24"/>
            <w:szCs w:val="24"/>
          </w:rPr>
          <w:delText>(annual proportion)</w:delText>
        </w:r>
      </w:del>
      <w:del w:id="9"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10"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11" w:author="Beck, Marcus" w:date="2016-09-07T14:39:00Z">
        <w:r w:rsidR="00064877">
          <w:rPr>
            <w:rFonts w:ascii="Times New Roman" w:hAnsi="Times New Roman" w:cs="Times New Roman"/>
            <w:sz w:val="24"/>
            <w:szCs w:val="24"/>
          </w:rPr>
          <w:t>smoothing method used for the GAMs</w:t>
        </w:r>
      </w:ins>
      <w:del w:id="12"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13"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14" w:author="Beck, Marcus" w:date="2016-09-07T14:40:00Z">
        <w:r w:rsidR="00333E31" w:rsidDel="00064877">
          <w:rPr>
            <w:rFonts w:ascii="Times New Roman" w:hAnsi="Times New Roman" w:cs="Times New Roman"/>
            <w:sz w:val="24"/>
            <w:szCs w:val="24"/>
          </w:rPr>
          <w:delText>effective</w:delText>
        </w:r>
      </w:del>
      <w:del w:id="15"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16" w:author="Beck, Marcus" w:date="2016-09-07T14:40:00Z">
        <w:r w:rsidRPr="007400BF" w:rsidDel="00064877">
          <w:rPr>
            <w:rFonts w:ascii="Times New Roman" w:hAnsi="Times New Roman" w:cs="Times New Roman"/>
            <w:sz w:val="24"/>
            <w:szCs w:val="24"/>
          </w:rPr>
          <w:delText>parameters</w:delText>
        </w:r>
      </w:del>
      <w:ins w:id="17"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lastRenderedPageBreak/>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0.46 for WRTDS). In general, model performance was partially linked to flow such that fit was improved during periods of low flow, including seasonal or annual periods of </w:t>
      </w:r>
      <w:r w:rsidRPr="007400BF">
        <w:rPr>
          <w:rFonts w:ascii="Times New Roman" w:hAnsi="Times New Roman" w:cs="Times New Roman"/>
          <w:sz w:val="24"/>
          <w:szCs w:val="24"/>
        </w:rPr>
        <w:lastRenderedPageBreak/>
        <w:t>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Percent changes by flow quantile were also observed at TF1.6, with the most </w:t>
      </w:r>
      <w:r w:rsidRPr="007400BF">
        <w:rPr>
          <w:rFonts w:ascii="Times New Roman" w:hAnsi="Times New Roman" w:cs="Times New Roman"/>
          <w:sz w:val="24"/>
          <w:szCs w:val="24"/>
        </w:rPr>
        <w:lastRenderedPageBreak/>
        <w:t>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15FE3D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18" w:author="Beck, Marcus" w:date="2016-09-07T09:29:00Z">
        <w:r w:rsidRPr="007400BF" w:rsidDel="00850D61">
          <w:rPr>
            <w:rFonts w:ascii="Times New Roman" w:hAnsi="Times New Roman" w:cs="Times New Roman"/>
            <w:sz w:val="24"/>
            <w:szCs w:val="24"/>
          </w:rPr>
          <w:delText>Figure 5</w:delText>
        </w:r>
      </w:del>
      <w:ins w:id="19" w:author="Beck, Marcus" w:date="2016-09-07T09:29:00Z">
        <w:r w:rsidR="00850D61">
          <w:rPr>
            <w:rFonts w:ascii="Times New Roman" w:hAnsi="Times New Roman" w:cs="Times New Roman"/>
            <w:sz w:val="24"/>
            <w:szCs w:val="24"/>
          </w:rPr>
          <w:t xml:space="preserve">Appendix </w:t>
        </w:r>
      </w:ins>
      <w:ins w:id="20"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w:t>
      </w:r>
      <w:r w:rsidRPr="007400BF">
        <w:rPr>
          <w:rFonts w:ascii="Times New Roman" w:hAnsi="Times New Roman" w:cs="Times New Roman"/>
          <w:sz w:val="24"/>
          <w:szCs w:val="24"/>
        </w:rPr>
        <w:lastRenderedPageBreak/>
        <w:t>intercept estimates were greater than zero and slope estimates were less than one. Visual comparisons of results in</w:t>
      </w:r>
      <w:r w:rsidR="00333E31">
        <w:rPr>
          <w:rFonts w:ascii="Times New Roman" w:hAnsi="Times New Roman" w:cs="Times New Roman"/>
          <w:sz w:val="24"/>
          <w:szCs w:val="24"/>
        </w:rPr>
        <w:t xml:space="preserve"> </w:t>
      </w:r>
      <w:del w:id="21" w:author="Beck, Marcus" w:date="2016-09-07T09:29:00Z">
        <w:r w:rsidRPr="007400BF" w:rsidDel="00850D61">
          <w:rPr>
            <w:rFonts w:ascii="Times New Roman" w:hAnsi="Times New Roman" w:cs="Times New Roman"/>
            <w:sz w:val="24"/>
            <w:szCs w:val="24"/>
          </w:rPr>
          <w:delText>Figure 5</w:delText>
        </w:r>
      </w:del>
      <w:ins w:id="22" w:author="Beck, Marcus" w:date="2016-09-07T09:29:00Z">
        <w:r w:rsidR="00850D61">
          <w:rPr>
            <w:rFonts w:ascii="Times New Roman" w:hAnsi="Times New Roman" w:cs="Times New Roman"/>
            <w:sz w:val="24"/>
            <w:szCs w:val="24"/>
          </w:rPr>
          <w:t xml:space="preserve">Appendix </w:t>
        </w:r>
      </w:ins>
      <w:ins w:id="23"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24" w:author="Beck, Marcus" w:date="2016-09-07T09:59:00Z">
        <w:r w:rsidRPr="007400BF" w:rsidDel="00161B36">
          <w:rPr>
            <w:rFonts w:ascii="Times New Roman" w:hAnsi="Times New Roman" w:cs="Times New Roman"/>
            <w:sz w:val="24"/>
            <w:szCs w:val="24"/>
          </w:rPr>
          <w:delText xml:space="preserve">6 </w:delText>
        </w:r>
      </w:del>
      <w:ins w:id="25"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w:t>
      </w:r>
      <w:r w:rsidRPr="007400BF">
        <w:rPr>
          <w:rFonts w:ascii="Times New Roman" w:hAnsi="Times New Roman" w:cs="Times New Roman"/>
          <w:sz w:val="24"/>
          <w:szCs w:val="24"/>
        </w:rPr>
        <w:lastRenderedPageBreak/>
        <w:t>time series and a strong, negative relationship is observed later in the time series, although 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9pt;height:20.4pt" o:ole="">
            <v:imagedata r:id="rId45" o:title=""/>
          </v:shape>
          <o:OLEObject Type="Embed" ProgID="Equation.3" ShapeID="_x0000_i1044" DrawAspect="Content" ObjectID="_1534769146" r:id="rId49"/>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29.9pt;height:20.4pt" o:ole="">
            <v:imagedata r:id="rId50" o:title=""/>
          </v:shape>
          <o:OLEObject Type="Embed" ProgID="Equation.3" ShapeID="_x0000_i1045" DrawAspect="Content" ObjectID="_1534769147" r:id="rId51"/>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26" w:author="Beck, Marcus" w:date="2016-09-07T10:00:00Z">
        <w:r w:rsidRPr="007400BF" w:rsidDel="00161B36">
          <w:rPr>
            <w:rFonts w:ascii="Times New Roman" w:hAnsi="Times New Roman" w:cs="Times New Roman"/>
            <w:sz w:val="24"/>
            <w:szCs w:val="24"/>
          </w:rPr>
          <w:delText xml:space="preserve">7 </w:delText>
        </w:r>
      </w:del>
      <w:ins w:id="27"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28" w:author="Beck, Marcus" w:date="2016-09-07T09:59:00Z">
        <w:r w:rsidRPr="007400BF" w:rsidDel="00161B36">
          <w:rPr>
            <w:rFonts w:ascii="Times New Roman" w:hAnsi="Times New Roman" w:cs="Times New Roman"/>
            <w:sz w:val="24"/>
            <w:szCs w:val="24"/>
          </w:rPr>
          <w:delText>6</w:delText>
        </w:r>
      </w:del>
      <w:ins w:id="29"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30" w:author="Beck, Marcus" w:date="2016-09-07T12:56:00Z">
        <w:r w:rsidRPr="007400BF" w:rsidDel="009D6711">
          <w:rPr>
            <w:rFonts w:ascii="Times New Roman" w:hAnsi="Times New Roman" w:cs="Times New Roman"/>
            <w:sz w:val="24"/>
            <w:szCs w:val="24"/>
          </w:rPr>
          <w:delText xml:space="preserve">salinity </w:delText>
        </w:r>
      </w:del>
      <w:ins w:id="31"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32" w:author="Beck, Marcus" w:date="2016-09-07T10:00:00Z">
        <w:r w:rsidRPr="007400BF" w:rsidDel="00161B36">
          <w:rPr>
            <w:rFonts w:ascii="Times New Roman" w:hAnsi="Times New Roman" w:cs="Times New Roman"/>
            <w:sz w:val="24"/>
            <w:szCs w:val="24"/>
          </w:rPr>
          <w:delText xml:space="preserve">7 </w:delText>
        </w:r>
      </w:del>
      <w:ins w:id="33"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34"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35" w:author="Beck, Marcus" w:date="2016-09-07T13:01:00Z">
        <w:r w:rsidR="009D6711">
          <w:rPr>
            <w:rFonts w:ascii="Times New Roman" w:hAnsi="Times New Roman" w:cs="Times New Roman"/>
            <w:sz w:val="24"/>
            <w:szCs w:val="24"/>
          </w:rPr>
          <w:t xml:space="preserve">than GAMs </w:t>
        </w:r>
      </w:ins>
      <w:ins w:id="36" w:author="Beck, Marcus" w:date="2016-09-07T12:59:00Z">
        <w:r w:rsidR="009D6711">
          <w:rPr>
            <w:rFonts w:ascii="Times New Roman" w:hAnsi="Times New Roman" w:cs="Times New Roman"/>
            <w:sz w:val="24"/>
            <w:szCs w:val="24"/>
          </w:rPr>
          <w:t xml:space="preserve">in the </w:t>
        </w:r>
      </w:ins>
      <w:ins w:id="37" w:author="Beck, Marcus" w:date="2016-09-07T13:00:00Z">
        <w:r w:rsidR="009D6711">
          <w:rPr>
            <w:rFonts w:ascii="Times New Roman" w:hAnsi="Times New Roman" w:cs="Times New Roman"/>
            <w:sz w:val="24"/>
            <w:szCs w:val="24"/>
          </w:rPr>
          <w:t xml:space="preserve">relationship between chlorophyll and flow over time, consistent with the </w:t>
        </w:r>
      </w:ins>
      <w:ins w:id="38" w:author="Beck, Marcus" w:date="2016-09-07T13:01:00Z">
        <w:r w:rsidR="009D6711">
          <w:rPr>
            <w:rFonts w:ascii="Times New Roman" w:hAnsi="Times New Roman" w:cs="Times New Roman"/>
            <w:sz w:val="24"/>
            <w:szCs w:val="24"/>
          </w:rPr>
          <w:t xml:space="preserve">empirical </w:t>
        </w:r>
      </w:ins>
      <w:ins w:id="39" w:author="Beck, Marcus" w:date="2016-09-07T13:02:00Z">
        <w:r w:rsidR="009D6711">
          <w:rPr>
            <w:rFonts w:ascii="Times New Roman" w:hAnsi="Times New Roman" w:cs="Times New Roman"/>
            <w:sz w:val="24"/>
            <w:szCs w:val="24"/>
          </w:rPr>
          <w:t xml:space="preserve">relationships </w:t>
        </w:r>
      </w:ins>
      <w:ins w:id="40"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Comparisons of fit to the simulated time series showed no systematic differences between </w:t>
      </w:r>
      <w:r w:rsidRPr="007400BF">
        <w:rPr>
          <w:rFonts w:ascii="Times New Roman" w:hAnsi="Times New Roman" w:cs="Times New Roman"/>
          <w:sz w:val="24"/>
          <w:szCs w:val="24"/>
        </w:rPr>
        <w:lastRenderedPageBreak/>
        <w:t>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9pt;height:20.4pt" o:ole="">
            <v:imagedata r:id="rId45" o:title=""/>
          </v:shape>
          <o:OLEObject Type="Embed" ProgID="Equation.3" ShapeID="_x0000_i1046" DrawAspect="Content" ObjectID="_1534769148" r:id="rId52"/>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29.9pt;height:20.4pt" o:ole="">
            <v:imagedata r:id="rId50" o:title=""/>
          </v:shape>
          <o:OLEObject Type="Embed" ProgID="Equation.3" ShapeID="_x0000_i1047" DrawAspect="Content" ObjectID="_1534769149" r:id="rId53"/>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9pt;height:20.4pt" o:ole="">
            <v:imagedata r:id="rId45" o:title=""/>
          </v:shape>
          <o:OLEObject Type="Embed" ProgID="Equation.3" ShapeID="_x0000_i1048" DrawAspect="Content" ObjectID="_1534769150" r:id="rId54"/>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29.9pt;height:20.4pt" o:ole="">
            <v:imagedata r:id="rId50" o:title=""/>
          </v:shape>
          <o:OLEObject Type="Embed" ProgID="Equation.3" ShapeID="_x0000_i1049" DrawAspect="Content" ObjectID="_1534769151" r:id="rId55"/>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 xml:space="preserve">ous parameter space. A </w:t>
      </w:r>
      <w:r w:rsidRPr="007155C0">
        <w:rPr>
          <w:rFonts w:ascii="Times New Roman" w:hAnsi="Times New Roman" w:cs="Times New Roman"/>
          <w:sz w:val="24"/>
          <w:szCs w:val="24"/>
        </w:rPr>
        <w:lastRenderedPageBreak/>
        <w:t>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1DD5C968"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example, Figure </w:t>
      </w:r>
      <w:del w:id="41" w:author="Beck, Marcus" w:date="2016-09-07T09:59:00Z">
        <w:r w:rsidRPr="007155C0" w:rsidDel="00161B36">
          <w:rPr>
            <w:rFonts w:ascii="Times New Roman" w:hAnsi="Times New Roman" w:cs="Times New Roman"/>
            <w:sz w:val="24"/>
            <w:szCs w:val="24"/>
          </w:rPr>
          <w:delText xml:space="preserve">6 </w:delText>
        </w:r>
      </w:del>
      <w:ins w:id="42"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43" w:author="Beck, Marcus" w:date="2016-09-07T12:52:00Z">
        <w:r w:rsidRPr="007155C0" w:rsidDel="009D6711">
          <w:rPr>
            <w:rFonts w:ascii="Times New Roman" w:hAnsi="Times New Roman" w:cs="Times New Roman"/>
            <w:sz w:val="24"/>
            <w:szCs w:val="24"/>
          </w:rPr>
          <w:delText xml:space="preserve">that have </w:delText>
        </w:r>
      </w:del>
      <w:del w:id="44"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45" w:author="Beck, Marcus" w:date="2016-09-07T12:49:00Z">
        <w:r w:rsidR="009D6711">
          <w:rPr>
            <w:rFonts w:ascii="Times New Roman" w:hAnsi="Times New Roman" w:cs="Times New Roman"/>
            <w:sz w:val="24"/>
            <w:szCs w:val="24"/>
          </w:rPr>
          <w:t xml:space="preserve"> can </w:t>
        </w:r>
      </w:ins>
      <w:ins w:id="46" w:author="Beck, Marcus" w:date="2016-09-07T12:50:00Z">
        <w:r w:rsidR="009D6711">
          <w:rPr>
            <w:rFonts w:ascii="Times New Roman" w:hAnsi="Times New Roman" w:cs="Times New Roman"/>
            <w:sz w:val="24"/>
            <w:szCs w:val="24"/>
          </w:rPr>
          <w:t>inadequately</w:t>
        </w:r>
      </w:ins>
      <w:ins w:id="47" w:author="Beck, Marcus" w:date="2016-09-07T12:49:00Z">
        <w:r w:rsidR="009D6711">
          <w:rPr>
            <w:rFonts w:ascii="Times New Roman" w:hAnsi="Times New Roman" w:cs="Times New Roman"/>
            <w:sz w:val="24"/>
            <w:szCs w:val="24"/>
          </w:rPr>
          <w:t xml:space="preserve"> </w:t>
        </w:r>
      </w:ins>
      <w:ins w:id="48" w:author="Beck, Marcus" w:date="2016-09-07T12:50:00Z">
        <w:r w:rsidR="009D6711">
          <w:rPr>
            <w:rFonts w:ascii="Times New Roman" w:hAnsi="Times New Roman" w:cs="Times New Roman"/>
            <w:sz w:val="24"/>
            <w:szCs w:val="24"/>
          </w:rPr>
          <w:t xml:space="preserve">characterize variation in the data with </w:t>
        </w:r>
      </w:ins>
      <w:ins w:id="49" w:author="Beck, Marcus" w:date="2016-09-07T12:51:00Z">
        <w:r w:rsidR="009D6711">
          <w:rPr>
            <w:rFonts w:ascii="Times New Roman" w:hAnsi="Times New Roman" w:cs="Times New Roman"/>
            <w:sz w:val="24"/>
            <w:szCs w:val="24"/>
          </w:rPr>
          <w:t xml:space="preserve">a </w:t>
        </w:r>
        <w:r w:rsidR="009D6711">
          <w:rPr>
            <w:rFonts w:ascii="Times New Roman" w:hAnsi="Times New Roman" w:cs="Times New Roman"/>
            <w:sz w:val="24"/>
            <w:szCs w:val="24"/>
          </w:rPr>
          <w:t xml:space="preserve">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w:t>
        </w:r>
        <w:r w:rsidR="009D6711">
          <w:rPr>
            <w:rFonts w:ascii="Times New Roman" w:hAnsi="Times New Roman" w:cs="Times New Roman"/>
            <w:sz w:val="24"/>
            <w:szCs w:val="24"/>
          </w:rPr>
          <w:t>space and</w:t>
        </w:r>
      </w:ins>
      <w:ins w:id="50"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51"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52"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53" w:author="Beck, Marcus" w:date="2016-09-07T11:39:00Z">
        <w:r w:rsidR="00035377">
          <w:rPr>
            <w:rFonts w:ascii="Times New Roman" w:hAnsi="Times New Roman" w:cs="Times New Roman"/>
            <w:sz w:val="24"/>
            <w:szCs w:val="24"/>
          </w:rPr>
          <w:t xml:space="preserve">In contrast, </w:t>
        </w:r>
      </w:ins>
      <w:ins w:id="54"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55" w:author="Beck, Marcus" w:date="2016-09-07T11:47:00Z">
        <w:r w:rsidR="00CC3FBE">
          <w:rPr>
            <w:rFonts w:ascii="Times New Roman" w:hAnsi="Times New Roman" w:cs="Times New Roman"/>
            <w:sz w:val="24"/>
            <w:szCs w:val="24"/>
          </w:rPr>
          <w:t xml:space="preserve">to </w:t>
        </w:r>
      </w:ins>
      <w:del w:id="56"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57"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58" w:author="Beck, Marcus" w:date="2016-09-07T11:39:00Z">
        <w:r w:rsidR="00035377">
          <w:rPr>
            <w:rFonts w:ascii="Times New Roman" w:hAnsi="Times New Roman" w:cs="Times New Roman"/>
            <w:sz w:val="24"/>
            <w:szCs w:val="24"/>
          </w:rPr>
          <w:t xml:space="preserve"> composed of one smoothing function per </w:t>
        </w:r>
      </w:ins>
      <w:ins w:id="59"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60" w:author="Beck, Marcus" w:date="2016-09-07T11:48:00Z">
        <w:r w:rsidR="00CC3FBE">
          <w:rPr>
            <w:rFonts w:ascii="Times New Roman" w:hAnsi="Times New Roman" w:cs="Times New Roman"/>
            <w:sz w:val="24"/>
            <w:szCs w:val="24"/>
          </w:rPr>
          <w:t xml:space="preserve">  Both models are extremely flexible </w:t>
        </w:r>
      </w:ins>
      <w:ins w:id="61" w:author="Beck, Marcus" w:date="2016-09-07T11:51:00Z">
        <w:r w:rsidR="00CC3FBE">
          <w:rPr>
            <w:rFonts w:ascii="Times New Roman" w:hAnsi="Times New Roman" w:cs="Times New Roman"/>
            <w:sz w:val="24"/>
            <w:szCs w:val="24"/>
          </w:rPr>
          <w:t xml:space="preserve">through fine control of </w:t>
        </w:r>
      </w:ins>
      <w:ins w:id="62" w:author="Beck, Marcus" w:date="2016-09-07T11:50:00Z">
        <w:r w:rsidR="00CC3FBE">
          <w:rPr>
            <w:rFonts w:ascii="Times New Roman" w:hAnsi="Times New Roman" w:cs="Times New Roman"/>
            <w:sz w:val="24"/>
            <w:szCs w:val="24"/>
          </w:rPr>
          <w:t xml:space="preserve">window </w:t>
        </w:r>
        <w:r w:rsidR="00CC3FBE">
          <w:rPr>
            <w:rFonts w:ascii="Times New Roman" w:hAnsi="Times New Roman" w:cs="Times New Roman"/>
            <w:sz w:val="24"/>
            <w:szCs w:val="24"/>
          </w:rPr>
          <w:lastRenderedPageBreak/>
          <w:t xml:space="preserve">widths for WRTDS and </w:t>
        </w:r>
      </w:ins>
      <w:ins w:id="63" w:author="Beck, Marcus" w:date="2016-09-07T11:56:00Z">
        <w:r w:rsidR="00CC3FBE">
          <w:rPr>
            <w:rFonts w:ascii="Times New Roman" w:hAnsi="Times New Roman" w:cs="Times New Roman"/>
            <w:sz w:val="24"/>
            <w:szCs w:val="24"/>
          </w:rPr>
          <w:t>degree</w:t>
        </w:r>
      </w:ins>
      <w:ins w:id="64" w:author="Beck, Marcus" w:date="2016-09-07T11:59:00Z">
        <w:r w:rsidR="00792CCB">
          <w:rPr>
            <w:rFonts w:ascii="Times New Roman" w:hAnsi="Times New Roman" w:cs="Times New Roman"/>
            <w:sz w:val="24"/>
            <w:szCs w:val="24"/>
          </w:rPr>
          <w:t>s</w:t>
        </w:r>
      </w:ins>
      <w:ins w:id="65" w:author="Beck, Marcus" w:date="2016-09-07T11:56:00Z">
        <w:r w:rsidR="00CC3FBE">
          <w:rPr>
            <w:rFonts w:ascii="Times New Roman" w:hAnsi="Times New Roman" w:cs="Times New Roman"/>
            <w:sz w:val="24"/>
            <w:szCs w:val="24"/>
          </w:rPr>
          <w:t xml:space="preserve"> of </w:t>
        </w:r>
      </w:ins>
      <w:ins w:id="66" w:author="Beck, Marcus" w:date="2016-09-07T11:50:00Z">
        <w:r w:rsidR="00CC3FBE">
          <w:rPr>
            <w:rFonts w:ascii="Times New Roman" w:hAnsi="Times New Roman" w:cs="Times New Roman"/>
            <w:sz w:val="24"/>
            <w:szCs w:val="24"/>
          </w:rPr>
          <w:t>smoothing in GAMS, although at the cost of losing generality</w:t>
        </w:r>
      </w:ins>
      <w:ins w:id="67" w:author="Beck, Marcus" w:date="2016-09-07T11:51:00Z">
        <w:r w:rsidR="00CC3FBE">
          <w:rPr>
            <w:rFonts w:ascii="Times New Roman" w:hAnsi="Times New Roman" w:cs="Times New Roman"/>
            <w:sz w:val="24"/>
            <w:szCs w:val="24"/>
          </w:rPr>
          <w:t xml:space="preserve"> with increased precision</w:t>
        </w:r>
      </w:ins>
      <w:ins w:id="68"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69"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5B5CD48E"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 xml:space="preserve">was provided by both models, some instances were observed when different information was provided. For </w:t>
      </w:r>
      <w:r w:rsidRPr="007400BF">
        <w:rPr>
          <w:rFonts w:ascii="Times New Roman" w:hAnsi="Times New Roman" w:cs="Times New Roman"/>
          <w:sz w:val="24"/>
          <w:szCs w:val="24"/>
        </w:rPr>
        <w:lastRenderedPageBreak/>
        <w:t xml:space="preserve">example, significant differences in the regression comparisons between the models (Table 6 and </w:t>
      </w:r>
      <w:del w:id="70" w:author="Beck, Marcus" w:date="2016-09-07T09:30:00Z">
        <w:r w:rsidRPr="007400BF" w:rsidDel="00850D61">
          <w:rPr>
            <w:rFonts w:ascii="Times New Roman" w:hAnsi="Times New Roman" w:cs="Times New Roman"/>
            <w:sz w:val="24"/>
            <w:szCs w:val="24"/>
          </w:rPr>
          <w:delText>Figure 5</w:delText>
        </w:r>
      </w:del>
      <w:ins w:id="71" w:author="Beck, Marcus" w:date="2016-09-07T09:30:00Z">
        <w:r w:rsidR="00850D61">
          <w:rPr>
            <w:rFonts w:ascii="Times New Roman" w:hAnsi="Times New Roman" w:cs="Times New Roman"/>
            <w:sz w:val="24"/>
            <w:szCs w:val="24"/>
          </w:rPr>
          <w:t xml:space="preserve">Appendix </w:t>
        </w:r>
      </w:ins>
      <w:ins w:id="72"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73" w:author="Beck, Marcus" w:date="2016-09-07T10:00:00Z">
        <w:r w:rsidRPr="007155C0" w:rsidDel="00161B36">
          <w:rPr>
            <w:rFonts w:ascii="Times New Roman" w:hAnsi="Times New Roman" w:cs="Times New Roman"/>
            <w:sz w:val="24"/>
            <w:szCs w:val="24"/>
          </w:rPr>
          <w:delText xml:space="preserve">6 </w:delText>
        </w:r>
      </w:del>
      <w:ins w:id="74"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suggested that WRTDS provided a more dynamic description of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w:t>
      </w:r>
      <w:r w:rsidRPr="007155C0">
        <w:rPr>
          <w:rFonts w:ascii="Times New Roman" w:hAnsi="Times New Roman" w:cs="Times New Roman"/>
          <w:sz w:val="24"/>
          <w:szCs w:val="24"/>
        </w:rPr>
        <w:lastRenderedPageBreak/>
        <w:t xml:space="preserve">For example,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w:t>
      </w:r>
      <w:r w:rsidRPr="007155C0">
        <w:rPr>
          <w:rFonts w:ascii="Times New Roman" w:hAnsi="Times New Roman" w:cs="Times New Roman"/>
          <w:sz w:val="24"/>
          <w:szCs w:val="24"/>
        </w:rPr>
        <w:lastRenderedPageBreak/>
        <w:t xml:space="preserve">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proofErr w:type="spellStart"/>
      <w:r w:rsidRPr="007155C0">
        <w:rPr>
          <w:rFonts w:ascii="Times New Roman" w:hAnsi="Times New Roman" w:cs="Times New Roman"/>
          <w:sz w:val="24"/>
          <w:szCs w:val="24"/>
        </w:rPr>
        <w:t>Efron</w:t>
      </w:r>
      <w:proofErr w:type="spellEnd"/>
      <w:r w:rsidRPr="007155C0">
        <w:rPr>
          <w:rFonts w:ascii="Times New Roman" w:hAnsi="Times New Roman" w:cs="Times New Roman"/>
          <w:sz w:val="24"/>
          <w:szCs w:val="24"/>
        </w:rPr>
        <w:t xml:space="preserve"> and </w:t>
      </w:r>
      <w:proofErr w:type="spellStart"/>
      <w:r w:rsidRPr="007155C0">
        <w:rPr>
          <w:rFonts w:ascii="Times New Roman" w:hAnsi="Times New Roman" w:cs="Times New Roman"/>
          <w:sz w:val="24"/>
          <w:szCs w:val="24"/>
        </w:rPr>
        <w:t>Tibshirani</w:t>
      </w:r>
      <w:proofErr w:type="spellEnd"/>
      <w:r w:rsidRPr="007155C0">
        <w:rPr>
          <w:rFonts w:ascii="Times New Roman" w:hAnsi="Times New Roman" w:cs="Times New Roman"/>
          <w:sz w:val="24"/>
          <w:szCs w:val="24"/>
        </w:rPr>
        <w:t xml:space="preserve">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w:t>
      </w:r>
      <w:proofErr w:type="spellStart"/>
      <w:r w:rsidRPr="007155C0">
        <w:rPr>
          <w:rFonts w:ascii="Times New Roman" w:hAnsi="Times New Roman" w:cs="Times New Roman"/>
          <w:sz w:val="24"/>
          <w:szCs w:val="24"/>
        </w:rPr>
        <w:t>RivEr</w:t>
      </w:r>
      <w:proofErr w:type="spellEnd"/>
      <w:r w:rsidRPr="007155C0">
        <w:rPr>
          <w:rFonts w:ascii="Times New Roman" w:hAnsi="Times New Roman" w:cs="Times New Roman"/>
          <w:sz w:val="24"/>
          <w:szCs w:val="24"/>
        </w:rPr>
        <w:t xml:space="preserve"> Trends (‘EGRET’) package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w:t>
      </w:r>
      <w:r w:rsidRPr="007155C0">
        <w:rPr>
          <w:rFonts w:ascii="Times New Roman" w:hAnsi="Times New Roman" w:cs="Times New Roman"/>
          <w:sz w:val="24"/>
          <w:szCs w:val="24"/>
        </w:rPr>
        <w:lastRenderedPageBreak/>
        <w:t xml:space="preserve">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w:t>
      </w:r>
      <w:proofErr w:type="spellStart"/>
      <w:r w:rsidRPr="007155C0">
        <w:rPr>
          <w:rFonts w:ascii="Times New Roman" w:hAnsi="Times New Roman" w:cs="Times New Roman"/>
          <w:sz w:val="24"/>
          <w:szCs w:val="24"/>
        </w:rPr>
        <w:t>Koenker</w:t>
      </w:r>
      <w:proofErr w:type="spellEnd"/>
      <w:r w:rsidRPr="007155C0">
        <w:rPr>
          <w:rFonts w:ascii="Times New Roman" w:hAnsi="Times New Roman" w:cs="Times New Roman"/>
          <w:sz w:val="24"/>
          <w:szCs w:val="24"/>
        </w:rPr>
        <w:t xml:space="preserve">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w:t>
      </w:r>
      <w:proofErr w:type="spellStart"/>
      <w:r w:rsidRPr="007155C0">
        <w:rPr>
          <w:rFonts w:ascii="Times New Roman" w:hAnsi="Times New Roman" w:cs="Times New Roman"/>
          <w:sz w:val="24"/>
          <w:szCs w:val="24"/>
        </w:rPr>
        <w:t>EGRETci</w:t>
      </w:r>
      <w:proofErr w:type="spellEnd"/>
      <w:r w:rsidRPr="007155C0">
        <w:rPr>
          <w:rFonts w:ascii="Times New Roman" w:hAnsi="Times New Roman" w:cs="Times New Roman"/>
          <w:sz w:val="24"/>
          <w:szCs w:val="24"/>
        </w:rPr>
        <w:t xml:space="preserve">’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2012,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and using the Kaplan-Meier approximation for a single-sample  survey function for conditional regression quantiles in the tidal adaptation (Portnoy 2003, </w:t>
      </w:r>
      <w:proofErr w:type="spellStart"/>
      <w:r w:rsidRPr="007155C0">
        <w:rPr>
          <w:rFonts w:ascii="Times New Roman" w:hAnsi="Times New Roman" w:cs="Times New Roman"/>
          <w:sz w:val="24"/>
          <w:szCs w:val="24"/>
        </w:rPr>
        <w:t>Koenker</w:t>
      </w:r>
      <w:proofErr w:type="spellEnd"/>
      <w:r>
        <w:rPr>
          <w:rFonts w:ascii="Times New Roman" w:hAnsi="Times New Roman" w:cs="Times New Roman"/>
          <w:sz w:val="24"/>
          <w:szCs w:val="24"/>
        </w:rPr>
        <w:t xml:space="preserve"> </w:t>
      </w:r>
      <w:r w:rsidRPr="007155C0">
        <w:rPr>
          <w:rFonts w:ascii="Times New Roman" w:hAnsi="Times New Roman" w:cs="Times New Roman"/>
          <w:sz w:val="24"/>
          <w:szCs w:val="24"/>
        </w:rPr>
        <w:lastRenderedPageBreak/>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w:t>
      </w:r>
      <w:proofErr w:type="spellStart"/>
      <w:r w:rsidRPr="007155C0">
        <w:rPr>
          <w:rFonts w:ascii="Times New Roman" w:hAnsi="Times New Roman" w:cs="Times New Roman"/>
          <w:sz w:val="24"/>
          <w:szCs w:val="24"/>
        </w:rPr>
        <w:t>mgcv</w:t>
      </w:r>
      <w:proofErr w:type="spellEnd"/>
      <w:r w:rsidRPr="007155C0">
        <w:rPr>
          <w:rFonts w:ascii="Times New Roman" w:hAnsi="Times New Roman" w:cs="Times New Roman"/>
          <w:sz w:val="24"/>
          <w:szCs w:val="24"/>
        </w:rPr>
        <w:t>’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w:t>
      </w:r>
      <w:r w:rsidRPr="007400BF">
        <w:rPr>
          <w:rFonts w:ascii="Times New Roman" w:hAnsi="Times New Roman" w:cs="Times New Roman"/>
          <w:sz w:val="24"/>
          <w:szCs w:val="24"/>
        </w:rPr>
        <w:lastRenderedPageBreak/>
        <w:t xml:space="preserve">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w:t>
      </w:r>
      <w:del w:id="75" w:author="Beck, Marcus" w:date="2016-09-07T10:00:00Z">
        <w:r w:rsidRPr="007400BF" w:rsidDel="00161B36">
          <w:rPr>
            <w:rFonts w:ascii="Times New Roman" w:hAnsi="Times New Roman" w:cs="Times New Roman"/>
            <w:sz w:val="24"/>
            <w:szCs w:val="24"/>
          </w:rPr>
          <w:delText xml:space="preserve">6 </w:delText>
        </w:r>
      </w:del>
      <w:ins w:id="76"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2008). An investigation of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lastRenderedPageBreak/>
        <w:t xml:space="preserve">2002 that likely contributed to increases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2007). The substantial decline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3ECFA3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Some differences in the descriptive capabilities were observed, such as specific periods of the time series where data limitations may have caused instability in model predictions for WRTDS. Our application to simulated datasets with </w:t>
      </w:r>
      <w:r w:rsidRPr="002459BD">
        <w:rPr>
          <w:rFonts w:ascii="Times New Roman" w:hAnsi="Times New Roman" w:cs="Times New Roman"/>
          <w:sz w:val="24"/>
          <w:szCs w:val="24"/>
        </w:rPr>
        <w:lastRenderedPageBreak/>
        <w:t xml:space="preserve">known flow-independent components of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77" w:author="Beck, Marcus" w:date="2016-09-07T10:00:00Z">
        <w:r w:rsidRPr="002459BD" w:rsidDel="00161B36">
          <w:rPr>
            <w:rFonts w:ascii="Times New Roman" w:hAnsi="Times New Roman" w:cs="Times New Roman"/>
            <w:sz w:val="24"/>
            <w:szCs w:val="24"/>
          </w:rPr>
          <w:delText>6</w:delText>
        </w:r>
      </w:del>
      <w:ins w:id="78"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w:t>
      </w:r>
      <w:r w:rsidRPr="002459BD">
        <w:rPr>
          <w:rFonts w:ascii="Times New Roman" w:hAnsi="Times New Roman" w:cs="Times New Roman"/>
          <w:sz w:val="24"/>
          <w:szCs w:val="24"/>
        </w:rPr>
        <w:lastRenderedPageBreak/>
        <w:t>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6">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79" w:author="Beck, Marcus" w:date="2016-09-07T09:36:00Z">
        <w:r w:rsidR="007045D6">
          <w:rPr>
            <w:rFonts w:ascii="Times New Roman" w:hAnsi="Times New Roman" w:cs="Times New Roman"/>
            <w:b/>
            <w:sz w:val="24"/>
            <w:szCs w:val="24"/>
          </w:rPr>
          <w:t xml:space="preserve">Appendix </w:t>
        </w:r>
        <w:r w:rsidR="007045D6">
          <w:rPr>
            <w:rFonts w:ascii="Times New Roman" w:hAnsi="Times New Roman" w:cs="Times New Roman"/>
            <w:b/>
            <w:sz w:val="24"/>
            <w:szCs w:val="24"/>
          </w:rPr>
          <w:t>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w:t>
      </w:r>
      <w:r w:rsidR="00AA1FC5" w:rsidRPr="007400BF">
        <w:rPr>
          <w:rFonts w:ascii="Times New Roman" w:hAnsi="Times New Roman" w:cs="Times New Roman"/>
          <w:sz w:val="24"/>
          <w:szCs w:val="24"/>
        </w:rPr>
        <w:lastRenderedPageBreak/>
        <w:t>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lastRenderedPageBreak/>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7"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proofErr w:type="spellStart"/>
      <w:r w:rsidRPr="00BF0693">
        <w:rPr>
          <w:rFonts w:ascii="Times New Roman" w:hAnsi="Times New Roman" w:cs="Times New Roman"/>
          <w:sz w:val="24"/>
          <w:szCs w:val="24"/>
        </w:rPr>
        <w:t>Koenker</w:t>
      </w:r>
      <w:proofErr w:type="spellEnd"/>
      <w:r w:rsidRPr="00BF0693">
        <w:rPr>
          <w:rFonts w:ascii="Times New Roman" w:hAnsi="Times New Roman" w:cs="Times New Roman"/>
          <w:sz w:val="24"/>
          <w:szCs w:val="24"/>
        </w:rPr>
        <w:t xml:space="preserve">,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spellStart"/>
      <w:proofErr w:type="gramStart"/>
      <w:r w:rsidRPr="00BF0693">
        <w:rPr>
          <w:rFonts w:ascii="Times New Roman" w:hAnsi="Times New Roman" w:cs="Times New Roman"/>
          <w:sz w:val="24"/>
          <w:szCs w:val="24"/>
        </w:rPr>
        <w:t>quantreg</w:t>
      </w:r>
      <w:proofErr w:type="spellEnd"/>
      <w:proofErr w:type="gramEnd"/>
      <w:r w:rsidRPr="00BF0693">
        <w:rPr>
          <w:rFonts w:ascii="Times New Roman" w:hAnsi="Times New Roman" w:cs="Times New Roman"/>
          <w:sz w:val="24"/>
          <w:szCs w:val="24"/>
        </w:rPr>
        <w:t xml:space="preserve">: Quantile Regression R package 5.05. </w:t>
      </w:r>
      <w:hyperlink r:id="rId58"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lastRenderedPageBreak/>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9">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w:t>
      </w:r>
      <w:proofErr w:type="spellStart"/>
      <w:r w:rsidRPr="00BF0693">
        <w:rPr>
          <w:rFonts w:ascii="Times New Roman" w:hAnsi="Times New Roman" w:cs="Times New Roman"/>
          <w:sz w:val="24"/>
          <w:szCs w:val="24"/>
        </w:rPr>
        <w:t>Stumpf</w:t>
      </w:r>
      <w:proofErr w:type="spellEnd"/>
      <w:r w:rsidRPr="00BF0693">
        <w:rPr>
          <w:rFonts w:ascii="Times New Roman" w:hAnsi="Times New Roman" w:cs="Times New Roman"/>
          <w:sz w:val="24"/>
          <w:szCs w:val="24"/>
        </w:rPr>
        <w:t xml:space="preserve">, 2013. Approach to developing numeric water quality criteria for coastal waters: transition from </w:t>
      </w:r>
      <w:proofErr w:type="spellStart"/>
      <w:r w:rsidRPr="00BF0693">
        <w:rPr>
          <w:rFonts w:ascii="Times New Roman" w:hAnsi="Times New Roman" w:cs="Times New Roman"/>
          <w:sz w:val="24"/>
          <w:szCs w:val="24"/>
        </w:rPr>
        <w:t>SeaWiFS</w:t>
      </w:r>
      <w:proofErr w:type="spellEnd"/>
      <w:r w:rsidRPr="00BF0693">
        <w:rPr>
          <w:rFonts w:ascii="Times New Roman" w:hAnsi="Times New Roman" w:cs="Times New Roman"/>
          <w:sz w:val="24"/>
          <w:szCs w:val="24"/>
        </w:rPr>
        <w:t xml:space="preserve">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w:t>
      </w:r>
      <w:r w:rsidR="00AA1FC5" w:rsidRPr="007400BF">
        <w:rPr>
          <w:rFonts w:ascii="Times New Roman" w:hAnsi="Times New Roman" w:cs="Times New Roman"/>
          <w:sz w:val="24"/>
          <w:szCs w:val="24"/>
        </w:rPr>
        <w:lastRenderedPageBreak/>
        <w:t xml:space="preserve">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0">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 xml:space="preserve">USGS (US Geological Survey), 2015. Water Quality Loads and Trends at </w:t>
      </w:r>
      <w:proofErr w:type="spellStart"/>
      <w:r w:rsidRPr="00A715EC">
        <w:rPr>
          <w:rFonts w:ascii="Times New Roman" w:hAnsi="Times New Roman" w:cs="Times New Roman"/>
          <w:sz w:val="24"/>
          <w:szCs w:val="24"/>
        </w:rPr>
        <w:t>Nontidal</w:t>
      </w:r>
      <w:proofErr w:type="spellEnd"/>
      <w:r w:rsidRPr="00A715EC">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w:t>
            </w:r>
            <w:del w:id="80"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81"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 xml:space="preserve">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82"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83"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0B1CB632" w:rsidR="00357417" w:rsidRPr="00357417" w:rsidRDefault="00357417" w:rsidP="00AA6F3B">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84" w:author="Beck, Marcus" w:date="2016-09-07T10:08:00Z">
              <w:r w:rsidRPr="00357417" w:rsidDel="00AA6F3B">
                <w:rPr>
                  <w:rFonts w:ascii="Times" w:eastAsia="Times New Roman" w:hAnsi="Times" w:cs="Times"/>
                  <w:color w:val="000000"/>
                  <w:sz w:val="24"/>
                  <w:szCs w:val="24"/>
                </w:rPr>
                <w:delText>For example, summary values for high flow for a given model are based on instances of high flow across years. Percenta</w:delText>
              </w:r>
              <w:r w:rsidDel="00AA6F3B">
                <w:rPr>
                  <w:rFonts w:ascii="Times" w:eastAsia="Times New Roman" w:hAnsi="Times" w:cs="Times"/>
                  <w:color w:val="000000"/>
                  <w:sz w:val="24"/>
                  <w:szCs w:val="24"/>
                </w:rPr>
                <w:delText xml:space="preserve">ge changes are the differences </w:delText>
              </w:r>
              <w:r w:rsidRPr="00357417" w:rsidDel="00AA6F3B">
                <w:rPr>
                  <w:rFonts w:ascii="Times" w:eastAsia="Times New Roman" w:hAnsi="Times" w:cs="Times"/>
                  <w:color w:val="000000"/>
                  <w:sz w:val="24"/>
                  <w:szCs w:val="24"/>
                </w:rPr>
                <w:delText xml:space="preserve">between the last and first years in the periods. </w:delText>
              </w:r>
            </w:del>
            <w:r w:rsidRPr="00357417">
              <w:rPr>
                <w:rFonts w:ascii="Times" w:eastAsia="Times New Roman" w:hAnsi="Times" w:cs="Times"/>
                <w:color w:val="000000"/>
                <w:sz w:val="24"/>
                <w:szCs w:val="24"/>
              </w:rPr>
              <w:t xml:space="preserve">Time periods are annual groupings every seven years (top), seasonal groupings </w:t>
            </w:r>
            <w:del w:id="85"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6BA57732" w:rsidR="005803C0" w:rsidRPr="005803C0" w:rsidRDefault="005803C0" w:rsidP="00AA6F3B">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86" w:author="Beck, Marcus" w:date="2016-09-07T10:08:00Z">
              <w:r w:rsidRPr="005803C0" w:rsidDel="00AA6F3B">
                <w:rPr>
                  <w:rFonts w:ascii="Times" w:eastAsia="Times New Roman" w:hAnsi="Times" w:cs="Times"/>
                  <w:color w:val="000000"/>
                  <w:sz w:val="24"/>
                  <w:szCs w:val="24"/>
                </w:rPr>
                <w:delText>For example, summary values for high flow for a given model are based on instances of high flow across years. Percenta</w:delText>
              </w:r>
              <w:r w:rsidR="004E1BA6" w:rsidDel="00AA6F3B">
                <w:rPr>
                  <w:rFonts w:ascii="Times" w:eastAsia="Times New Roman" w:hAnsi="Times" w:cs="Times"/>
                  <w:color w:val="000000"/>
                  <w:sz w:val="24"/>
                  <w:szCs w:val="24"/>
                </w:rPr>
                <w:delText xml:space="preserve">ge changes are the differences </w:delText>
              </w:r>
              <w:r w:rsidRPr="005803C0" w:rsidDel="00AA6F3B">
                <w:rPr>
                  <w:rFonts w:ascii="Times" w:eastAsia="Times New Roman" w:hAnsi="Times" w:cs="Times"/>
                  <w:color w:val="000000"/>
                  <w:sz w:val="24"/>
                  <w:szCs w:val="24"/>
                </w:rPr>
                <w:delText xml:space="preserve">between the last and first years in the periods. </w:delText>
              </w:r>
            </w:del>
            <w:r w:rsidRPr="005803C0">
              <w:rPr>
                <w:rFonts w:ascii="Times" w:eastAsia="Times New Roman" w:hAnsi="Times" w:cs="Times"/>
                <w:color w:val="000000"/>
                <w:sz w:val="24"/>
                <w:szCs w:val="24"/>
              </w:rPr>
              <w:t xml:space="preserve">Time periods are annual groupings every seven years (top), seasonal groupings </w:t>
            </w:r>
            <w:del w:id="87"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7D9D5BC5" w:rsidR="00A1645F" w:rsidRPr="00A1645F" w:rsidRDefault="00A1645F" w:rsidP="00AA6F3B">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w:t>
            </w:r>
            <w:del w:id="88"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89"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90"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w:t>
            </w:r>
            <w:proofErr w:type="gramStart"/>
            <w:r w:rsidRPr="00FF6F13">
              <w:rPr>
                <w:rFonts w:ascii="Times" w:eastAsia="Times New Roman" w:hAnsi="Times" w:cs="Times"/>
                <w:color w:val="000000"/>
                <w:sz w:val="24"/>
                <w:szCs w:val="24"/>
              </w:rPr>
              <w:t>one.</w:t>
            </w:r>
            <w:proofErr w:type="gramEnd"/>
            <w:r w:rsidRPr="00FF6F13">
              <w:rPr>
                <w:rFonts w:ascii="Times" w:eastAsia="Times New Roman" w:hAnsi="Times" w:cs="Times"/>
                <w:color w:val="000000"/>
                <w:sz w:val="24"/>
                <w:szCs w:val="24"/>
              </w:rPr>
              <w:t xml:space="preserve"> Fits for the entire time series are shown at the top. Time periods are annual groupings every seven years (top), seasonal groupings </w:t>
            </w:r>
            <w:del w:id="91"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92" w:author="Beck, Marcus" w:date="2016-09-07T10:06:00Z">
              <w:r w:rsidRPr="00FF6F13" w:rsidDel="00AA6F3B">
                <w:rPr>
                  <w:rFonts w:ascii="Times" w:eastAsia="Times New Roman" w:hAnsi="Times" w:cs="Times"/>
                  <w:color w:val="000000"/>
                  <w:sz w:val="24"/>
                  <w:szCs w:val="24"/>
                </w:rPr>
                <w:delText xml:space="preserve"> See </w:delText>
              </w:r>
            </w:del>
            <w:del w:id="93"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94"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6pt;height:20.4pt" o:ole="">
                  <v:imagedata r:id="rId61" o:title=""/>
                </v:shape>
                <o:OLEObject Type="Embed" ProgID="Equation.3" ShapeID="_x0000_i1050" DrawAspect="Content" ObjectID="_1534769152" r:id="rId62"/>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29.9pt;height:20.4pt" o:ole="">
                  <v:imagedata r:id="rId50" o:title=""/>
                </v:shape>
                <o:OLEObject Type="Embed" ProgID="Equation.3" ShapeID="_x0000_i1051" DrawAspect="Content" ObjectID="_1534769153" r:id="rId63"/>
              </w:object>
            </w:r>
            <w:r w:rsidRPr="0026222B">
              <w:rPr>
                <w:rFonts w:ascii="Times" w:eastAsia="Times New Roman" w:hAnsi="Times" w:cs="Times"/>
                <w:color w:val="000000"/>
                <w:sz w:val="24"/>
                <w:szCs w:val="24"/>
              </w:rPr>
              <w:t>) for the three simulated time series (no flow, constant flow, and increasing flow effect). Summaries are RMSE values</w:t>
            </w:r>
            <w:ins w:id="95"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96"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6pt;height:20.4pt" o:ole="">
                  <v:imagedata r:id="rId64" o:title=""/>
                </v:shape>
                <o:OLEObject Type="Embed" ProgID="Equation.3" ShapeID="_x0000_i1052" DrawAspect="Content" ObjectID="_1534769154" r:id="rId65"/>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29.9pt;height:20.4pt" o:ole="">
                  <v:imagedata r:id="rId50" o:title=""/>
                </v:shape>
                <o:OLEObject Type="Embed" ProgID="Equation.3" ShapeID="_x0000_i1053" DrawAspect="Content" ObjectID="_1534769155" r:id="rId66"/>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97" w:author="Beck, Marcus" w:date="2016-09-07T09:56:00Z">
        <w:r w:rsidRPr="007400BF" w:rsidDel="00161B36">
          <w:rPr>
            <w:rFonts w:ascii="Times New Roman" w:hAnsi="Times New Roman" w:cs="Times New Roman"/>
            <w:sz w:val="24"/>
            <w:szCs w:val="24"/>
          </w:rPr>
          <w:delText>Fixed l</w:delText>
        </w:r>
      </w:del>
      <w:ins w:id="98"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99"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del w:id="100"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101"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w:t>
      </w:r>
      <w:ins w:id="102"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103"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104" w:author="Beck, Marcus" w:date="2016-09-07T09:40:00Z"/>
          <w:rFonts w:ascii="Times New Roman" w:hAnsi="Times New Roman" w:cs="Times New Roman"/>
          <w:sz w:val="24"/>
          <w:szCs w:val="24"/>
        </w:rPr>
      </w:pPr>
      <w:del w:id="105"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106" w:author="Beck, Marcus" w:date="2016-09-07T09:39:00Z"/>
          <w:rFonts w:ascii="Times New Roman" w:hAnsi="Times New Roman" w:cs="Times New Roman"/>
          <w:sz w:val="24"/>
          <w:szCs w:val="24"/>
        </w:rPr>
        <w:sectPr w:rsidR="00B53283" w:rsidRPr="007400BF" w:rsidDel="007045D6" w:rsidSect="00674887">
          <w:footerReference w:type="default" r:id="rId67"/>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107" w:author="Beck, Marcus" w:date="2016-09-07T09:59:00Z">
        <w:r w:rsidR="00161B36">
          <w:rPr>
            <w:rFonts w:ascii="Times New Roman" w:hAnsi="Times New Roman" w:cs="Times New Roman"/>
            <w:sz w:val="24"/>
            <w:szCs w:val="24"/>
          </w:rPr>
          <w:t>5</w:t>
        </w:r>
      </w:ins>
      <w:del w:id="108"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109" w:author="Beck, Marcus" w:date="2016-09-07T10:02:00Z">
        <w:r w:rsidR="00AF4BDA">
          <w:rPr>
            <w:rFonts w:ascii="Times New Roman" w:hAnsi="Times New Roman" w:cs="Times New Roman"/>
            <w:sz w:val="24"/>
            <w:szCs w:val="24"/>
          </w:rPr>
          <w:t>Axes for</w:t>
        </w:r>
      </w:ins>
      <w:del w:id="110"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111"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112"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5FC4B706"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del w:id="113" w:author="Beck, Marcus" w:date="2016-09-07T10:00:00Z">
        <w:r w:rsidRPr="007400BF" w:rsidDel="00161B36">
          <w:rPr>
            <w:rFonts w:ascii="Times New Roman" w:hAnsi="Times New Roman" w:cs="Times New Roman"/>
            <w:sz w:val="24"/>
            <w:szCs w:val="24"/>
          </w:rPr>
          <w:delText>7</w:delText>
        </w:r>
      </w:del>
      <w:ins w:id="114"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115"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655805" w:rsidRDefault="00655805">
      <w:pPr>
        <w:spacing w:after="0" w:line="240" w:lineRule="auto"/>
      </w:pPr>
      <w:r>
        <w:separator/>
      </w:r>
    </w:p>
  </w:endnote>
  <w:endnote w:type="continuationSeparator" w:id="0">
    <w:p w14:paraId="4E1A12B8" w14:textId="77777777" w:rsidR="00655805" w:rsidRDefault="0065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655805" w:rsidRDefault="00655805">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655805" w:rsidRDefault="00655805">
      <w:pPr>
        <w:spacing w:after="0" w:line="240" w:lineRule="auto"/>
      </w:pPr>
      <w:r>
        <w:separator/>
      </w:r>
    </w:p>
  </w:footnote>
  <w:footnote w:type="continuationSeparator" w:id="0">
    <w:p w14:paraId="7FBB4F16" w14:textId="77777777" w:rsidR="00655805" w:rsidRDefault="0065580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35377"/>
    <w:rsid w:val="000532F1"/>
    <w:rsid w:val="00064877"/>
    <w:rsid w:val="00083183"/>
    <w:rsid w:val="000E58C4"/>
    <w:rsid w:val="00117BB7"/>
    <w:rsid w:val="00142619"/>
    <w:rsid w:val="00145393"/>
    <w:rsid w:val="0014777B"/>
    <w:rsid w:val="00161B36"/>
    <w:rsid w:val="001671A6"/>
    <w:rsid w:val="00180EBA"/>
    <w:rsid w:val="001B6809"/>
    <w:rsid w:val="001D3308"/>
    <w:rsid w:val="00230F66"/>
    <w:rsid w:val="00232DC5"/>
    <w:rsid w:val="00233A89"/>
    <w:rsid w:val="0024037A"/>
    <w:rsid w:val="0026222B"/>
    <w:rsid w:val="00273943"/>
    <w:rsid w:val="002845E6"/>
    <w:rsid w:val="00297328"/>
    <w:rsid w:val="002C286D"/>
    <w:rsid w:val="003117FF"/>
    <w:rsid w:val="00311D89"/>
    <w:rsid w:val="003173EB"/>
    <w:rsid w:val="00333E31"/>
    <w:rsid w:val="00334CA6"/>
    <w:rsid w:val="003432E3"/>
    <w:rsid w:val="00357417"/>
    <w:rsid w:val="003671AB"/>
    <w:rsid w:val="00373BB5"/>
    <w:rsid w:val="003B78DD"/>
    <w:rsid w:val="00401F63"/>
    <w:rsid w:val="00406226"/>
    <w:rsid w:val="00433BF6"/>
    <w:rsid w:val="004829A3"/>
    <w:rsid w:val="00492D30"/>
    <w:rsid w:val="00497E3A"/>
    <w:rsid w:val="004B185A"/>
    <w:rsid w:val="004B284D"/>
    <w:rsid w:val="004C1824"/>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55805"/>
    <w:rsid w:val="00667BB1"/>
    <w:rsid w:val="00671C6C"/>
    <w:rsid w:val="00674887"/>
    <w:rsid w:val="00681F1F"/>
    <w:rsid w:val="007029EA"/>
    <w:rsid w:val="00703679"/>
    <w:rsid w:val="007045D6"/>
    <w:rsid w:val="007400BF"/>
    <w:rsid w:val="0076320E"/>
    <w:rsid w:val="00791BE4"/>
    <w:rsid w:val="00792CCB"/>
    <w:rsid w:val="007971E4"/>
    <w:rsid w:val="007E2FC1"/>
    <w:rsid w:val="007E7ABF"/>
    <w:rsid w:val="007F464B"/>
    <w:rsid w:val="00807B48"/>
    <w:rsid w:val="008340DA"/>
    <w:rsid w:val="00850D61"/>
    <w:rsid w:val="00866E20"/>
    <w:rsid w:val="008949AD"/>
    <w:rsid w:val="008B1F4E"/>
    <w:rsid w:val="008B7A98"/>
    <w:rsid w:val="008C0C4C"/>
    <w:rsid w:val="008C3D12"/>
    <w:rsid w:val="008D074D"/>
    <w:rsid w:val="008E06A0"/>
    <w:rsid w:val="008E167F"/>
    <w:rsid w:val="008F22FA"/>
    <w:rsid w:val="009026F7"/>
    <w:rsid w:val="00952CA7"/>
    <w:rsid w:val="00981CFA"/>
    <w:rsid w:val="00994618"/>
    <w:rsid w:val="009A6CEE"/>
    <w:rsid w:val="009B6AE9"/>
    <w:rsid w:val="009C72FE"/>
    <w:rsid w:val="009D25FE"/>
    <w:rsid w:val="009D4FCA"/>
    <w:rsid w:val="009D5B54"/>
    <w:rsid w:val="009D6711"/>
    <w:rsid w:val="009F0700"/>
    <w:rsid w:val="009F7F29"/>
    <w:rsid w:val="00A03AB4"/>
    <w:rsid w:val="00A0654A"/>
    <w:rsid w:val="00A1645F"/>
    <w:rsid w:val="00A21848"/>
    <w:rsid w:val="00A50B44"/>
    <w:rsid w:val="00A52DC9"/>
    <w:rsid w:val="00A66BAC"/>
    <w:rsid w:val="00A715EC"/>
    <w:rsid w:val="00A726D2"/>
    <w:rsid w:val="00A7471A"/>
    <w:rsid w:val="00A80A43"/>
    <w:rsid w:val="00AA1FC5"/>
    <w:rsid w:val="00AA6F3B"/>
    <w:rsid w:val="00AF4BDA"/>
    <w:rsid w:val="00B35620"/>
    <w:rsid w:val="00B53283"/>
    <w:rsid w:val="00B5336D"/>
    <w:rsid w:val="00B74320"/>
    <w:rsid w:val="00B86B48"/>
    <w:rsid w:val="00BA1817"/>
    <w:rsid w:val="00BA2296"/>
    <w:rsid w:val="00BB6133"/>
    <w:rsid w:val="00BE05BE"/>
    <w:rsid w:val="00BE4004"/>
    <w:rsid w:val="00BE5A6C"/>
    <w:rsid w:val="00BF0693"/>
    <w:rsid w:val="00C20CA1"/>
    <w:rsid w:val="00C27A24"/>
    <w:rsid w:val="00C33659"/>
    <w:rsid w:val="00C82CC6"/>
    <w:rsid w:val="00CB03DC"/>
    <w:rsid w:val="00CC3FBE"/>
    <w:rsid w:val="00D11CD4"/>
    <w:rsid w:val="00D15DF8"/>
    <w:rsid w:val="00D35269"/>
    <w:rsid w:val="00D668C7"/>
    <w:rsid w:val="00D70C43"/>
    <w:rsid w:val="00D93C62"/>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3,4"/>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ntTable" Target="fontTable.xml"/><Relationship Id="rId7" Type="http://schemas.openxmlformats.org/officeDocument/2006/relationships/hyperlink" Target="mailto:beck.marcus@epa.gov" TargetMode="Externa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hyperlink" Target="http://CRAN.R-project.org/package=quantreg"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pubs.usgs.gov/tm/04/a10/" TargetMode="External"/><Relationship Id="rId61" Type="http://schemas.openxmlformats.org/officeDocument/2006/relationships/image" Target="media/image21.wmf"/><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hyperlink" Target="http://www.tampabay.wateratlas.usf.edu/" TargetMode="External"/><Relationship Id="rId65"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hyperlink" Target="https://github.com/fawda123/WRTDStidal" TargetMode="External"/><Relationship Id="rId64" Type="http://schemas.openxmlformats.org/officeDocument/2006/relationships/image" Target="media/image22.wmf"/><Relationship Id="rId69" Type="http://schemas.microsoft.com/office/2011/relationships/people" Target="people.xml"/><Relationship Id="rId8" Type="http://schemas.openxmlformats.org/officeDocument/2006/relationships/hyperlink" Target="http://cbrim.er.usgs.gov/" TargetMode="Externa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www.R-project.org/" TargetMode="External"/><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6.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EF613-150A-4C03-80B2-BF938A2B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46</Pages>
  <Words>13467</Words>
  <Characters>76763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46</cp:revision>
  <dcterms:created xsi:type="dcterms:W3CDTF">2016-03-30T14:03:00Z</dcterms:created>
  <dcterms:modified xsi:type="dcterms:W3CDTF">2016-09-07T20:54:00Z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