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m:t>
            </m:r>
          </m:e>
          <m:sup>
            <m:r>
              <m:t>2</m:t>
            </m:r>
          </m:sup>
        </m:sSup>
      </m:oMath>
      <w:r>
        <w:t xml:space="preserve"> </w:t>
      </w:r>
      <w:r>
        <w:t xml:space="preserve">(</w:t>
      </w:r>
      <m:oMath>
        <m:r>
          <m:t>μ</m:t>
        </m:r>
        <m:r>
          <m:t>a</m:t>
        </m:r>
        <m:r>
          <m:t>t</m:t>
        </m:r>
        <m:r>
          <m:t>m</m:t>
        </m:r>
      </m:oMath>
      <w:r>
        <w:t xml:space="preserve">), CO</w:t>
      </w:r>
      <m:oMath>
        <m:sSubSup>
          <m:e>
            <m:r>
              <m:t>​</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Heading1"/>
      </w:pPr>
      <w:bookmarkStart w:id="21" w:name="Xdd1097879c2072628ba52e39ad3a24fc79f5c16"/>
      <w:r>
        <w:t xml:space="preserve">Site groupings based on environmental conditions</w:t>
      </w:r>
      <w:bookmarkEnd w:id="21"/>
    </w:p>
    <w:p>
      <w:pPr>
        <w:pStyle w:val="FirstParagraph"/>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pPr>
        <w:pStyle w:val="Heading1"/>
      </w:pPr>
      <w:bookmarkStart w:id="22" w:name="X034c48916ee0aa4f985c5d782d7a4a16171ba4f"/>
      <w:r>
        <w:t xml:space="preserve">Comparisons of pteropod response measures with environmental conditions</w:t>
      </w:r>
      <w:bookmarkEnd w:id="22"/>
    </w:p>
    <w:p>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w:t>
      </w:r>
      <w:r>
        <w:t xml:space="preserve"> </w:t>
      </w:r>
      <w:r>
        <w:t xml:space="preserve">“</w:t>
      </w:r>
      <w:r>
        <w:t xml:space="preserve">cohort-year</w:t>
      </w:r>
      <w:r>
        <w:t xml:space="preserve">”</w:t>
      </w:r>
      <w:r>
        <w:t xml:space="preserve"> </w:t>
      </w:r>
      <w:r>
        <w:t xml:space="preserve">to quantify an approximate annual time period from the end of spring spawning to just prior to spring spawning the following year. For example, July 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associations between dissolution rates and environmental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pPr>
        <w:pStyle w:val="BodyText"/>
      </w:pPr>
      <w:r>
        <w:t xml:space="preserve">The time series observations of pteropod response measures with environmental conditions measured for each cohort-year also provided an opportunity to evaluate cumulative exposure effects, as compared to</w:t>
      </w:r>
      <w:r>
        <w:t xml:space="preserve"> </w:t>
      </w:r>
      <w:r>
        <w:t xml:space="preserve">“</w:t>
      </w:r>
      <w:r>
        <w:t xml:space="preserve">snapshot</w:t>
      </w:r>
      <w:r>
        <w:t xml:space="preserve">”</w:t>
      </w:r>
      <w:r>
        <w:t xml:space="preserve"> </w:t>
      </w:r>
      <w:r>
        <w:t xml:space="preserve">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w:t>
      </w:r>
      <w:r>
        <w:t xml:space="preserve"> </w:t>
      </w:r>
      <m:oMath>
        <m:r>
          <m:t>Ω</m:t>
        </m:r>
        <m:r>
          <m:t>&lt;</m:t>
        </m:r>
        <m:r>
          <m:t>&lt;</m:t>
        </m:r>
        <m:r>
          <m:t>1</m:t>
        </m:r>
      </m:oMath>
      <w:r>
        <w:t xml:space="preserve">)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pPr>
        <w:pStyle w:val="BodyText"/>
      </w:pPr>
      <m:oMathPara>
        <m:oMathParaPr>
          <m:jc m:val="center"/>
        </m:oMathParaPr>
        <m:oMath>
          <m:r>
            <m:t>S</m:t>
          </m:r>
          <m:r>
            <m:t>=</m:t>
          </m:r>
          <m:r>
            <m:t>D</m:t>
          </m:r>
          <m:r>
            <m:t>+</m:t>
          </m:r>
          <m:r>
            <m:t>M</m:t>
          </m:r>
          <m:r>
            <m:t>  </m:t>
          </m:r>
          <m:r>
            <m:t>(</m:t>
          </m:r>
          <m:r>
            <m:t>1</m:t>
          </m:r>
          <m:r>
            <m:t>)</m:t>
          </m:r>
        </m:oMath>
      </m:oMathPara>
    </w:p>
    <w:p>
      <w:pPr>
        <w:pStyle w:val="FirstParagraph"/>
      </w:pPr>
      <w:r>
        <w:t xml:space="preserve">whereby cumulative stress (</w:t>
      </w:r>
      <m:oMath>
        <m:r>
          <m:t>S</m:t>
        </m:r>
      </m:oMath>
      <w:r>
        <w:t xml:space="preserve">) for each cohort-year is equal to the duration (</w:t>
      </w:r>
      <m:oMath>
        <m:r>
          <m:t>D</m:t>
        </m:r>
      </m:oMath>
      <w:r>
        <w:t xml:space="preserve">) and magnitude (</w:t>
      </w:r>
      <m:oMath>
        <m:r>
          <m:t>M</m:t>
        </m:r>
      </m:oMath>
      <w:r>
        <w:t xml:space="preserve">) of exposure. Explicitly, the duration and magnitude were estimated as the cumulative sum within each cohort-year for which omega was under-saturated.</w:t>
      </w:r>
    </w:p>
    <w:p>
      <w:pPr>
        <w:pStyle w:val="BodyText"/>
      </w:pPr>
      <m:oMathPara>
        <m:oMathParaPr>
          <m:jc m:val="center"/>
        </m:oMathParaPr>
        <m:oMath>
          <m:sSub>
            <m:e>
              <m:r>
                <m:t>S</m:t>
              </m:r>
            </m:e>
            <m:sub>
              <m:r>
                <m:t>y</m:t>
              </m:r>
              <m:r>
                <m:t>r</m:t>
              </m:r>
            </m:sub>
          </m:sSub>
          <m:r>
            <m:t>=</m:t>
          </m:r>
          <m:nary>
            <m:naryPr>
              <m:chr m:val="∑"/>
              <m:limLoc m:val="undOvr"/>
              <m:subHide m:val="0"/>
              <m:supHide m:val="1"/>
            </m:naryPr>
            <m:sub>
              <m:r>
                <m:t>i</m:t>
              </m:r>
              <m:r>
                <m:t>∈</m:t>
              </m:r>
              <m:r>
                <m:t>m</m:t>
              </m:r>
              <m:r>
                <m:t>o</m:t>
              </m:r>
              <m:r>
                <m:t>n</m:t>
              </m:r>
              <m:r>
                <m:t>t</m:t>
              </m:r>
              <m:r>
                <m:t>h</m:t>
              </m:r>
            </m:sub>
            <m:sup>
              <m:r>
                <m:t>​</m:t>
              </m:r>
            </m:sup>
            <m:e>
              <m:sSub>
                <m:e>
                  <m:r>
                    <m:t>Ω</m:t>
                  </m:r>
                </m:e>
                <m:sub>
                  <m:r>
                    <m:t>c</m:t>
                  </m:r>
                  <m:r>
                    <m:t>r</m:t>
                  </m:r>
                  <m:r>
                    <m:t>i</m:t>
                  </m:r>
                  <m:r>
                    <m:t>t</m:t>
                  </m:r>
                </m:sub>
              </m:sSub>
            </m:e>
          </m:nary>
          <m:r>
            <m:t>−</m:t>
          </m:r>
          <m:sSub>
            <m:e>
              <m:r>
                <m:t>Ω</m:t>
              </m:r>
            </m:e>
            <m:sub>
              <m:r>
                <m:t>o</m:t>
              </m:r>
              <m:r>
                <m:t>b</m:t>
              </m:r>
              <m:r>
                <m:t>s</m:t>
              </m:r>
              <m:r>
                <m:t>,</m:t>
              </m:r>
              <m:r>
                <m:t>i</m:t>
              </m:r>
            </m:sub>
          </m:sSub>
          <m:r>
            <m:t>  </m:t>
          </m:r>
          <m:r>
            <m:t>(</m:t>
          </m:r>
          <m:r>
            <m:t>2</m:t>
          </m:r>
          <m:r>
            <m:t>)</m:t>
          </m:r>
        </m:oMath>
      </m:oMathPara>
    </w:p>
    <w:p>
      <w:pPr>
        <w:pStyle w:val="FirstParagraph"/>
      </w:pPr>
      <w:r>
        <w:t xml:space="preserve">For each cohort-year at each station,</w:t>
      </w:r>
      <w:r>
        <w:t xml:space="preserve"> </w:t>
      </w:r>
      <m:oMath>
        <m:sSub>
          <m:e>
            <m:r>
              <m:t>S</m:t>
            </m:r>
          </m:e>
          <m:sub>
            <m:r>
              <m:t>y</m:t>
            </m:r>
            <m:r>
              <m:t>r</m:t>
            </m:r>
          </m:sub>
        </m:sSub>
      </m:oMath>
      <w:r>
        <w:t xml:space="preserve"> </w:t>
      </w:r>
      <w:r>
        <w:t xml:space="preserve">was estimated as the cumulative sum across the months for the observed omega saturation state</w:t>
      </w:r>
      <w:r>
        <w:t xml:space="preserve"> </w:t>
      </w:r>
      <m:oMath>
        <m:sSub>
          <m:e>
            <m:r>
              <m:t>Ω</m:t>
            </m:r>
          </m:e>
          <m:sub>
            <m:r>
              <m:t>o</m:t>
            </m:r>
            <m:r>
              <m:t>b</m:t>
            </m:r>
            <m:r>
              <m:t>s</m:t>
            </m:r>
            <m:r>
              <m:t>,</m:t>
            </m:r>
            <m:r>
              <m:t>i</m:t>
            </m:r>
          </m:sub>
        </m:sSub>
      </m:oMath>
      <w:r>
        <w:t xml:space="preserve"> </w:t>
      </w:r>
      <w:r>
        <w:t xml:space="preserve">minus a critical threshold</w:t>
      </w:r>
      <w:r>
        <w:t xml:space="preserve"> </w:t>
      </w:r>
      <m:oMath>
        <m:sSub>
          <m:e>
            <m:r>
              <m:t>Ω</m:t>
            </m:r>
          </m:e>
          <m:sub>
            <m:r>
              <m:t>c</m:t>
            </m:r>
            <m:r>
              <m:t>r</m:t>
            </m:r>
            <m:r>
              <m:t>i</m:t>
            </m:r>
            <m:r>
              <m:t>t</m:t>
            </m:r>
          </m:sub>
        </m:sSub>
      </m:oMath>
      <w:r>
        <w:t xml:space="preserve"> </w:t>
      </w:r>
      <w:r>
        <w:t xml:space="preserve">defined as under-saturated. The critical threshold for aragonite saturation state was fixed at</w:t>
      </w:r>
      <w:r>
        <w:t xml:space="preserve"> </w:t>
      </w:r>
      <m:oMath>
        <m:sSub>
          <m:e>
            <m:r>
              <m:t>Ω</m:t>
            </m:r>
          </m:e>
          <m:sub>
            <m:r>
              <m:t>c</m:t>
            </m:r>
            <m:r>
              <m:t>r</m:t>
            </m:r>
            <m:r>
              <m:t>i</m:t>
            </m:r>
            <m:r>
              <m:t>t</m:t>
            </m:r>
          </m:sub>
        </m:sSub>
        <m:r>
          <m:t>=</m:t>
        </m:r>
        <m:r>
          <m:t>1</m:t>
        </m:r>
      </m:oMath>
      <w:r>
        <w:t xml:space="preserve">, although the approach is flexible and different values could be tested to explore associations with pteropod response measures.</w:t>
      </w:r>
    </w:p>
    <w:p>
      <w:pPr>
        <w:pStyle w:val="BodyText"/>
      </w:pPr>
      <w:r>
        <w:t xml:space="preserve">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pPr>
        <w:pStyle w:val="BodyText"/>
      </w:pPr>
      <w:r>
        <w:t xml:space="preserve">Hartigan, J.A. 1975. Clustering Algorithms. New York: Wiley.</w:t>
      </w:r>
    </w:p>
    <w:p>
      <w:pPr>
        <w:pStyle w:val="BodyText"/>
      </w:pPr>
      <w:r>
        <w:t xml:space="preserve">Oksanen, J., Blanchet, F.G., Friendly, M., Kindt, R., Legendre, P., McGlinn, D., Minchin, P.R., O’Hara, R.B., Simpson, G.L., Solymos, P., Henry, H., Stevens, H., Szoecs, E., Wagner, H. 2018. vegan: Community Ecology Package. R package version 2.5-2.</w:t>
      </w:r>
      <w:r>
        <w:t xml:space="preserve"> </w:t>
      </w:r>
      <w:hyperlink r:id="rId23">
        <w:r>
          <w:rPr>
            <w:rStyle w:val="Hyperlink"/>
          </w:rPr>
          <w:t xml:space="preserve">https://CRAN.R-project.org/package=vegan</w:t>
        </w:r>
      </w:hyperlink>
    </w:p>
    <w:p>
      <w:pPr>
        <w:pStyle w:val="BodyText"/>
      </w:pPr>
      <w:r>
        <w:t xml:space="preserve">Venables, W.N., Ripley, B.D. 2002. Modern Applied Statistics with S, Springer-Verlag.</w:t>
      </w:r>
    </w:p>
    <w:p>
      <w:pPr>
        <w:pStyle w:val="BodyText"/>
      </w:pPr>
      <w:r>
        <w:t xml:space="preserve">Zuur, A.F., Ieno, E.N., Smith, G.M. 2007. Analysing Ecological Data. New York: Springer.</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2019-03-17T16:16:13Z</dcterms:created>
  <dcterms:modified xsi:type="dcterms:W3CDTF">2019-03-17T16:16:13Z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