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Tables</w:t>
      </w:r>
    </w:p>
    <w:p>
      <w:pPr>
        <w:pStyle w:val="TableCaption"/>
      </w:pPr>
      <w:r>
        <w:t xml:space="preserve">Table 1: Correlation matrix between environmental characteristics and dissolution. All values are Spearman rank correlations for all dates and stations.</w:t>
      </w:r>
      <w:r>
        <w:t xml:space="preserve"> </w:t>
      </w:r>
      <m:oMath>
        <m:r>
          <m:t>*</m:t>
        </m:r>
        <m:r>
          <m:t>p</m:t>
        </m:r>
        <m:r>
          <m:t>&lt;</m:t>
        </m:r>
        <m:r>
          <m:t>0.05</m:t>
        </m:r>
      </m:oMath>
      <w:r>
        <w:t xml:space="preserve">,</w:t>
      </w:r>
      <w:r>
        <w:t xml:space="preserve"> </w:t>
      </w:r>
      <m:oMath>
        <m:r>
          <m:t>*</m:t>
        </m:r>
        <m:r>
          <m:t>*</m:t>
        </m:r>
        <m:r>
          <m:t>p</m:t>
        </m:r>
        <m:r>
          <m:t>&lt;</m:t>
        </m:r>
        <m:r>
          <m:t>0.005</m:t>
        </m:r>
      </m:oMath>
    </w:p>
    <w:tbl>
      <w:tblPr>
        <w:tblStyle w:val="Table"/>
        <w:tblW w:type="pct" w:w="0.0"/>
        <w:tblLook w:firstRow="1"/>
        <w:tblCaption w:val="Table 1: Correlation matrix between environmental characteristics and dissolution. All values are Spearman rank correlations for all dates and stations. * p &lt; 0.05, ** p &lt; 0.005"/>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Chlorophyll-a (</w:t>
            </w:r>
            <m:oMath>
              <m:r>
                <m:t>μ</m:t>
              </m:r>
            </m:oMath>
            <w:r>
              <w:t xml:space="preserve">g/L)</w:t>
            </w:r>
          </w:p>
        </w:tc>
        <w:tc>
          <w:tcPr>
            <w:tcBorders>
              <w:bottom w:val="single"/>
            </w:tcBorders>
            <w:vAlign w:val="bottom"/>
          </w:tcPr>
          <w:p>
            <w:pPr>
              <w:pStyle w:val="Compact"/>
              <w:jc w:val="left"/>
            </w:pPr>
            <w:r>
              <w:t xml:space="preserve">Depth (m)</w:t>
            </w:r>
          </w:p>
        </w:tc>
        <w:tc>
          <w:tcPr>
            <w:tcBorders>
              <w:bottom w:val="single"/>
            </w:tcBorders>
            <w:vAlign w:val="bottom"/>
          </w:tcPr>
          <w:p>
            <w:pPr>
              <w:pStyle w:val="Compact"/>
              <w:jc w:val="left"/>
            </w:pPr>
            <w:r>
              <w:t xml:space="preserve">Dissolved Oxygen (mg/L)</w:t>
            </w:r>
          </w:p>
        </w:tc>
        <w:tc>
          <w:tcPr>
            <w:tcBorders>
              <w:bottom w:val="single"/>
            </w:tcBorders>
            <w:vAlign w:val="bottom"/>
          </w:tcPr>
          <w:p>
            <w:pPr>
              <w:pStyle w:val="Compact"/>
              <w:jc w:val="left"/>
            </w:pPr>
            <w:r>
              <w:t xml:space="preserve">Salinity (psu)</w:t>
            </w:r>
          </w:p>
        </w:tc>
        <w:tc>
          <w:tcPr>
            <w:tcBorders>
              <w:bottom w:val="single"/>
            </w:tcBorders>
            <w:vAlign w:val="bottom"/>
          </w:tcPr>
          <w:p>
            <w:pPr>
              <w:pStyle w:val="Compact"/>
              <w:jc w:val="left"/>
            </w:pPr>
            <w:r>
              <w:t xml:space="preserve">Temperature (C)</w:t>
            </w:r>
          </w:p>
        </w:tc>
        <w:tc>
          <w:tcPr>
            <w:tcBorders>
              <w:bottom w:val="single"/>
            </w:tcBorders>
            <w:vAlign w:val="bottom"/>
          </w:tcPr>
          <w:p>
            <w:pPr>
              <w:pStyle w:val="Compact"/>
              <w:jc w:val="left"/>
            </w:pPr>
            <w:r>
              <w:t xml:space="preserve">Dissolution I (%)</w:t>
            </w:r>
          </w:p>
        </w:tc>
        <w:tc>
          <w:tcPr>
            <w:tcBorders>
              <w:bottom w:val="single"/>
            </w:tcBorders>
            <w:vAlign w:val="bottom"/>
          </w:tcPr>
          <w:p>
            <w:pPr>
              <w:pStyle w:val="Compact"/>
              <w:jc w:val="left"/>
            </w:pPr>
            <w:r>
              <w:t xml:space="preserve">Dissolution II (%)</w:t>
            </w:r>
          </w:p>
        </w:tc>
        <w:tc>
          <w:tcPr>
            <w:tcBorders>
              <w:bottom w:val="single"/>
            </w:tcBorders>
            <w:vAlign w:val="bottom"/>
          </w:tcPr>
          <w:p>
            <w:pPr>
              <w:pStyle w:val="Compact"/>
              <w:jc w:val="left"/>
            </w:pPr>
            <w:r>
              <w:t xml:space="preserve">Dissolution III (%)</w:t>
            </w:r>
          </w:p>
        </w:tc>
      </w:tr>
      <w:tr>
        <w:tc>
          <w:p>
            <w:pPr>
              <w:pStyle w:val="Compact"/>
              <w:jc w:val="left"/>
            </w:pPr>
            <w:r>
              <w:t xml:space="preserve">Aragonite saturation (</w:t>
            </w:r>
            <m:oMath>
              <m:r>
                <m:t>Ω</m:t>
              </m:r>
            </m:oMath>
            <w:r>
              <w:t xml:space="preserve">)</w:t>
            </w:r>
          </w:p>
        </w:tc>
        <w:tc>
          <w:p>
            <w:pPr>
              <w:pStyle w:val="Compact"/>
              <w:jc w:val="left"/>
            </w:pPr>
            <w:r>
              <w:t xml:space="preserve">0.1</w:t>
            </w:r>
          </w:p>
        </w:tc>
        <w:tc>
          <w:p>
            <w:pPr>
              <w:pStyle w:val="Compact"/>
              <w:jc w:val="left"/>
            </w:pPr>
            <w:r>
              <w:t xml:space="preserve">0.53**</w:t>
            </w:r>
          </w:p>
        </w:tc>
        <w:tc>
          <w:p>
            <w:pPr>
              <w:pStyle w:val="Compact"/>
              <w:jc w:val="left"/>
            </w:pPr>
            <w:r>
              <w:t xml:space="preserve">0.53**</w:t>
            </w:r>
          </w:p>
        </w:tc>
        <w:tc>
          <w:p>
            <w:pPr>
              <w:pStyle w:val="Compact"/>
              <w:jc w:val="left"/>
            </w:pPr>
            <w:r>
              <w:t xml:space="preserve">0.48**</w:t>
            </w:r>
          </w:p>
        </w:tc>
        <w:tc>
          <w:p>
            <w:pPr>
              <w:pStyle w:val="Compact"/>
              <w:jc w:val="left"/>
            </w:pPr>
            <w:r>
              <w:t xml:space="preserve">-0.11</w:t>
            </w:r>
          </w:p>
        </w:tc>
        <w:tc>
          <w:p>
            <w:pPr>
              <w:pStyle w:val="Compact"/>
              <w:jc w:val="left"/>
            </w:pPr>
            <w:r>
              <w:t xml:space="preserve">0.08</w:t>
            </w:r>
          </w:p>
        </w:tc>
        <w:tc>
          <w:p>
            <w:pPr>
              <w:pStyle w:val="Compact"/>
              <w:jc w:val="left"/>
            </w:pPr>
            <w:r>
              <w:t xml:space="preserve">0.34*</w:t>
            </w:r>
          </w:p>
        </w:tc>
        <w:tc>
          <w:p>
            <w:pPr>
              <w:pStyle w:val="Compact"/>
              <w:jc w:val="left"/>
            </w:pPr>
            <w:r>
              <w:t xml:space="preserve">-0.39*</w:t>
            </w:r>
          </w:p>
        </w:tc>
      </w:tr>
      <w:tr>
        <w:tc>
          <w:p>
            <w:pPr>
              <w:pStyle w:val="Compact"/>
              <w:jc w:val="left"/>
            </w:pPr>
            <w:r>
              <w:t xml:space="preserve">Chlorophyll-a (</w:t>
            </w:r>
            <m:oMath>
              <m:r>
                <m:t>μ</m:t>
              </m:r>
            </m:oMath>
            <w:r>
              <w:t xml:space="preserve">g/L)</w:t>
            </w:r>
          </w:p>
        </w:tc>
        <w:tc>
          <w:p/>
        </w:tc>
        <w:tc>
          <w:p>
            <w:pPr>
              <w:pStyle w:val="Compact"/>
              <w:jc w:val="left"/>
            </w:pPr>
            <w:r>
              <w:t xml:space="preserve">0.08</w:t>
            </w:r>
          </w:p>
        </w:tc>
        <w:tc>
          <w:p>
            <w:pPr>
              <w:pStyle w:val="Compact"/>
              <w:jc w:val="left"/>
            </w:pPr>
            <w:r>
              <w:t xml:space="preserve">0.23</w:t>
            </w:r>
          </w:p>
        </w:tc>
        <w:tc>
          <w:p>
            <w:pPr>
              <w:pStyle w:val="Compact"/>
              <w:jc w:val="left"/>
            </w:pPr>
            <w:r>
              <w:t xml:space="preserve">-0.25</w:t>
            </w:r>
          </w:p>
        </w:tc>
        <w:tc>
          <w:p>
            <w:pPr>
              <w:pStyle w:val="Compact"/>
              <w:jc w:val="left"/>
            </w:pPr>
            <w:r>
              <w:t xml:space="preserve">-0.16</w:t>
            </w:r>
          </w:p>
        </w:tc>
        <w:tc>
          <w:p>
            <w:pPr>
              <w:pStyle w:val="Compact"/>
              <w:jc w:val="left"/>
            </w:pPr>
            <w:r>
              <w:t xml:space="preserve">-0.07</w:t>
            </w:r>
          </w:p>
        </w:tc>
        <w:tc>
          <w:p>
            <w:pPr>
              <w:pStyle w:val="Compact"/>
              <w:jc w:val="left"/>
            </w:pPr>
            <w:r>
              <w:t xml:space="preserve">0.03</w:t>
            </w:r>
          </w:p>
        </w:tc>
        <w:tc>
          <w:p>
            <w:pPr>
              <w:pStyle w:val="Compact"/>
              <w:jc w:val="left"/>
            </w:pPr>
            <w:r>
              <w:t xml:space="preserve">-0.01</w:t>
            </w:r>
          </w:p>
        </w:tc>
      </w:tr>
      <w:tr>
        <w:tc>
          <w:p>
            <w:pPr>
              <w:pStyle w:val="Compact"/>
              <w:jc w:val="left"/>
            </w:pPr>
            <w:r>
              <w:t xml:space="preserve">Depth (m)</w:t>
            </w:r>
          </w:p>
        </w:tc>
        <w:tc>
          <w:p/>
        </w:tc>
        <w:tc>
          <w:p/>
        </w:tc>
        <w:tc>
          <w:p>
            <w:pPr>
              <w:pStyle w:val="Compact"/>
              <w:jc w:val="left"/>
            </w:pPr>
            <w:r>
              <w:t xml:space="preserve">0.22</w:t>
            </w:r>
          </w:p>
        </w:tc>
        <w:tc>
          <w:p>
            <w:pPr>
              <w:pStyle w:val="Compact"/>
              <w:jc w:val="left"/>
            </w:pPr>
            <w:r>
              <w:t xml:space="preserve">0.44**</w:t>
            </w:r>
          </w:p>
        </w:tc>
        <w:tc>
          <w:p>
            <w:pPr>
              <w:pStyle w:val="Compact"/>
              <w:jc w:val="left"/>
            </w:pPr>
            <w:r>
              <w:t xml:space="preserve">-0.06</w:t>
            </w:r>
          </w:p>
        </w:tc>
        <w:tc>
          <w:p>
            <w:pPr>
              <w:pStyle w:val="Compact"/>
              <w:jc w:val="left"/>
            </w:pPr>
            <w:r>
              <w:t xml:space="preserve">0.16</w:t>
            </w:r>
          </w:p>
        </w:tc>
        <w:tc>
          <w:p>
            <w:pPr>
              <w:pStyle w:val="Compact"/>
              <w:jc w:val="left"/>
            </w:pPr>
            <w:r>
              <w:t xml:space="preserve">0.01</w:t>
            </w:r>
          </w:p>
        </w:tc>
        <w:tc>
          <w:p>
            <w:pPr>
              <w:pStyle w:val="Compact"/>
              <w:jc w:val="left"/>
            </w:pPr>
            <w:r>
              <w:t xml:space="preserve">-0.14</w:t>
            </w:r>
          </w:p>
        </w:tc>
      </w:tr>
      <w:tr>
        <w:tc>
          <w:p>
            <w:pPr>
              <w:pStyle w:val="Compact"/>
              <w:jc w:val="left"/>
            </w:pPr>
            <w:r>
              <w:t xml:space="preserve">Dissolved Oxygen (mg/L)</w:t>
            </w:r>
          </w:p>
        </w:tc>
        <w:tc>
          <w:p/>
        </w:tc>
        <w:tc>
          <w:p/>
        </w:tc>
        <w:tc>
          <w:p/>
        </w:tc>
        <w:tc>
          <w:p>
            <w:pPr>
              <w:pStyle w:val="Compact"/>
              <w:jc w:val="left"/>
            </w:pPr>
            <w:r>
              <w:t xml:space="preserve">-0.22</w:t>
            </w:r>
          </w:p>
        </w:tc>
        <w:tc>
          <w:p>
            <w:pPr>
              <w:pStyle w:val="Compact"/>
              <w:jc w:val="left"/>
            </w:pPr>
            <w:r>
              <w:t xml:space="preserve">-0.44**</w:t>
            </w:r>
          </w:p>
        </w:tc>
        <w:tc>
          <w:p>
            <w:pPr>
              <w:pStyle w:val="Compact"/>
              <w:jc w:val="left"/>
            </w:pPr>
            <w:r>
              <w:t xml:space="preserve">-0.03</w:t>
            </w:r>
          </w:p>
        </w:tc>
        <w:tc>
          <w:p>
            <w:pPr>
              <w:pStyle w:val="Compact"/>
              <w:jc w:val="left"/>
            </w:pPr>
            <w:r>
              <w:t xml:space="preserve">0.16</w:t>
            </w:r>
          </w:p>
        </w:tc>
        <w:tc>
          <w:p>
            <w:pPr>
              <w:pStyle w:val="Compact"/>
              <w:jc w:val="left"/>
            </w:pPr>
            <w:r>
              <w:t xml:space="preserve">-0.03</w:t>
            </w:r>
          </w:p>
        </w:tc>
      </w:tr>
      <w:tr>
        <w:tc>
          <w:p>
            <w:pPr>
              <w:pStyle w:val="Compact"/>
              <w:jc w:val="left"/>
            </w:pPr>
            <w:r>
              <w:t xml:space="preserve">Salinity (psu)</w:t>
            </w:r>
          </w:p>
        </w:tc>
        <w:tc>
          <w:p/>
        </w:tc>
        <w:tc>
          <w:p/>
        </w:tc>
        <w:tc>
          <w:p/>
        </w:tc>
        <w:tc>
          <w:p/>
        </w:tc>
        <w:tc>
          <w:p>
            <w:pPr>
              <w:pStyle w:val="Compact"/>
              <w:jc w:val="left"/>
            </w:pPr>
            <w:r>
              <w:t xml:space="preserve">0.01</w:t>
            </w:r>
          </w:p>
        </w:tc>
        <w:tc>
          <w:p>
            <w:pPr>
              <w:pStyle w:val="Compact"/>
              <w:jc w:val="left"/>
            </w:pPr>
            <w:r>
              <w:t xml:space="preserve">0.3*</w:t>
            </w:r>
          </w:p>
        </w:tc>
        <w:tc>
          <w:p>
            <w:pPr>
              <w:pStyle w:val="Compact"/>
              <w:jc w:val="left"/>
            </w:pPr>
            <w:r>
              <w:t xml:space="preserve">0</w:t>
            </w:r>
          </w:p>
        </w:tc>
        <w:tc>
          <w:p>
            <w:pPr>
              <w:pStyle w:val="Compact"/>
              <w:jc w:val="left"/>
            </w:pPr>
            <w:r>
              <w:t xml:space="preserve">-0.37*</w:t>
            </w:r>
          </w:p>
        </w:tc>
      </w:tr>
      <w:tr>
        <w:tc>
          <w:p>
            <w:pPr>
              <w:pStyle w:val="Compact"/>
              <w:jc w:val="left"/>
            </w:pPr>
            <w:r>
              <w:t xml:space="preserve">Temperature (C)</w:t>
            </w:r>
          </w:p>
        </w:tc>
        <w:tc>
          <w:p/>
        </w:tc>
        <w:tc>
          <w:p/>
        </w:tc>
        <w:tc>
          <w:p/>
        </w:tc>
        <w:tc>
          <w:p/>
        </w:tc>
        <w:tc>
          <w:p/>
        </w:tc>
        <w:tc>
          <w:p>
            <w:pPr>
              <w:pStyle w:val="Compact"/>
              <w:jc w:val="left"/>
            </w:pPr>
            <w:r>
              <w:t xml:space="preserve">-0.05</w:t>
            </w:r>
          </w:p>
        </w:tc>
        <w:tc>
          <w:p>
            <w:pPr>
              <w:pStyle w:val="Compact"/>
              <w:jc w:val="left"/>
            </w:pPr>
            <w:r>
              <w:t xml:space="preserve">0.04</w:t>
            </w:r>
          </w:p>
        </w:tc>
        <w:tc>
          <w:p>
            <w:pPr>
              <w:pStyle w:val="Compact"/>
              <w:jc w:val="left"/>
            </w:pPr>
            <w:r>
              <w:t xml:space="preserve">-0.02</w:t>
            </w:r>
          </w:p>
        </w:tc>
      </w:tr>
      <w:tr>
        <w:tc>
          <w:p>
            <w:pPr>
              <w:pStyle w:val="Compact"/>
              <w:jc w:val="left"/>
            </w:pPr>
            <w:r>
              <w:t xml:space="preserve">Dissolution I (%)</w:t>
            </w:r>
          </w:p>
        </w:tc>
        <w:tc>
          <w:p/>
        </w:tc>
        <w:tc>
          <w:p/>
        </w:tc>
        <w:tc>
          <w:p/>
        </w:tc>
        <w:tc>
          <w:p/>
        </w:tc>
        <w:tc>
          <w:p/>
        </w:tc>
        <w:tc>
          <w:p/>
        </w:tc>
        <w:tc>
          <w:p>
            <w:pPr>
              <w:pStyle w:val="Compact"/>
              <w:jc w:val="left"/>
            </w:pPr>
            <w:r>
              <w:t xml:space="preserve">-0.67**</w:t>
            </w:r>
          </w:p>
        </w:tc>
        <w:tc>
          <w:p>
            <w:pPr>
              <w:pStyle w:val="Compact"/>
              <w:jc w:val="left"/>
            </w:pPr>
            <w:r>
              <w:t xml:space="preserve">-0.53**</w:t>
            </w:r>
          </w:p>
        </w:tc>
      </w:tr>
      <w:tr>
        <w:tc>
          <w:p>
            <w:pPr>
              <w:pStyle w:val="Compact"/>
              <w:jc w:val="left"/>
            </w:pPr>
            <w:r>
              <w:t xml:space="preserve">Dissolution II (%)</w:t>
            </w:r>
          </w:p>
        </w:tc>
        <w:tc>
          <w:p/>
        </w:tc>
        <w:tc>
          <w:p/>
        </w:tc>
        <w:tc>
          <w:p/>
        </w:tc>
        <w:tc>
          <w:p/>
        </w:tc>
        <w:tc>
          <w:p/>
        </w:tc>
        <w:tc>
          <w:p/>
        </w:tc>
        <w:tc>
          <w:p/>
        </w:tc>
        <w:tc>
          <w:p>
            <w:pPr>
              <w:pStyle w:val="Compact"/>
              <w:jc w:val="left"/>
            </w:pPr>
            <w:r>
              <w:t xml:space="preserve">-0.13</w:t>
            </w:r>
          </w:p>
        </w:tc>
      </w:tr>
    </w:tbl>
    <w:p>
      <w:pPr>
        <w:pStyle w:val="TableCaption"/>
      </w:pPr>
      <w:r>
        <w:t xml:space="preserve">Table 2: Environmental characteristics of sample stations in Puget Sound. Stations are grouped by exposure categories defined by multivariate clustering (Figure 2). Depth is the maximum sampled depth for seasonal CTD casts. Average (min/max) aragonite saturation state, salinity, chlorophyll-a, temperature, and oxygen values are also shown based on approximately nine visits to each site and different samples by depth from 2014 to 2016.</w:t>
      </w:r>
    </w:p>
    <w:tbl>
      <w:tblPr>
        <w:tblStyle w:val="Table"/>
        <w:tblW w:type="pct" w:w="0.0"/>
        <w:tblLook w:firstRow="1"/>
        <w:tblCaption w:val="Table 2: Environmental characteristics of sample stations in Puget Sound. Stations are grouped by exposure categories defined by multivariate clustering (Figure 2). Depth is the maximum sampled depth for seasonal CTD casts. Average (min/max) aragonite saturation state, salinity, chlorophyll-a, temperature, and oxygen values are also shown based on approximately nine visits to each site and different samples by depth from 2014 to 2016."/>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Station</w:t>
            </w:r>
          </w:p>
        </w:tc>
        <w:tc>
          <w:tcPr>
            <w:tcBorders>
              <w:bottom w:val="single"/>
            </w:tcBorders>
            <w:vAlign w:val="bottom"/>
          </w:tcPr>
          <w:p>
            <w:pPr>
              <w:pStyle w:val="Compact"/>
              <w:jc w:val="left"/>
            </w:pPr>
            <w:r>
              <w:t xml:space="preserve">lon/lat</w:t>
            </w:r>
          </w:p>
        </w:tc>
        <w:tc>
          <w:tcPr>
            <w:tcBorders>
              <w:bottom w:val="single"/>
            </w:tcBorders>
            <w:vAlign w:val="bottom"/>
          </w:tcPr>
          <w:p>
            <w:pPr>
              <w:pStyle w:val="Compact"/>
              <w:jc w:val="right"/>
            </w:pPr>
            <w:r>
              <w:t xml:space="preserve">Depth (m)</w:t>
            </w:r>
          </w:p>
        </w:tc>
        <w:tc>
          <w:tcPr>
            <w:tcBorders>
              <w:bottom w:val="single"/>
            </w:tcBorders>
            <w:vAlign w:val="bottom"/>
          </w:tcPr>
          <w:p>
            <w:pPr>
              <w:pStyle w:val="Compact"/>
              <w:jc w:val="left"/>
            </w:pPr>
            <w:r>
              <w:t xml:space="preserve">Aragonite saturation (</w:t>
            </w:r>
            <m:oMath>
              <m:r>
                <m:t>Ω</m:t>
              </m:r>
            </m:oMath>
            <w:r>
              <w:t xml:space="preserve">)</w:t>
            </w:r>
          </w:p>
        </w:tc>
        <w:tc>
          <w:tcPr>
            <w:tcBorders>
              <w:bottom w:val="single"/>
            </w:tcBorders>
            <w:vAlign w:val="bottom"/>
          </w:tcPr>
          <w:p>
            <w:pPr>
              <w:pStyle w:val="Compact"/>
              <w:jc w:val="left"/>
            </w:pPr>
            <w:r>
              <w:t xml:space="preserve">Salinity (psu)</w:t>
            </w:r>
          </w:p>
        </w:tc>
        <w:tc>
          <w:tcPr>
            <w:tcBorders>
              <w:bottom w:val="single"/>
            </w:tcBorders>
            <w:vAlign w:val="bottom"/>
          </w:tcPr>
          <w:p>
            <w:pPr>
              <w:pStyle w:val="Compact"/>
              <w:jc w:val="left"/>
            </w:pPr>
            <w:r>
              <w:t xml:space="preserve">Chlorophyll-a (</w:t>
            </w:r>
            <m:oMath>
              <m:r>
                <m:t>μ</m:t>
              </m:r>
            </m:oMath>
            <w:r>
              <w:t xml:space="preserve">g/L)</w:t>
            </w:r>
          </w:p>
        </w:tc>
        <w:tc>
          <w:tcPr>
            <w:tcBorders>
              <w:bottom w:val="single"/>
            </w:tcBorders>
            <w:vAlign w:val="bottom"/>
          </w:tcPr>
          <w:p>
            <w:pPr>
              <w:pStyle w:val="Compact"/>
              <w:jc w:val="left"/>
            </w:pPr>
            <w:r>
              <w:t xml:space="preserve">Temperature (C)</w:t>
            </w:r>
          </w:p>
        </w:tc>
        <w:tc>
          <w:tcPr>
            <w:tcBorders>
              <w:bottom w:val="single"/>
            </w:tcBorders>
            <w:vAlign w:val="bottom"/>
          </w:tcPr>
          <w:p>
            <w:pPr>
              <w:pStyle w:val="Compact"/>
              <w:jc w:val="left"/>
            </w:pPr>
            <w:r>
              <w:t xml:space="preserve">Dissolved Oxygen (mg/L)</w:t>
            </w:r>
          </w:p>
        </w:tc>
      </w:tr>
      <w:tr>
        <w:tc>
          <w:p>
            <w:pPr>
              <w:pStyle w:val="Compact"/>
              <w:jc w:val="left"/>
            </w:pPr>
            <w:r>
              <w:t xml:space="preserve">mild exposure</w:t>
            </w:r>
          </w:p>
        </w:tc>
        <w:tc>
          <w:p>
            <w:pPr>
              <w:pStyle w:val="Compact"/>
              <w:jc w:val="left"/>
            </w:pPr>
            <w:r>
              <w:t xml:space="preserve">22</w:t>
            </w:r>
          </w:p>
        </w:tc>
        <w:tc>
          <w:p>
            <w:pPr>
              <w:pStyle w:val="Compact"/>
              <w:jc w:val="left"/>
            </w:pPr>
            <w:r>
              <w:t xml:space="preserve">-123/48.3</w:t>
            </w:r>
          </w:p>
        </w:tc>
        <w:tc>
          <w:p>
            <w:pPr>
              <w:pStyle w:val="Compact"/>
              <w:jc w:val="right"/>
            </w:pPr>
            <w:r>
              <w:t xml:space="preserve">120</w:t>
            </w:r>
          </w:p>
        </w:tc>
        <w:tc>
          <w:p>
            <w:pPr>
              <w:pStyle w:val="Compact"/>
              <w:jc w:val="left"/>
            </w:pPr>
            <w:r>
              <w:t xml:space="preserve">1.1 (0.7, 1.7)</w:t>
            </w:r>
          </w:p>
        </w:tc>
        <w:tc>
          <w:p>
            <w:pPr>
              <w:pStyle w:val="Compact"/>
              <w:jc w:val="left"/>
            </w:pPr>
            <w:r>
              <w:t xml:space="preserve">31.5 (29.4, 35.5)</w:t>
            </w:r>
          </w:p>
        </w:tc>
        <w:tc>
          <w:p>
            <w:pPr>
              <w:pStyle w:val="Compact"/>
              <w:jc w:val="left"/>
            </w:pPr>
            <w:r>
              <w:t xml:space="preserve">1.5 (0.2, 7.3)</w:t>
            </w:r>
          </w:p>
        </w:tc>
        <w:tc>
          <w:p>
            <w:pPr>
              <w:pStyle w:val="Compact"/>
              <w:jc w:val="left"/>
            </w:pPr>
            <w:r>
              <w:t xml:space="preserve">10.4 (8.1, 12.8)</w:t>
            </w:r>
          </w:p>
        </w:tc>
        <w:tc>
          <w:p>
            <w:pPr>
              <w:pStyle w:val="Compact"/>
              <w:jc w:val="left"/>
            </w:pPr>
            <w:r>
              <w:t xml:space="preserve">191.4 (107.3, 270.4)</w:t>
            </w:r>
          </w:p>
        </w:tc>
      </w:tr>
      <w:tr>
        <w:tc>
          <w:p>
            <w:pPr>
              <w:pStyle w:val="Compact"/>
              <w:jc w:val="left"/>
            </w:pPr>
            <w:r>
              <w:t xml:space="preserve">moderate exposure</w:t>
            </w:r>
          </w:p>
        </w:tc>
        <w:tc>
          <w:p>
            <w:pPr>
              <w:pStyle w:val="Compact"/>
              <w:jc w:val="left"/>
            </w:pPr>
            <w:r>
              <w:t xml:space="preserve">8</w:t>
            </w:r>
          </w:p>
        </w:tc>
        <w:tc>
          <w:p>
            <w:pPr>
              <w:pStyle w:val="Compact"/>
              <w:jc w:val="left"/>
            </w:pPr>
            <w:r>
              <w:t xml:space="preserve">-122.6/47.9</w:t>
            </w:r>
          </w:p>
        </w:tc>
        <w:tc>
          <w:p>
            <w:pPr>
              <w:pStyle w:val="Compact"/>
              <w:jc w:val="right"/>
            </w:pPr>
            <w:r>
              <w:t xml:space="preserve">129</w:t>
            </w:r>
          </w:p>
        </w:tc>
        <w:tc>
          <w:p>
            <w:pPr>
              <w:pStyle w:val="Compact"/>
              <w:jc w:val="left"/>
            </w:pPr>
            <w:r>
              <w:t xml:space="preserve">1.2 (0.6, 2.9)</w:t>
            </w:r>
          </w:p>
        </w:tc>
        <w:tc>
          <w:p>
            <w:pPr>
              <w:pStyle w:val="Compact"/>
              <w:jc w:val="left"/>
            </w:pPr>
            <w:r>
              <w:t xml:space="preserve">30.1 (27.2, 31.3)</w:t>
            </w:r>
          </w:p>
        </w:tc>
        <w:tc>
          <w:p>
            <w:pPr>
              <w:pStyle w:val="Compact"/>
              <w:jc w:val="left"/>
            </w:pPr>
            <w:r>
              <w:t xml:space="preserve">3.8 (0, 20.8)</w:t>
            </w:r>
          </w:p>
        </w:tc>
        <w:tc>
          <w:p>
            <w:pPr>
              <w:pStyle w:val="Compact"/>
              <w:jc w:val="left"/>
            </w:pPr>
            <w:r>
              <w:t xml:space="preserve">11.7 (9.6, 14.9)</w:t>
            </w:r>
          </w:p>
        </w:tc>
        <w:tc>
          <w:p>
            <w:pPr>
              <w:pStyle w:val="Compact"/>
              <w:jc w:val="left"/>
            </w:pPr>
            <w:r>
              <w:t xml:space="preserve">227.7 (161.6, 388.3)</w:t>
            </w:r>
          </w:p>
        </w:tc>
      </w:tr>
      <w:tr>
        <w:tc>
          <w:p/>
        </w:tc>
        <w:tc>
          <w:p>
            <w:pPr>
              <w:pStyle w:val="Compact"/>
              <w:jc w:val="left"/>
            </w:pPr>
            <w:r>
              <w:t xml:space="preserve">28</w:t>
            </w:r>
          </w:p>
        </w:tc>
        <w:tc>
          <w:p>
            <w:pPr>
              <w:pStyle w:val="Compact"/>
              <w:jc w:val="left"/>
            </w:pPr>
            <w:r>
              <w:t xml:space="preserve">-122.5/47.7</w:t>
            </w:r>
          </w:p>
        </w:tc>
        <w:tc>
          <w:p>
            <w:pPr>
              <w:pStyle w:val="Compact"/>
              <w:jc w:val="right"/>
            </w:pPr>
            <w:r>
              <w:t xml:space="preserve">189</w:t>
            </w:r>
          </w:p>
        </w:tc>
        <w:tc>
          <w:p>
            <w:pPr>
              <w:pStyle w:val="Compact"/>
              <w:jc w:val="left"/>
            </w:pPr>
            <w:r>
              <w:t xml:space="preserve">1.1 (0.6, 2)</w:t>
            </w:r>
          </w:p>
        </w:tc>
        <w:tc>
          <w:p>
            <w:pPr>
              <w:pStyle w:val="Compact"/>
              <w:jc w:val="left"/>
            </w:pPr>
            <w:r>
              <w:t xml:space="preserve">30.2 (27.1, 32.8)</w:t>
            </w:r>
          </w:p>
        </w:tc>
        <w:tc>
          <w:p>
            <w:pPr>
              <w:pStyle w:val="Compact"/>
              <w:jc w:val="left"/>
            </w:pPr>
            <w:r>
              <w:t xml:space="preserve">2.6 (0.1, 14)</w:t>
            </w:r>
          </w:p>
        </w:tc>
        <w:tc>
          <w:p>
            <w:pPr>
              <w:pStyle w:val="Compact"/>
              <w:jc w:val="left"/>
            </w:pPr>
            <w:r>
              <w:t xml:space="preserve">11.9 (9.3, 14.6)</w:t>
            </w:r>
          </w:p>
        </w:tc>
        <w:tc>
          <w:p>
            <w:pPr>
              <w:pStyle w:val="Compact"/>
              <w:jc w:val="left"/>
            </w:pPr>
            <w:r>
              <w:t xml:space="preserve">211.2 (155.8, 348.5)</w:t>
            </w:r>
          </w:p>
        </w:tc>
      </w:tr>
      <w:tr>
        <w:tc>
          <w:p/>
        </w:tc>
        <w:tc>
          <w:p>
            <w:pPr>
              <w:pStyle w:val="Compact"/>
              <w:jc w:val="left"/>
            </w:pPr>
            <w:r>
              <w:t xml:space="preserve">38</w:t>
            </w:r>
          </w:p>
        </w:tc>
        <w:tc>
          <w:p>
            <w:pPr>
              <w:pStyle w:val="Compact"/>
              <w:jc w:val="left"/>
            </w:pPr>
            <w:r>
              <w:t xml:space="preserve">-122.7/47.3</w:t>
            </w:r>
          </w:p>
        </w:tc>
        <w:tc>
          <w:p>
            <w:pPr>
              <w:pStyle w:val="Compact"/>
              <w:jc w:val="right"/>
            </w:pPr>
            <w:r>
              <w:t xml:space="preserve">98</w:t>
            </w:r>
          </w:p>
        </w:tc>
        <w:tc>
          <w:p>
            <w:pPr>
              <w:pStyle w:val="Compact"/>
              <w:jc w:val="left"/>
            </w:pPr>
            <w:r>
              <w:t xml:space="preserve">1.1 (0.7, 2.9)</w:t>
            </w:r>
          </w:p>
        </w:tc>
        <w:tc>
          <w:p>
            <w:pPr>
              <w:pStyle w:val="Compact"/>
              <w:jc w:val="left"/>
            </w:pPr>
            <w:r>
              <w:t xml:space="preserve">29.7 (27.3, 31.8)</w:t>
            </w:r>
          </w:p>
        </w:tc>
        <w:tc>
          <w:p>
            <w:pPr>
              <w:pStyle w:val="Compact"/>
              <w:jc w:val="left"/>
            </w:pPr>
            <w:r>
              <w:t xml:space="preserve">1.9 (0.1, 11.7)</w:t>
            </w:r>
          </w:p>
        </w:tc>
        <w:tc>
          <w:p>
            <w:pPr>
              <w:pStyle w:val="Compact"/>
              <w:jc w:val="left"/>
            </w:pPr>
            <w:r>
              <w:t xml:space="preserve">12.8 (9.5, 15.6)</w:t>
            </w:r>
          </w:p>
        </w:tc>
        <w:tc>
          <w:p>
            <w:pPr>
              <w:pStyle w:val="Compact"/>
              <w:jc w:val="left"/>
            </w:pPr>
            <w:r>
              <w:t xml:space="preserve">220.7 (136.2, 432.3)</w:t>
            </w:r>
          </w:p>
        </w:tc>
      </w:tr>
      <w:tr>
        <w:tc>
          <w:p>
            <w:pPr>
              <w:pStyle w:val="Compact"/>
              <w:jc w:val="left"/>
            </w:pPr>
            <w:r>
              <w:t xml:space="preserve">severe exposure</w:t>
            </w:r>
          </w:p>
        </w:tc>
        <w:tc>
          <w:p>
            <w:pPr>
              <w:pStyle w:val="Compact"/>
              <w:jc w:val="left"/>
            </w:pPr>
            <w:r>
              <w:t xml:space="preserve">4</w:t>
            </w:r>
          </w:p>
        </w:tc>
        <w:tc>
          <w:p>
            <w:pPr>
              <w:pStyle w:val="Compact"/>
              <w:jc w:val="left"/>
            </w:pPr>
            <w:r>
              <w:t xml:space="preserve">-122.6/48.2</w:t>
            </w:r>
          </w:p>
        </w:tc>
        <w:tc>
          <w:p>
            <w:pPr>
              <w:pStyle w:val="Compact"/>
              <w:jc w:val="right"/>
            </w:pPr>
            <w:r>
              <w:t xml:space="preserve">84</w:t>
            </w:r>
          </w:p>
        </w:tc>
        <w:tc>
          <w:p>
            <w:pPr>
              <w:pStyle w:val="Compact"/>
              <w:jc w:val="left"/>
            </w:pPr>
            <w:r>
              <w:t xml:space="preserve">0.9 (0.5, 2.7)</w:t>
            </w:r>
          </w:p>
        </w:tc>
        <w:tc>
          <w:p>
            <w:pPr>
              <w:pStyle w:val="Compact"/>
              <w:jc w:val="left"/>
            </w:pPr>
            <w:r>
              <w:t xml:space="preserve">27.9 (20.4, 30.5)</w:t>
            </w:r>
          </w:p>
        </w:tc>
        <w:tc>
          <w:p>
            <w:pPr>
              <w:pStyle w:val="Compact"/>
              <w:jc w:val="left"/>
            </w:pPr>
            <w:r>
              <w:t xml:space="preserve">4.9 (0.1, 43.9)</w:t>
            </w:r>
          </w:p>
        </w:tc>
        <w:tc>
          <w:p>
            <w:pPr>
              <w:pStyle w:val="Compact"/>
              <w:jc w:val="left"/>
            </w:pPr>
            <w:r>
              <w:t xml:space="preserve">11.6 (9.1, 16.2)</w:t>
            </w:r>
          </w:p>
        </w:tc>
        <w:tc>
          <w:p>
            <w:pPr>
              <w:pStyle w:val="Compact"/>
              <w:jc w:val="left"/>
            </w:pPr>
            <w:r>
              <w:t xml:space="preserve">205.9 (88.6, 447.3)</w:t>
            </w:r>
          </w:p>
        </w:tc>
      </w:tr>
      <w:tr>
        <w:tc>
          <w:p/>
        </w:tc>
        <w:tc>
          <w:p>
            <w:pPr>
              <w:pStyle w:val="Compact"/>
              <w:jc w:val="left"/>
            </w:pPr>
            <w:r>
              <w:t xml:space="preserve">12</w:t>
            </w:r>
          </w:p>
        </w:tc>
        <w:tc>
          <w:p>
            <w:pPr>
              <w:pStyle w:val="Compact"/>
              <w:jc w:val="left"/>
            </w:pPr>
            <w:r>
              <w:t xml:space="preserve">-123.1/47.4</w:t>
            </w:r>
          </w:p>
        </w:tc>
        <w:tc>
          <w:p>
            <w:pPr>
              <w:pStyle w:val="Compact"/>
              <w:jc w:val="right"/>
            </w:pPr>
            <w:r>
              <w:t xml:space="preserve">121</w:t>
            </w:r>
          </w:p>
        </w:tc>
        <w:tc>
          <w:p>
            <w:pPr>
              <w:pStyle w:val="Compact"/>
              <w:jc w:val="left"/>
            </w:pPr>
            <w:r>
              <w:t xml:space="preserve">0.9 (0.3, 3)</w:t>
            </w:r>
          </w:p>
        </w:tc>
        <w:tc>
          <w:p>
            <w:pPr>
              <w:pStyle w:val="Compact"/>
              <w:jc w:val="left"/>
            </w:pPr>
            <w:r>
              <w:t xml:space="preserve">29.1 (23.9, 30.7)</w:t>
            </w:r>
          </w:p>
        </w:tc>
        <w:tc>
          <w:p>
            <w:pPr>
              <w:pStyle w:val="Compact"/>
              <w:jc w:val="left"/>
            </w:pPr>
            <w:r>
              <w:t xml:space="preserve">4.1 (0, 47.6)</w:t>
            </w:r>
          </w:p>
        </w:tc>
        <w:tc>
          <w:p>
            <w:pPr>
              <w:pStyle w:val="Compact"/>
              <w:jc w:val="left"/>
            </w:pPr>
            <w:r>
              <w:t xml:space="preserve">11.5 (8.5, 20.9)</w:t>
            </w:r>
          </w:p>
        </w:tc>
        <w:tc>
          <w:p>
            <w:pPr>
              <w:pStyle w:val="Compact"/>
              <w:jc w:val="left"/>
            </w:pPr>
            <w:r>
              <w:t xml:space="preserve">163.5 (21.4, 464.5)</w:t>
            </w:r>
          </w:p>
        </w:tc>
      </w:tr>
      <w:tr>
        <w:tc>
          <w:p/>
        </w:tc>
        <w:tc>
          <w:p>
            <w:pPr>
              <w:pStyle w:val="Compact"/>
              <w:jc w:val="left"/>
            </w:pPr>
            <w:r>
              <w:t xml:space="preserve">402</w:t>
            </w:r>
          </w:p>
        </w:tc>
        <w:tc>
          <w:p>
            <w:pPr>
              <w:pStyle w:val="Compact"/>
              <w:jc w:val="left"/>
            </w:pPr>
            <w:r>
              <w:t xml:space="preserve">-123/47.4</w:t>
            </w:r>
          </w:p>
        </w:tc>
        <w:tc>
          <w:p>
            <w:pPr>
              <w:pStyle w:val="Compact"/>
              <w:jc w:val="right"/>
            </w:pPr>
            <w:r>
              <w:t xml:space="preserve">50</w:t>
            </w:r>
          </w:p>
        </w:tc>
        <w:tc>
          <w:p>
            <w:pPr>
              <w:pStyle w:val="Compact"/>
              <w:jc w:val="left"/>
            </w:pPr>
            <w:r>
              <w:t xml:space="preserve">0.9 (0.2, 2.6)</w:t>
            </w:r>
          </w:p>
        </w:tc>
        <w:tc>
          <w:p>
            <w:pPr>
              <w:pStyle w:val="Compact"/>
              <w:jc w:val="left"/>
            </w:pPr>
            <w:r>
              <w:t xml:space="preserve">28.6 (21.8, 30.5)</w:t>
            </w:r>
          </w:p>
        </w:tc>
        <w:tc>
          <w:p>
            <w:pPr>
              <w:pStyle w:val="Compact"/>
              <w:jc w:val="left"/>
            </w:pPr>
            <w:r>
              <w:t xml:space="preserve">6 (0, 116.4)</w:t>
            </w:r>
          </w:p>
        </w:tc>
        <w:tc>
          <w:p>
            <w:pPr>
              <w:pStyle w:val="Compact"/>
              <w:jc w:val="left"/>
            </w:pPr>
            <w:r>
              <w:t xml:space="preserve">11.9 (8.9, 21.8)</w:t>
            </w:r>
          </w:p>
        </w:tc>
        <w:tc>
          <w:p>
            <w:pPr>
              <w:pStyle w:val="Compact"/>
              <w:jc w:val="left"/>
            </w:pPr>
            <w:r>
              <w:t xml:space="preserve">175.3 (19, 465.6)</w:t>
            </w:r>
          </w:p>
        </w:tc>
      </w:tr>
    </w:tbl>
    <w:p>
      <w:pPr>
        <w:pStyle w:val="BodyText"/>
      </w:pPr>
      <w:r>
        <w:rPr>
          <w:i/>
        </w:rPr>
        <w:t xml:space="preserve">Table</w:t>
      </w:r>
      <w:r>
        <w:rPr>
          <w:i/>
        </w:rPr>
        <w:t xml:space="preserve"> </w:t>
      </w:r>
      <w:r>
        <w:rPr>
          <w:i/>
        </w:rPr>
        <w:t xml:space="preserve">3</w:t>
      </w:r>
      <w:r>
        <w:rPr>
          <w:i/>
        </w:rPr>
        <w:t xml:space="preserve">: (#tab:araminmod) Linear multiple regression models testing the additive effects of minimum observed aragonite saturation state, cohort year (factor), and months (factor) on extent of type III dissolution in pteropods. Results for four models are shown where the first two columns are for relationships grouped by cohort year (Figure 5, top row) and the second two columns are for relationships grouped by month (Figure 5, bottom row). Models in the first two columns included a year variable as a fixed effect and models in the second two columns included a month variable as a fixed effect, in addition to minimum aragonite saturation state as a fixed effect for all models. Separate models were also run with and without 2016 cohort-year data because of missing April observations in 2017 (the final month for the 2016 cohort). Values shown are parameter estimates and standard error for the predictors (left column) in each linear model. Sample size and R-squared values for each model are shown at the bottom.</w:t>
      </w:r>
    </w:p>
    <w:p>
      <w:pPr>
        <w:pStyle w:val="Compact"/>
        <w:pStyle w:val=""/>
      </w:pPr>
      <w:r>
        <w:t xml:space="preserve">Table 4:</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11880"/>
        <w:tblLook w:firstRow="1" w:lastRow="0" w:firstColumn="0" w:lastColumn="0" w:noHBand="0" w:noVBand="1"/>
      </w:tblPr>
      <w:tblGrid>
        <w:gridCol w:w="4407"/>
        <w:gridCol w:w="1358"/>
        <w:gridCol w:w="2265"/>
        <w:gridCol w:w="1385"/>
        <w:gridCol w:w="2465"/>
      </w:tblGrid>
      <w:tr>
        <w:trPr>
          <w:cantSplit/>
          <w:trHeight w:val="439" w:hRule="auto"/>
        </w:trPr>
        <w:tc>
          <w:tcPr>
            <w:tcBorders>
              <w:bottom w:val="single" w:sz="8" w:space="0" w:color="000000"/>
              <w:top w:val="single" w:sz="8" w:space="0" w:color="000000"/>
            </w:tcBorders>
            <w:shd w:val="clear" w:color="auto" w:fill="FFFFFF"/>
            <w:tcMar>
              <w:top w:w="0" w:type="dxa"/>
              <w:bottom w:w="0" w:type="dxa"/>
              <w:left w:w="0" w:type="dxa"/>
              <w:right w:w="0" w:type="dxa"/>
            </w:tcMar>
            <w:vAlign w:val="top"/>
          </w:tcPr>
          <w:p>
            <w:pPr>
              <w:jc w:val="center"/>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top"/>
          </w:tcPr>
          <w:p>
            <w:pPr>
              <w:jc w:val="center"/>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By year</w:t>
            </w:r>
          </w:p>
        </w:tc>
        <w:tc>
          <w:tcPr>
            <w:tcBorders>
              <w:bottom w:val="single" w:sz="8" w:space="0" w:color="000000"/>
              <w:top w:val="single" w:sz="8" w:space="0" w:color="000000"/>
            </w:tcBorders>
            <w:shd w:val="clear" w:color="auto" w:fill="FFFFFF"/>
            <w:tcMar>
              <w:top w:w="0" w:type="dxa"/>
              <w:bottom w:w="0" w:type="dxa"/>
              <w:left w:w="0" w:type="dxa"/>
              <w:right w:w="0" w:type="dxa"/>
            </w:tcMar>
            <w:vAlign w:val="top"/>
          </w:tcPr>
          <w:p>
            <w:pPr>
              <w:jc w:val="center"/>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By year (no 2016)</w:t>
            </w:r>
          </w:p>
        </w:tc>
        <w:tc>
          <w:tcPr>
            <w:tcBorders>
              <w:bottom w:val="single" w:sz="8" w:space="0" w:color="000000"/>
              <w:top w:val="single" w:sz="8" w:space="0" w:color="000000"/>
            </w:tcBorders>
            <w:shd w:val="clear" w:color="auto" w:fill="FFFFFF"/>
            <w:tcMar>
              <w:top w:w="0" w:type="dxa"/>
              <w:bottom w:w="0" w:type="dxa"/>
              <w:left w:w="0" w:type="dxa"/>
              <w:right w:w="0" w:type="dxa"/>
            </w:tcMar>
            <w:vAlign w:val="top"/>
          </w:tcPr>
          <w:p>
            <w:pPr>
              <w:jc w:val="center"/>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By month</w:t>
            </w:r>
          </w:p>
        </w:tc>
        <w:tc>
          <w:tcPr>
            <w:tcBorders>
              <w:bottom w:val="single" w:sz="8" w:space="0" w:color="000000"/>
              <w:top w:val="single" w:sz="8" w:space="0" w:color="000000"/>
            </w:tcBorders>
            <w:shd w:val="clear" w:color="auto" w:fill="FFFFFF"/>
            <w:tcMar>
              <w:top w:w="0" w:type="dxa"/>
              <w:bottom w:w="0" w:type="dxa"/>
              <w:left w:w="0" w:type="dxa"/>
              <w:right w:w="0" w:type="dxa"/>
            </w:tcMar>
            <w:vAlign w:val="top"/>
          </w:tcPr>
          <w:p>
            <w:pPr>
              <w:jc w:val="center"/>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By month (no 2016)</w:t>
            </w:r>
          </w:p>
        </w:tc>
      </w:tr>
      <w:tr>
        <w:trPr>
          <w:cantSplit/>
          <w:trHeight w:val="391" w:hRule="auto"/>
        </w:trPr>
        <w:tc>
          <w:tcPr>
            <w:tcBorders>
              <w:top w:val="single" w:sz="8"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Constant</w:t>
            </w:r>
          </w:p>
        </w:tc>
        <w:tc>
          <w:tcPr>
            <w:tcBorders>
              <w:top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41.37 ***</w:t>
            </w:r>
          </w:p>
        </w:tc>
        <w:tc>
          <w:tcPr>
            <w:tcBorders>
              <w:top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42.17 ***</w:t>
            </w:r>
          </w:p>
        </w:tc>
        <w:tc>
          <w:tcPr>
            <w:tcBorders>
              <w:top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46.20 ***</w:t>
            </w:r>
          </w:p>
        </w:tc>
        <w:tc>
          <w:tcPr>
            <w:tcBorders>
              <w:top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42.59 ***</w:t>
            </w:r>
          </w:p>
        </w:tc>
      </w:tr>
      <w:tr>
        <w:trPr>
          <w:cantSplit/>
          <w:trHeight w:val="439" w:hRule="auto"/>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(8.07)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(9.14)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(8.25)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(9.90)   </w:t>
            </w:r>
          </w:p>
        </w:tc>
      </w:tr>
      <w:tr>
        <w:trPr>
          <w:cantSplit/>
          <w:trHeight w:val="419" w:hRule="auto"/>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Ara, min</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-32.99 **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-34.16 **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-36.45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-36.85 ** </w:t>
            </w:r>
          </w:p>
        </w:tc>
      </w:tr>
      <w:tr>
        <w:trPr>
          <w:cantSplit/>
          <w:trHeight w:val="439" w:hRule="auto"/>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(9.63)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(11.40)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(9.71)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(11.55)   </w:t>
            </w:r>
          </w:p>
        </w:tc>
      </w:tr>
      <w:tr>
        <w:trPr>
          <w:cantSplit/>
          <w:trHeight w:val="391" w:hRule="auto"/>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2015</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13.91 *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13.93 *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t>
            </w:r>
          </w:p>
        </w:tc>
      </w:tr>
      <w:tr>
        <w:trPr>
          <w:cantSplit/>
          <w:trHeight w:val="439" w:hRule="auto"/>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(6.38)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(6.51)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t>
            </w:r>
          </w:p>
        </w:tc>
      </w:tr>
      <w:tr>
        <w:trPr>
          <w:cantSplit/>
          <w:trHeight w:val="389" w:hRule="auto"/>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2016</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3.12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t>
            </w:r>
          </w:p>
        </w:tc>
      </w:tr>
      <w:tr>
        <w:trPr>
          <w:cantSplit/>
          <w:trHeight w:val="439" w:hRule="auto"/>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(6.90)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t>
            </w:r>
          </w:p>
        </w:tc>
      </w:tr>
      <w:tr>
        <w:trPr>
          <w:cantSplit/>
          <w:trHeight w:val="436" w:hRule="auto"/>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Sep</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-0.81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6.24    </w:t>
            </w:r>
          </w:p>
        </w:tc>
      </w:tr>
      <w:tr>
        <w:trPr>
          <w:cantSplit/>
          <w:trHeight w:val="439" w:hRule="auto"/>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(6.20)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(7.96)   </w:t>
            </w:r>
          </w:p>
        </w:tc>
      </w:tr>
      <w:tr>
        <w:trPr>
          <w:cantSplit/>
          <w:trHeight w:val="433" w:hRule="auto"/>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Apr</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16.77 *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20.69 *  </w:t>
            </w:r>
          </w:p>
        </w:tc>
      </w:tr>
      <w:tr>
        <w:trPr>
          <w:cantSplit/>
          <w:trHeight w:val="439" w:hRule="auto"/>
        </w:trPr>
        <w:tc>
          <w:tcPr>
            <w:tcBorders>
              <w:bottom w:val="single" w:sz="8"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bottom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t>
            </w:r>
          </w:p>
        </w:tc>
        <w:tc>
          <w:tcPr>
            <w:tcBorders>
              <w:bottom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t>
            </w:r>
          </w:p>
        </w:tc>
        <w:tc>
          <w:tcPr>
            <w:tcBorders>
              <w:bottom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(6.84)   </w:t>
            </w:r>
          </w:p>
        </w:tc>
        <w:tc>
          <w:tcPr>
            <w:tcBorders>
              <w:bottom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(7.62)   </w:t>
            </w:r>
          </w:p>
        </w:tc>
      </w:tr>
      <w:tr>
        <w:trPr>
          <w:cantSplit/>
          <w:trHeight w:val="389" w:hRule="auto"/>
        </w:trPr>
        <w:tc>
          <w:tcPr>
            <w:tcBorders>
              <w:top w:val="single" w:sz="8"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N</w:t>
            </w:r>
          </w:p>
        </w:tc>
        <w:tc>
          <w:tcPr>
            <w:tcBorders>
              <w:top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50       </w:t>
            </w:r>
          </w:p>
        </w:tc>
        <w:tc>
          <w:tcPr>
            <w:tcBorders>
              <w:top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36       </w:t>
            </w:r>
          </w:p>
        </w:tc>
        <w:tc>
          <w:tcPr>
            <w:tcBorders>
              <w:top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50       </w:t>
            </w:r>
          </w:p>
        </w:tc>
        <w:tc>
          <w:tcPr>
            <w:tcBorders>
              <w:top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36       </w:t>
            </w:r>
          </w:p>
        </w:tc>
      </w:tr>
      <w:tr>
        <w:trPr>
          <w:cantSplit/>
          <w:trHeight w:val="389" w:hRule="auto"/>
        </w:trPr>
        <w:tc>
          <w:tcPr>
            <w:tcBorders>
              <w:bottom w:val="single" w:sz="8"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R2</w:t>
            </w:r>
          </w:p>
        </w:tc>
        <w:tc>
          <w:tcPr>
            <w:tcBorders>
              <w:bottom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0.27    </w:t>
            </w:r>
          </w:p>
        </w:tc>
        <w:tc>
          <w:tcPr>
            <w:tcBorders>
              <w:bottom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0.29    </w:t>
            </w:r>
          </w:p>
        </w:tc>
        <w:tc>
          <w:tcPr>
            <w:tcBorders>
              <w:bottom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0.30    </w:t>
            </w:r>
          </w:p>
        </w:tc>
        <w:tc>
          <w:tcPr>
            <w:tcBorders>
              <w:bottom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0.34    </w:t>
            </w:r>
          </w:p>
        </w:tc>
      </w:tr>
      <w:tr>
        <w:trPr>
          <w:cantSplit/>
          <w:trHeight w:val="436" w:hRule="auto"/>
        </w:trPr>
        <w:tc>
          <w:tcPr>
            <w:gridSpan w:val="5"/>
            <w:tcBorders>
              <w:top w:val="single" w:sz="8"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 p &lt; 0.001;  ** p &lt; 0.01;  * p &lt; 0.05.</w:t>
            </w:r>
          </w:p>
        </w:tc>
      </w:tr>
    </w:tbl>
    <w:p>
      <w:pPr>
        <w:pStyle w:val="BodyText"/>
      </w:pPr>
      <w:r>
        <w:rPr>
          <w:i/>
        </w:rPr>
        <w:t xml:space="preserve">Table</w:t>
      </w:r>
      <w:r>
        <w:rPr>
          <w:i/>
        </w:rPr>
        <w:t xml:space="preserve"> </w:t>
      </w:r>
      <w:r>
        <w:rPr>
          <w:i/>
        </w:rPr>
        <w:t xml:space="preserve">5</w:t>
      </w:r>
      <w:r>
        <w:rPr>
          <w:i/>
        </w:rPr>
        <w:t xml:space="preserve">: (#tab:cumstrmod) Linear multiple regression models testing the additive effects of minimum observed cumulative stress exposure (S, eqn. 2) and cohort year (factor) on extent of type III dissolution in pteropods. Results for two models are shown where the first includes 2016 data and the second does not because of missing April observations (Figure 7, bottom). Values shown are parameter estimates and standard error for the predictors (left column) in each linear model. Sample size and R-squared values for each model are shown at the bottom.</w:t>
      </w:r>
    </w:p>
    <w:p>
      <w:pPr>
        <w:pStyle w:val="Compact"/>
        <w:pStyle w:val=""/>
      </w:pPr>
      <w:r>
        <w:t xml:space="preserve">Table 6:</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7990"/>
        <w:tblLook w:firstRow="1" w:lastRow="0" w:firstColumn="0" w:lastColumn="0" w:noHBand="0" w:noVBand="1"/>
      </w:tblPr>
      <w:tblGrid>
        <w:gridCol w:w="4407"/>
        <w:gridCol w:w="1318"/>
        <w:gridCol w:w="2265"/>
      </w:tblGrid>
      <w:tr>
        <w:trPr>
          <w:cantSplit/>
          <w:trHeight w:val="439" w:hRule="auto"/>
        </w:trPr>
        <w:tc>
          <w:tcPr>
            <w:tcBorders>
              <w:bottom w:val="single" w:sz="8" w:space="0" w:color="000000"/>
              <w:top w:val="single" w:sz="8" w:space="0" w:color="000000"/>
            </w:tcBorders>
            <w:shd w:val="clear" w:color="auto" w:fill="FFFFFF"/>
            <w:tcMar>
              <w:top w:w="0" w:type="dxa"/>
              <w:bottom w:w="0" w:type="dxa"/>
              <w:left w:w="0" w:type="dxa"/>
              <w:right w:w="0" w:type="dxa"/>
            </w:tcMar>
            <w:vAlign w:val="top"/>
          </w:tcPr>
          <w:p>
            <w:pPr>
              <w:jc w:val="center"/>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bottom w:val="single" w:sz="8" w:space="0" w:color="000000"/>
              <w:top w:val="single" w:sz="8" w:space="0" w:color="000000"/>
            </w:tcBorders>
            <w:shd w:val="clear" w:color="auto" w:fill="FFFFFF"/>
            <w:tcMar>
              <w:top w:w="0" w:type="dxa"/>
              <w:bottom w:w="0" w:type="dxa"/>
              <w:left w:w="0" w:type="dxa"/>
              <w:right w:w="0" w:type="dxa"/>
            </w:tcMar>
            <w:vAlign w:val="top"/>
          </w:tcPr>
          <w:p>
            <w:pPr>
              <w:jc w:val="center"/>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By year</w:t>
            </w:r>
          </w:p>
        </w:tc>
        <w:tc>
          <w:tcPr>
            <w:tcBorders>
              <w:bottom w:val="single" w:sz="8" w:space="0" w:color="000000"/>
              <w:top w:val="single" w:sz="8" w:space="0" w:color="000000"/>
            </w:tcBorders>
            <w:shd w:val="clear" w:color="auto" w:fill="FFFFFF"/>
            <w:tcMar>
              <w:top w:w="0" w:type="dxa"/>
              <w:bottom w:w="0" w:type="dxa"/>
              <w:left w:w="0" w:type="dxa"/>
              <w:right w:w="0" w:type="dxa"/>
            </w:tcMar>
            <w:vAlign w:val="top"/>
          </w:tcPr>
          <w:p>
            <w:pPr>
              <w:jc w:val="center"/>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By year (no 2016)</w:t>
            </w:r>
          </w:p>
        </w:tc>
      </w:tr>
      <w:tr>
        <w:trPr>
          <w:cantSplit/>
          <w:trHeight w:val="391" w:hRule="auto"/>
        </w:trPr>
        <w:tc>
          <w:tcPr>
            <w:tcBorders>
              <w:top w:val="single" w:sz="8"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Constant</w:t>
            </w:r>
          </w:p>
        </w:tc>
        <w:tc>
          <w:tcPr>
            <w:tcBorders>
              <w:top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6.78    </w:t>
            </w:r>
          </w:p>
        </w:tc>
        <w:tc>
          <w:tcPr>
            <w:tcBorders>
              <w:top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5.68    </w:t>
            </w:r>
          </w:p>
        </w:tc>
      </w:tr>
      <w:tr>
        <w:trPr>
          <w:cantSplit/>
          <w:trHeight w:val="439" w:hRule="auto"/>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(5.43)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(5.19)   </w:t>
            </w:r>
          </w:p>
        </w:tc>
      </w:tr>
      <w:tr>
        <w:trPr>
          <w:cantSplit/>
          <w:trHeight w:val="391" w:hRule="auto"/>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St</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48.64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53.11 ***</w:t>
            </w:r>
          </w:p>
        </w:tc>
      </w:tr>
      <w:tr>
        <w:trPr>
          <w:cantSplit/>
          <w:trHeight w:val="439" w:hRule="auto"/>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(12.38)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(12.13)   </w:t>
            </w:r>
          </w:p>
        </w:tc>
      </w:tr>
      <w:tr>
        <w:trPr>
          <w:cantSplit/>
          <w:trHeight w:val="389" w:hRule="auto"/>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2015</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10.69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10.44    </w:t>
            </w:r>
          </w:p>
        </w:tc>
      </w:tr>
      <w:tr>
        <w:trPr>
          <w:cantSplit/>
          <w:trHeight w:val="439" w:hRule="auto"/>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(6.22)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(5.88)   </w:t>
            </w:r>
          </w:p>
        </w:tc>
      </w:tr>
      <w:tr>
        <w:trPr>
          <w:cantSplit/>
          <w:trHeight w:val="389" w:hRule="auto"/>
        </w:trPr>
        <w:tc>
          <w:tcPr>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2016</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7.54    </w:t>
            </w:r>
          </w:p>
        </w:tc>
        <w:tc>
          <w:tcPr>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t>
            </w:r>
          </w:p>
        </w:tc>
      </w:tr>
      <w:tr>
        <w:trPr>
          <w:cantSplit/>
          <w:trHeight w:val="439" w:hRule="auto"/>
        </w:trPr>
        <w:tc>
          <w:tcPr>
            <w:tcBorders>
              <w:bottom w:val="single" w:sz="8"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r>
          </w:p>
        </w:tc>
        <w:tc>
          <w:tcPr>
            <w:tcBorders>
              <w:bottom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(6.79)   </w:t>
            </w:r>
          </w:p>
        </w:tc>
        <w:tc>
          <w:tcPr>
            <w:tcBorders>
              <w:bottom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w:t>
            </w:r>
          </w:p>
        </w:tc>
      </w:tr>
      <w:tr>
        <w:trPr>
          <w:cantSplit/>
          <w:trHeight w:val="389" w:hRule="auto"/>
        </w:trPr>
        <w:tc>
          <w:tcPr>
            <w:tcBorders>
              <w:top w:val="single" w:sz="8"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N</w:t>
            </w:r>
          </w:p>
        </w:tc>
        <w:tc>
          <w:tcPr>
            <w:tcBorders>
              <w:top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50       </w:t>
            </w:r>
          </w:p>
        </w:tc>
        <w:tc>
          <w:tcPr>
            <w:tcBorders>
              <w:top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36       </w:t>
            </w:r>
          </w:p>
        </w:tc>
      </w:tr>
      <w:tr>
        <w:trPr>
          <w:cantSplit/>
          <w:trHeight w:val="389" w:hRule="auto"/>
        </w:trPr>
        <w:tc>
          <w:tcPr>
            <w:tcBorders>
              <w:bottom w:val="single" w:sz="8"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R2</w:t>
            </w:r>
          </w:p>
        </w:tc>
        <w:tc>
          <w:tcPr>
            <w:tcBorders>
              <w:bottom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0.31    </w:t>
            </w:r>
          </w:p>
        </w:tc>
        <w:tc>
          <w:tcPr>
            <w:tcBorders>
              <w:bottom w:val="single" w:sz="8" w:space="0" w:color="000000"/>
            </w:tcBorders>
            <w:shd w:val="clear" w:color="auto" w:fill="FFFFFF"/>
            <w:tcMar>
              <w:top w:w="0" w:type="dxa"/>
              <w:bottom w:w="0" w:type="dxa"/>
              <w:left w:w="0" w:type="dxa"/>
              <w:right w:w="0" w:type="dxa"/>
            </w:tcMar>
            <w:vAlign w:val="top"/>
          </w:tcPr>
          <w:p>
            <w:pPr>
              <w:jc w:val="righ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0.42    </w:t>
            </w:r>
          </w:p>
        </w:tc>
      </w:tr>
      <w:tr>
        <w:trPr>
          <w:cantSplit/>
          <w:trHeight w:val="436" w:hRule="auto"/>
        </w:trPr>
        <w:tc>
          <w:tcPr>
            <w:gridSpan w:val="3"/>
            <w:tcBorders>
              <w:top w:val="single" w:sz="8" w:space="0" w:color="000000"/>
            </w:tcBorders>
            <w:shd w:val="clear" w:color="auto" w:fill="FFFFFF"/>
            <w:tcMar>
              <w:top w:w="0" w:type="dxa"/>
              <w:bottom w:w="0" w:type="dxa"/>
              <w:left w:w="0" w:type="dxa"/>
              <w:right w:w="0" w:type="dxa"/>
            </w:tcMar>
            <w:vAlign w:val="top"/>
          </w:tcPr>
          <w:p>
            <w:pPr>
              <w:jc w:val="left"/>
              <w:spacing w:after="80" w:before="80"/>
              <w:ind w:firstLine="0" w:left="80" w:right="8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w:hAnsi="Times" w:eastAsia="Times" w:cs="Times"/>
                <w:sz w:val="24"/>
                <w:szCs w:val="24"/>
                <w:color w:val="111111"/>
              </w:rPr>
              <w:t xml:space="preserve"> *** p &lt; 0.001;  ** p &lt; 0.01;  * p &lt; 0.05.</w:t>
            </w:r>
          </w:p>
        </w:tc>
      </w:tr>
    </w:tbl>
    <w:sectPr w:rsidR="00537D25" w:rsidRPr="00D40009" w:rsidSect="00E36A17">
      <w:footerReference w:type="default" r:id="rId9"/>
      <w:pgSz w:w="12240" w:h="15840"/>
      <w:pgMar w:top="1440" w:right="1440" w:bottom="1440" w:left="144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6F42C1D"/>
    <w:multiLevelType w:val="multilevel"/>
    <w:tmpl w:val="45FC37E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BBEBA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EA184E00"/>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D40C8C6E"/>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DCC6FEE"/>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ACA85E36"/>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E646BB8C"/>
    <w:lvl w:ilvl="0">
      <w:start w:val="1"/>
      <w:numFmt w:val="bullet"/>
      <w:pStyle w:val="ListBullet5"/>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BBB8F250"/>
    <w:lvl w:ilvl="0">
      <w:start w:val="1"/>
      <w:numFmt w:val="bullet"/>
      <w:pStyle w:val="ListBullet4"/>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A8D46850"/>
    <w:lvl w:ilvl="0">
      <w:start w:val="1"/>
      <w:numFmt w:val="bullet"/>
      <w:pStyle w:val="ListBullet3"/>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F23C9B0A"/>
    <w:lvl w:ilvl="0">
      <w:start w:val="1"/>
      <w:numFmt w:val="bullet"/>
      <w:pStyle w:val="ListBullet2"/>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EB244DD0"/>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1700DEAA"/>
    <w:lvl w:ilvl="0">
      <w:start w:val="1"/>
      <w:numFmt w:val="bullet"/>
      <w:pStyle w:val="ListBullet"/>
      <w:lvlText w:val=""/>
      <w:lvlJc w:val="left"/>
      <w:pPr>
        <w:tabs>
          <w:tab w:val="num" w:pos="360"/>
        </w:tabs>
        <w:ind w:left="360" w:hanging="360"/>
      </w:pPr>
      <w:rPr>
        <w:rFonts w:ascii="Symbol" w:hAnsi="Symbol" w:hint="default"/>
      </w:rPr>
    </w:lvl>
  </w:abstractNum>
  <w:abstractNum w:abstractNumId="12" w15:restartNumberingAfterBreak="0">
    <w:nsid w:val="21725581"/>
    <w:multiLevelType w:val="hybridMultilevel"/>
    <w:tmpl w:val="DE3A0DD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80801"/>
    <w:rPr>
      <w:rFonts w:ascii="Times New Roman" w:hAnsi="Times New Roman"/>
    </w:rPr>
  </w:style>
  <w:style w:type="paragraph" w:styleId="Heading1">
    <w:name w:val="heading 1"/>
    <w:basedOn w:val="Normal"/>
    <w:next w:val="BodyText"/>
    <w:uiPriority w:val="9"/>
    <w:qFormat/>
    <w:rsid w:val="00D40009"/>
    <w:pPr>
      <w:keepNext/>
      <w:keepLines/>
      <w:spacing w:before="480" w:after="0"/>
      <w:outlineLvl w:val="0"/>
    </w:pPr>
    <w:rPr>
      <w:rFonts w:eastAsiaTheme="majorEastAsia" w:cstheme="majorBidi"/>
      <w:b/>
      <w:bCs/>
      <w:color w:val="000000" w:themeColor="text1"/>
      <w:sz w:val="32"/>
      <w:szCs w:val="32"/>
    </w:rPr>
  </w:style>
  <w:style w:type="paragraph" w:styleId="Heading2">
    <w:name w:val="heading 2"/>
    <w:basedOn w:val="Normal"/>
    <w:next w:val="BodyText"/>
    <w:uiPriority w:val="9"/>
    <w:unhideWhenUsed/>
    <w:qFormat/>
    <w:rsid w:val="00D40009"/>
    <w:pPr>
      <w:keepNext/>
      <w:keepLines/>
      <w:spacing w:before="200" w:after="0"/>
      <w:outlineLvl w:val="1"/>
    </w:pPr>
    <w:rPr>
      <w:rFonts w:eastAsiaTheme="majorEastAsia" w:cstheme="majorBidi"/>
      <w:b/>
      <w:bCs/>
      <w:color w:val="000000" w:themeColor="text1"/>
      <w:sz w:val="32"/>
      <w:szCs w:val="32"/>
    </w:rPr>
  </w:style>
  <w:style w:type="paragraph" w:styleId="Heading3">
    <w:name w:val="heading 3"/>
    <w:basedOn w:val="Normal"/>
    <w:next w:val="BodyText"/>
    <w:uiPriority w:val="9"/>
    <w:unhideWhenUsed/>
    <w:qFormat/>
    <w:rsid w:val="00D40009"/>
    <w:pPr>
      <w:keepNext/>
      <w:keepLines/>
      <w:spacing w:before="200" w:after="0"/>
      <w:outlineLvl w:val="2"/>
    </w:pPr>
    <w:rPr>
      <w:rFonts w:eastAsiaTheme="majorEastAsia" w:cstheme="majorBidi"/>
      <w:b/>
      <w:bCs/>
      <w:color w:val="000000" w:themeColor="text1"/>
      <w:sz w:val="28"/>
      <w:szCs w:val="28"/>
    </w:rPr>
  </w:style>
  <w:style w:type="paragraph" w:styleId="Heading4">
    <w:name w:val="heading 4"/>
    <w:basedOn w:val="Normal"/>
    <w:next w:val="BodyText"/>
    <w:uiPriority w:val="9"/>
    <w:unhideWhenUsed/>
    <w:qFormat/>
    <w:rsid w:val="00D40009"/>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rsid w:val="00D40009"/>
    <w:pPr>
      <w:keepNext/>
      <w:keepLines/>
      <w:spacing w:before="200" w:after="0"/>
      <w:outlineLvl w:val="4"/>
    </w:pPr>
    <w:rPr>
      <w:rFonts w:eastAsiaTheme="majorEastAsia" w:cstheme="majorBidi"/>
      <w:i/>
      <w:iCs/>
      <w:color w:val="000000" w:themeColor="text1"/>
    </w:rPr>
  </w:style>
  <w:style w:type="paragraph" w:styleId="Heading6">
    <w:name w:val="heading 6"/>
    <w:basedOn w:val="Normal"/>
    <w:next w:val="BodyText"/>
    <w:uiPriority w:val="9"/>
    <w:unhideWhenUsed/>
    <w:qFormat/>
    <w:rsid w:val="00D40009"/>
    <w:pPr>
      <w:keepNext/>
      <w:keepLines/>
      <w:spacing w:before="200" w:after="0"/>
      <w:outlineLvl w:val="5"/>
    </w:pPr>
    <w:rPr>
      <w:rFonts w:eastAsiaTheme="majorEastAsia" w:cstheme="majorBidi"/>
      <w:color w:val="000000" w:themeColor="text1"/>
    </w:rPr>
  </w:style>
  <w:style w:type="paragraph" w:styleId="Heading8">
    <w:name w:val="heading 8"/>
    <w:basedOn w:val="Normal"/>
    <w:next w:val="Normal"/>
    <w:link w:val="Heading8Char"/>
    <w:rsid w:val="00C8080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F9205D"/>
    <w:pPr>
      <w:spacing w:before="180" w:after="180"/>
    </w:pPr>
  </w:style>
  <w:style w:type="paragraph" w:customStyle="1" w:styleId="FirstParagraph">
    <w:name w:val="First Paragraph"/>
    <w:basedOn w:val="BodyText"/>
    <w:next w:val="BodyText"/>
    <w:qFormat/>
    <w:rsid w:val="00F9205D"/>
  </w:style>
  <w:style w:type="paragraph" w:customStyle="1" w:styleId="Compact">
    <w:name w:val="Compact"/>
    <w:basedOn w:val="BodyText"/>
    <w:qFormat/>
    <w:pPr>
      <w:spacing w:before="36" w:after="36"/>
    </w:pPr>
  </w:style>
  <w:style w:type="paragraph" w:styleId="Title">
    <w:name w:val="Title"/>
    <w:basedOn w:val="Normal"/>
    <w:next w:val="BodyText"/>
    <w:qFormat/>
    <w:rsid w:val="00D40009"/>
    <w:pPr>
      <w:keepNext/>
      <w:keepLines/>
      <w:spacing w:before="480" w:after="240"/>
      <w:jc w:val="center"/>
    </w:pPr>
    <w:rPr>
      <w:rFonts w:eastAsiaTheme="majorEastAsia"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F9205D"/>
    <w:pPr>
      <w:keepNext/>
      <w:keepLines/>
      <w:jc w:val="center"/>
    </w:pPr>
    <w:rPr>
      <w:rFonts w:ascii="Times New Roman" w:hAnsi="Times New Roman"/>
    </w:rPr>
  </w:style>
  <w:style w:type="paragraph" w:styleId="Date">
    <w:name w:val="Date"/>
    <w:next w:val="BodyText"/>
    <w:qFormat/>
    <w:rsid w:val="00F9205D"/>
    <w:pPr>
      <w:keepNext/>
      <w:keepLines/>
      <w:jc w:val="center"/>
    </w:pPr>
    <w:rPr>
      <w:rFonts w:ascii="Times New Roman" w:hAnsi="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7747C2"/>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9205D"/>
    <w:rPr>
      <w:rFonts w:ascii="Times New Roman" w:hAnsi="Times New Roman"/>
    </w:rPr>
  </w:style>
  <w:style w:type="paragraph" w:styleId="ListContinue">
    <w:name w:val="List Continue"/>
    <w:basedOn w:val="Normal"/>
    <w:semiHidden/>
    <w:unhideWhenUsed/>
    <w:rsid w:val="007747C2"/>
    <w:pPr>
      <w:spacing w:after="120"/>
      <w:ind w:left="360"/>
      <w:contextualSpacing/>
    </w:pPr>
  </w:style>
  <w:style w:type="paragraph" w:styleId="ListParagraph">
    <w:name w:val="List Paragraph"/>
    <w:basedOn w:val="Normal"/>
    <w:rsid w:val="007747C2"/>
    <w:pPr>
      <w:ind w:left="720"/>
      <w:contextualSpacing/>
    </w:pPr>
  </w:style>
  <w:style w:type="paragraph" w:styleId="List">
    <w:name w:val="List"/>
    <w:basedOn w:val="Normal"/>
    <w:semiHidden/>
    <w:unhideWhenUsed/>
    <w:rsid w:val="00BD3235"/>
    <w:pPr>
      <w:ind w:left="360" w:hanging="360"/>
      <w:contextualSpacing/>
    </w:pPr>
  </w:style>
  <w:style w:type="paragraph" w:styleId="List2">
    <w:name w:val="List 2"/>
    <w:basedOn w:val="Normal"/>
    <w:semiHidden/>
    <w:unhideWhenUsed/>
    <w:rsid w:val="00BD3235"/>
    <w:pPr>
      <w:ind w:left="720" w:hanging="360"/>
      <w:contextualSpacing/>
    </w:pPr>
  </w:style>
  <w:style w:type="paragraph" w:styleId="List3">
    <w:name w:val="List 3"/>
    <w:basedOn w:val="Normal"/>
    <w:semiHidden/>
    <w:unhideWhenUsed/>
    <w:rsid w:val="00BD3235"/>
    <w:pPr>
      <w:ind w:left="1080" w:hanging="360"/>
      <w:contextualSpacing/>
    </w:pPr>
  </w:style>
  <w:style w:type="paragraph" w:styleId="List4">
    <w:name w:val="List 4"/>
    <w:basedOn w:val="Normal"/>
    <w:semiHidden/>
    <w:unhideWhenUsed/>
    <w:rsid w:val="00BD3235"/>
    <w:pPr>
      <w:ind w:left="1440" w:hanging="360"/>
      <w:contextualSpacing/>
    </w:pPr>
  </w:style>
  <w:style w:type="paragraph" w:styleId="List5">
    <w:name w:val="List 5"/>
    <w:basedOn w:val="Normal"/>
    <w:semiHidden/>
    <w:unhideWhenUsed/>
    <w:rsid w:val="00BD3235"/>
    <w:pPr>
      <w:ind w:left="1800" w:hanging="360"/>
      <w:contextualSpacing/>
    </w:pPr>
  </w:style>
  <w:style w:type="paragraph" w:styleId="Index1">
    <w:name w:val="index 1"/>
    <w:basedOn w:val="Normal"/>
    <w:next w:val="Normal"/>
    <w:autoRedefine/>
    <w:rsid w:val="00C242C7"/>
    <w:pPr>
      <w:spacing w:after="0"/>
      <w:ind w:left="240" w:hanging="240"/>
    </w:pPr>
  </w:style>
  <w:style w:type="paragraph" w:styleId="ListBullet">
    <w:name w:val="List Bullet"/>
    <w:basedOn w:val="Normal"/>
    <w:semiHidden/>
    <w:unhideWhenUsed/>
    <w:rsid w:val="00C242C7"/>
    <w:pPr>
      <w:numPr>
        <w:numId w:val="3"/>
      </w:numPr>
      <w:contextualSpacing/>
    </w:pPr>
  </w:style>
  <w:style w:type="paragraph" w:styleId="ListBullet2">
    <w:name w:val="List Bullet 2"/>
    <w:basedOn w:val="Normal"/>
    <w:rsid w:val="00C242C7"/>
    <w:pPr>
      <w:numPr>
        <w:numId w:val="4"/>
      </w:numPr>
      <w:contextualSpacing/>
    </w:pPr>
  </w:style>
  <w:style w:type="paragraph" w:styleId="ListBullet3">
    <w:name w:val="List Bullet 3"/>
    <w:basedOn w:val="Normal"/>
    <w:semiHidden/>
    <w:unhideWhenUsed/>
    <w:rsid w:val="00C242C7"/>
    <w:pPr>
      <w:numPr>
        <w:numId w:val="5"/>
      </w:numPr>
      <w:contextualSpacing/>
    </w:pPr>
  </w:style>
  <w:style w:type="paragraph" w:styleId="ListBullet4">
    <w:name w:val="List Bullet 4"/>
    <w:basedOn w:val="Normal"/>
    <w:semiHidden/>
    <w:unhideWhenUsed/>
    <w:rsid w:val="00C242C7"/>
    <w:pPr>
      <w:numPr>
        <w:numId w:val="6"/>
      </w:numPr>
      <w:contextualSpacing/>
    </w:pPr>
  </w:style>
  <w:style w:type="paragraph" w:styleId="ListBullet5">
    <w:name w:val="List Bullet 5"/>
    <w:basedOn w:val="Normal"/>
    <w:rsid w:val="008E7A52"/>
    <w:pPr>
      <w:numPr>
        <w:numId w:val="7"/>
      </w:numPr>
      <w:contextualSpacing/>
    </w:pPr>
  </w:style>
  <w:style w:type="character" w:customStyle="1" w:styleId="Heading8Char">
    <w:name w:val="Heading 8 Char"/>
    <w:basedOn w:val="DefaultParagraphFont"/>
    <w:link w:val="Heading8"/>
    <w:rsid w:val="00C80801"/>
    <w:rPr>
      <w:rFonts w:asciiTheme="majorHAnsi" w:eastAsiaTheme="majorEastAsia" w:hAnsiTheme="majorHAnsi" w:cstheme="majorBidi"/>
      <w:color w:val="272727" w:themeColor="text1" w:themeTint="D8"/>
      <w:sz w:val="21"/>
      <w:szCs w:val="21"/>
    </w:rPr>
  </w:style>
  <w:style w:type="paragraph" w:styleId="TOC1">
    <w:name w:val="toc 1"/>
    <w:basedOn w:val="Normal"/>
    <w:next w:val="Normal"/>
    <w:autoRedefine/>
    <w:semiHidden/>
    <w:unhideWhenUsed/>
    <w:rsid w:val="00C80801"/>
    <w:pPr>
      <w:spacing w:after="100"/>
    </w:pPr>
  </w:style>
  <w:style w:type="paragraph" w:styleId="TOC2">
    <w:name w:val="toc 2"/>
    <w:basedOn w:val="Normal"/>
    <w:next w:val="Normal"/>
    <w:autoRedefine/>
    <w:semiHidden/>
    <w:unhideWhenUsed/>
    <w:rsid w:val="00C80801"/>
    <w:pPr>
      <w:spacing w:after="100"/>
      <w:ind w:left="240"/>
    </w:pPr>
  </w:style>
  <w:style w:type="paragraph" w:styleId="TOC3">
    <w:name w:val="toc 3"/>
    <w:basedOn w:val="Normal"/>
    <w:next w:val="Normal"/>
    <w:autoRedefine/>
    <w:semiHidden/>
    <w:unhideWhenUsed/>
    <w:rsid w:val="00C80801"/>
    <w:pPr>
      <w:spacing w:after="100"/>
      <w:ind w:left="480"/>
    </w:pPr>
  </w:style>
  <w:style w:type="paragraph" w:styleId="Header">
    <w:name w:val="header"/>
    <w:basedOn w:val="Normal"/>
    <w:link w:val="HeaderChar"/>
    <w:unhideWhenUsed/>
    <w:rsid w:val="003C73CD"/>
    <w:pPr>
      <w:tabs>
        <w:tab w:val="center" w:pos="4680"/>
        <w:tab w:val="right" w:pos="9360"/>
      </w:tabs>
      <w:spacing w:after="0"/>
    </w:pPr>
  </w:style>
  <w:style w:type="character" w:customStyle="1" w:styleId="HeaderChar">
    <w:name w:val="Header Char"/>
    <w:basedOn w:val="DefaultParagraphFont"/>
    <w:link w:val="Header"/>
    <w:rsid w:val="003C73CD"/>
    <w:rPr>
      <w:rFonts w:ascii="Times New Roman" w:hAnsi="Times New Roman"/>
    </w:rPr>
  </w:style>
  <w:style w:type="paragraph" w:styleId="Footer">
    <w:name w:val="footer"/>
    <w:basedOn w:val="Normal"/>
    <w:link w:val="FooterChar"/>
    <w:uiPriority w:val="99"/>
    <w:unhideWhenUsed/>
    <w:rsid w:val="003C73CD"/>
    <w:pPr>
      <w:tabs>
        <w:tab w:val="center" w:pos="4680"/>
        <w:tab w:val="right" w:pos="9360"/>
      </w:tabs>
      <w:spacing w:after="0"/>
    </w:pPr>
  </w:style>
  <w:style w:type="character" w:customStyle="1" w:styleId="FooterChar">
    <w:name w:val="Footer Char"/>
    <w:basedOn w:val="DefaultParagraphFont"/>
    <w:link w:val="Footer"/>
    <w:uiPriority w:val="99"/>
    <w:rsid w:val="003C73CD"/>
    <w:rPr>
      <w:rFonts w:ascii="Times New Roman" w:hAnsi="Times New Roman"/>
    </w:rPr>
  </w:style>
  <w:style w:type="character" w:styleId="LineNumber">
    <w:name w:val="line number"/>
    <w:basedOn w:val="DefaultParagraphFont"/>
    <w:semiHidden/>
    <w:unhideWhenUsed/>
    <w:rsid w:val="003C73CD"/>
  </w:style>
  <w:style w:type="paragraph" w:customStyle="1" w:styleId="">
    <w:name w:val=""/>
    <w:basedOn w:val="BodyText"/>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footer" Target="footer1.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2</Pages>
  <Words>138</Words>
  <Characters>789</Characters>
  <Application>Microsoft Office Word</Application>
  <DocSecurity>0</DocSecurity>
  <Lines>6</Lines>
  <Paragraphs>1</Paragraphs>
  <ScaleCrop>false</ScaleCrop>
  <Company/>
  <LinksUpToDate>false</LinksUpToDate>
  <CharactersWithSpaces>926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Tables</dc:title>
  <dc:creator/>
  <cp:keywords/>
  <dcterms:created xsi:type="dcterms:W3CDTF">2020-06-14T20:17:20Z</dcterms:created>
  <dcterms:modified xsi:type="dcterms:W3CDTF">2020-06-14T20:17:20Z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ink-citations">
    <vt:lpwstr>True</vt:lpwstr>
  </property>
  <property fmtid="{D5CDD505-2E9C-101B-9397-08002B2CF9AE}" pid="3" name="output">
    <vt:lpwstr/>
  </property>
  <property fmtid="{D5CDD505-2E9C-101B-9397-08002B2CF9AE}" pid="4" name="urlcolor">
    <vt:lpwstr>blue</vt:lpwstr>
  </property>
</Properties>
</file>