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Mon Apr 1 11:10:12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sources of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The framework is sufficiently flexible for application to different spatiotemporal contexts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whereas numerous smaller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earlier improvements from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was acquired from the US EPA’s National Estuary Program Mapper (</w:t>
      </w:r>
      <w:hyperlink r:id="rId33">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after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mechanism of change. However, we hypothesized that the magnitude of chlorophyll-a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(assuming a causal relationship) influence environmental change in the bay. Estimates across stations were evaluated to describe baywide associations of restoration project types. Estimates were also evaluated by individual bay segments that have specific management targets for chlorophyll-a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ten year time windows from the date of each project completion and five, ten closest projects to each water quality station.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rather than demonstrating a causal mechanism.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efficient than those where improvements are observed after longer periods of time and with more projects (e.g., 10 year window, 10 closest projects). Given this logic, both habitat protection and point source controls could potentially provide the most benefit for the least cost, whereas other projects may be to a lesser degree when additional time passes (e.g., full maturation of a habitat enhancement/establishment site) or more projects are included (e.g., implementing many nonpoint source controls). However, this approach assumes that immediate downstream water quality improvements with minimal effort are the primary restoration objectives and implicitly discounts the long-term effects that may or may not persist for a given project type. Likewise, other restoration objectives may be a primary driver for pursuing a particular project type (e.g. increasing biodiversity, improving fish and wildlife habitats, etc.).</w:t>
      </w:r>
    </w:p>
    <w:p>
      <w:pPr>
        <w:pStyle w:val="BodyText"/>
      </w:pPr>
      <w:r>
        <w:t xml:space="preserve">Our approach may also be sensitive to system hysteresis. An initial improvement of water quality associated from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influence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9"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7">
        <w:r>
          <w:rPr>
            <w:rStyle w:val="Hyperlink"/>
          </w:rPr>
          <w:t xml:space="preserve">https://doi.org/10.1002/wat2.1229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9">
        <w:r>
          <w:rPr>
            <w:rStyle w:val="Hyperlink"/>
          </w:rPr>
          <w:t xml:space="preserve">https://doi.org/10.1111/j.1526-100X.2005.00019.x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61">
        <w:r>
          <w:rPr>
            <w:rStyle w:val="Hyperlink"/>
          </w:rPr>
          <w:t xml:space="preserve">https://doi.org/10.1890/15-1077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63">
        <w:r>
          <w:rPr>
            <w:rStyle w:val="Hyperlink"/>
          </w:rPr>
          <w:t xml:space="preserve">https://doi.org/10.1007/s10666-015-9452-8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6">
        <w:r>
          <w:rPr>
            <w:rStyle w:val="Hyperlink"/>
          </w:rPr>
          <w:t xml:space="preserve">https://doi.org/10.1016/j.marpolbul.2016.06.027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8">
        <w:r>
          <w:rPr>
            <w:rStyle w:val="Hyperlink"/>
          </w:rPr>
          <w:t xml:space="preserve">https://doi.org/10.1007/s12237-010-9347-5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70">
        <w:r>
          <w:rPr>
            <w:rStyle w:val="Hyperlink"/>
          </w:rPr>
          <w:t xml:space="preserve">https://doi.org/10.1016/j.scitotenv.2016.05.111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72">
        <w:r>
          <w:rPr>
            <w:rStyle w:val="Hyperlink"/>
          </w:rPr>
          <w:t xml:space="preserve">https://doi.org/10.1002/ecs2.1242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4">
        <w:r>
          <w:rPr>
            <w:rStyle w:val="Hyperlink"/>
          </w:rPr>
          <w:t xml:space="preserve">https://doi.org/10.3368/er.29.1-2.111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6">
        <w:r>
          <w:rPr>
            <w:rStyle w:val="Hyperlink"/>
          </w:rPr>
          <w:t xml:space="preserve">https://doi.org/10.1002/fee.1282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81">
        <w:r>
          <w:rPr>
            <w:rStyle w:val="Hyperlink"/>
          </w:rPr>
          <w:t xml:space="preserve">https://doi.org/10.1007/BF02798646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83">
        <w:r>
          <w:rPr>
            <w:rStyle w:val="Hyperlink"/>
          </w:rPr>
          <w:t xml:space="preserve">https://doi.org/10.1016/j.ecss.2014.10.003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5">
        <w:r>
          <w:rPr>
            <w:rStyle w:val="Hyperlink"/>
          </w:rPr>
          <w:t xml:space="preserve">https://doi.org/10.1890/1540-9295(2005)003[0259:RWPBPT]2.0.CO;2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7">
        <w:r>
          <w:rPr>
            <w:rStyle w:val="Hyperlink"/>
          </w:rPr>
          <w:t xml:space="preserve">https://doi.org/10.1046/j.1526-100x.2001.009002239.x</w:t>
        </w:r>
      </w:hyperlink>
      <w:r>
        <w:t xml:space="preserve">.</w:t>
      </w:r>
    </w:p>
    <w:bookmarkEnd w:id="88"/>
    <w:bookmarkStart w:id="89"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(8-12):468–73.</w:t>
      </w:r>
      <w:r>
        <w:t xml:space="preserve"> </w:t>
      </w:r>
      <w:hyperlink r:id="rId92">
        <w:r>
          <w:rPr>
            <w:rStyle w:val="Hyperlink"/>
          </w:rPr>
          <w:t xml:space="preserve">https://doi.org/10.1016/S0025-326X(99)00139-3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94">
        <w:r>
          <w:rPr>
            <w:rStyle w:val="Hyperlink"/>
          </w:rPr>
          <w:t xml:space="preserve">https://doi.org/10.1016/j.scitotenv.2019.01.125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6">
        <w:r>
          <w:rPr>
            <w:rStyle w:val="Hyperlink"/>
          </w:rPr>
          <w:t xml:space="preserve">https://doi.org/10.2134/jeq2009.0108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9">
        <w:r>
          <w:rPr>
            <w:rStyle w:val="Hyperlink"/>
          </w:rPr>
          <w:t xml:space="preserve">https://doi.org/10.17226/23476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101">
        <w:r>
          <w:rPr>
            <w:rStyle w:val="Hyperlink"/>
          </w:rPr>
          <w:t xml:space="preserve">https://doi.org/10.1046/j.1526-100X.2002.02033.x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105">
        <w:r>
          <w:rPr>
            <w:rStyle w:val="Hyperlink"/>
          </w:rPr>
          <w:t xml:space="preserve">https://doi.org/10.1093/reep/ret024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8"/>
    <w:bookmarkStart w:id="11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9">
        <w:r>
          <w:rPr>
            <w:rStyle w:val="Hyperlink"/>
          </w:rPr>
          <w:t xml:space="preserve">https://doi.org/10.1016/j.rsma.2015.11.007</w:t>
        </w:r>
      </w:hyperlink>
      <w:r>
        <w:t xml:space="preserve">.</w:t>
      </w:r>
    </w:p>
    <w:bookmarkEnd w:id="110"/>
    <w:bookmarkStart w:id="11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11">
        <w:r>
          <w:rPr>
            <w:rStyle w:val="Hyperlink"/>
          </w:rPr>
          <w:t xml:space="preserve">https://doi.org/10.1016/j.rsma.2015.05.005</w:t>
        </w:r>
      </w:hyperlink>
      <w:r>
        <w:t xml:space="preserve">.</w:t>
      </w:r>
    </w:p>
    <w:bookmarkEnd w:id="112"/>
    <w:bookmarkStart w:id="11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13"/>
    <w:bookmarkStart w:id="11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14">
        <w:r>
          <w:rPr>
            <w:rStyle w:val="Hyperlink"/>
          </w:rPr>
          <w:t xml:space="preserve">https://doi.org/10.1016/S0025-326X(99)00074-0</w:t>
        </w:r>
      </w:hyperlink>
      <w:r>
        <w:t xml:space="preserve">.</w:t>
      </w:r>
    </w:p>
    <w:bookmarkEnd w:id="115"/>
    <w:bookmarkStart w:id="116" w:name="ref-SWFWMD18"/>
    <w:p>
      <w:pPr>
        <w:pStyle w:val="Bibliography"/>
      </w:pPr>
      <w:r>
        <w:t xml:space="preserve">SWFWMD (Southwest Florida Water Management District). 2018. “Southwest Florida Water Management District Geospatial Open Data Portal.”</w:t>
      </w:r>
    </w:p>
    <w:bookmarkEnd w:id="116"/>
    <w:bookmarkStart w:id="117" w:name="ref-TBEP17"/>
    <w:p>
      <w:pPr>
        <w:pStyle w:val="Bibliography"/>
      </w:pPr>
      <w:r>
        <w:t xml:space="preserve">TBEP (Tampa Bay Estuary Program). 2017. “Tampa Bay Water Atlas.”</w:t>
      </w:r>
    </w:p>
    <w:bookmarkEnd w:id="117"/>
    <w:bookmarkStart w:id="11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8"/>
    <w:bookmarkEnd w:id="1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2019-04-01T19:45:47Z</dcterms:created>
  <dcterms:modified xsi:type="dcterms:W3CDTF">2019-04-01T19:45:47Z</dcterms:modified>
</cp:coreProperties>
</file>