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4.png" ContentType="image/png"/>
  <Override PartName="/word/media/rId49.png" ContentType="image/png"/>
  <Override PartName="/word/media/rId50.png" ContentType="image/png"/>
  <Override PartName="/word/media/rId52.png" ContentType="image/png"/>
  <Override PartName="/word/media/rId48.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St. Petersburg,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kdorans@tulane.edu</w:t>
        </w:r>
      </w:hyperlink>
      <w:r>
        <w:t xml:space="preserve">), Tulane University School of Public Health and Tropical Medicine,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pvarela@geosyntec.com</w:t>
        </w:r>
      </w:hyperlink>
      <w:r>
        <w:t xml:space="preserve">), Geosyntec Consultants Inc., Houston, TX</w:t>
      </w:r>
    </w:p>
    <w:p>
      <w:pPr>
        <w:pStyle w:val="BodyText"/>
      </w:pPr>
      <w:r>
        <w:t xml:space="preserve">Version Date: Sun Jun 9 08:13:37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broad regional outcomes beyond site-specific assessments. This study presents an empirical framework to evaluate multiple datasets in the Tampa Bay area (Florida, USA) to identify 1) the types of restoration projects that have produced the greatest improvements in water quality, and 2) over which time frames different projects may produce water quality benefits. Information on the location and date of completion of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alone. The framework is sufficiently flexible for application to different spatiotemporal contexts and could be used to develop reasonable expectations for implementation of future water quality restoration activities throughout the Gulf of Mexico.</w:t>
      </w:r>
    </w:p>
    <w:p>
      <w:pPr>
        <w:pStyle w:val="BodyText"/>
      </w:pPr>
      <w:r>
        <w:t xml:space="preserve">Key words: chlorophyll, long-term monitoring, restoration, Tampa Bay, trends</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coastal urbanization and climate change impacts will likely limit future habitat management effectiveness in the southeast United States</w:t>
      </w:r>
      <w:r>
        <w:t xml:space="preserve"> </w:t>
      </w:r>
      <w:r>
        <w:t xml:space="preserve">(Enwright et al.</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Further, discrete tropical storm</w:t>
      </w:r>
      <w:r>
        <w:t xml:space="preserve"> </w:t>
      </w:r>
      <w:r>
        <w:t xml:space="preserve">(Holly Greening et al.</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difficulties of rigorously monitoring and understanding an ecosystem’s condition and restoration trajectory at various spatial and temporal scales can further constrain evaluations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activities.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w:t>
      </w:r>
      <w:hyperlink r:id="rId28">
        <w:r>
          <w:rPr>
            <w:rStyle w:val="Hyperlink"/>
          </w:rPr>
          <w:t xml:space="preserve">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improvement in condition over the last four decades is one of the most exceptional success stories for coastal water quality management</w:t>
      </w:r>
      <w:r>
        <w:t xml:space="preserve"> </w:t>
      </w:r>
      <w:r>
        <w:t xml:space="preserve">(H. Greening and Janicki</w:t>
      </w:r>
      <w:r>
        <w:t xml:space="preserve"> </w:t>
      </w:r>
      <w:hyperlink w:anchor="ref-Greening06">
        <w:r>
          <w:rPr>
            <w:rStyle w:val="Hyperlink"/>
          </w:rPr>
          <w:t xml:space="preserve">2006</w:t>
        </w:r>
      </w:hyperlink>
      <w:r>
        <w:t xml:space="preserve">; Greening et al.</w:t>
      </w:r>
      <w:r>
        <w:t xml:space="preserve"> </w:t>
      </w:r>
      <w:hyperlink w:anchor="ref-Greening14">
        <w:r>
          <w:rPr>
            <w:rStyle w:val="Hyperlink"/>
          </w:rPr>
          <w:t xml:space="preserve">2014</w:t>
        </w:r>
      </w:hyperlink>
      <w:r>
        <w:t xml:space="preserve">)</w:t>
      </w:r>
      <w:r>
        <w:t xml:space="preserve">. Most notably, seagrass coverage in 2016 was reported as 16,857 hectares baywide, surpassing the goal of restoring coverage to 95%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14">
        <w:r>
          <w:rPr>
            <w:rStyle w:val="Hyperlink"/>
          </w:rPr>
          <w:t xml:space="preserve">2014</w:t>
        </w:r>
      </w:hyperlink>
      <w:r>
        <w:t xml:space="preserve">)</w:t>
      </w:r>
      <w:r>
        <w:t xml:space="preserve">, chlorophyll-a concentrations</w:t>
      </w:r>
      <w:r>
        <w:t xml:space="preserve"> </w:t>
      </w:r>
      <w:r>
        <w:t xml:space="preserve">(Wang et al.</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et al.</w:t>
      </w:r>
      <w:r>
        <w:t xml:space="preserve"> </w:t>
      </w:r>
      <w:hyperlink w:anchor="ref-Beck18g">
        <w:r>
          <w:rPr>
            <w:rStyle w:val="Hyperlink"/>
          </w:rPr>
          <w:t xml:space="preserve">2018</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These controls allowed nutrient and chlorophyll-a targets to be met by the early 1990s. However, numerous smaller projects, including watershed-focused efforts</w:t>
      </w:r>
      <w:r>
        <w:t xml:space="preserve"> </w:t>
      </w:r>
      <w:r>
        <w:t xml:space="preserve">(Lewis et al.</w:t>
      </w:r>
      <w:r>
        <w:t xml:space="preserve"> </w:t>
      </w:r>
      <w:hyperlink w:anchor="ref-Lewis98">
        <w:r>
          <w:rPr>
            <w:rStyle w:val="Hyperlink"/>
          </w:rPr>
          <w:t xml:space="preserve">1998</w:t>
        </w:r>
      </w:hyperlink>
      <w:r>
        <w:t xml:space="preserve">)</w:t>
      </w:r>
      <w:r>
        <w:t xml:space="preserve">, may have had a supporting role in maintaining the earlier water quality improvements observed after water infrastructure upgrades. The cumulative effects of over 900 restoration projects,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pPr>
        <w:pStyle w:val="BodyText"/>
      </w:pPr>
      <w:r>
        <w:t xml:space="preserve">Demonstrating success for restoration activities is challenging for several reasons</w:t>
      </w:r>
      <w:r>
        <w:t xml:space="preserve"> </w:t>
      </w:r>
      <w:r>
        <w:t xml:space="preserve">(Ruiz-Jaen and Aide</w:t>
      </w:r>
      <w:r>
        <w:t xml:space="preserve"> </w:t>
      </w:r>
      <w:hyperlink w:anchor="ref-Ruiz05">
        <w:r>
          <w:rPr>
            <w:rStyle w:val="Hyperlink"/>
          </w:rPr>
          <w:t xml:space="preserve">2005</w:t>
        </w:r>
      </w:hyperlink>
      <w:r>
        <w:t xml:space="preserve">; Wortley et al.</w:t>
      </w:r>
      <w:r>
        <w:t xml:space="preserve"> </w:t>
      </w:r>
      <w:hyperlink w:anchor="ref-Wortley13">
        <w:r>
          <w:rPr>
            <w:rStyle w:val="Hyperlink"/>
          </w:rPr>
          <w:t xml:space="preserve">2013</w:t>
        </w:r>
      </w:hyperlink>
      <w:r>
        <w:t xml:space="preserve">)</w:t>
      </w:r>
      <w:r>
        <w:t xml:space="preserve">. Success may be vaguely or even subjectively defined because the effects of restoration could be described in different ways depending on project goals</w:t>
      </w:r>
      <w:r>
        <w:t xml:space="preserve"> </w:t>
      </w:r>
      <w:r>
        <w:t xml:space="preserve">(Zedler</w:t>
      </w:r>
      <w:r>
        <w:t xml:space="preserve"> </w:t>
      </w:r>
      <w:hyperlink w:anchor="ref-Zedler07">
        <w:r>
          <w:rPr>
            <w:rStyle w:val="Hyperlink"/>
          </w:rPr>
          <w:t xml:space="preserve">2007</w:t>
        </w:r>
      </w:hyperlink>
      <w:r>
        <w:t xml:space="preserve">)</w:t>
      </w:r>
      <w:r>
        <w:t xml:space="preserve">. For example, site-specific measures of before/after condition are commonly used measures of success, whereas downstream effects may be more important to consider for baywide conditions</w:t>
      </w:r>
      <w:r>
        <w:t xml:space="preserve"> </w:t>
      </w:r>
      <w:r>
        <w:t xml:space="preserve">(Diefenderfer et al.</w:t>
      </w:r>
      <w:r>
        <w:t xml:space="preserve"> </w:t>
      </w:r>
      <w:hyperlink w:anchor="ref-Diefenderfer11">
        <w:r>
          <w:rPr>
            <w:rStyle w:val="Hyperlink"/>
          </w:rPr>
          <w:t xml:space="preserve">2011</w:t>
        </w:r>
      </w:hyperlink>
      <w:r>
        <w:t xml:space="preserve">)</w:t>
      </w:r>
      <w:r>
        <w:t xml:space="preserve">. More importantly, quantifying success as a measure of environmental improvements is challenged by the variety of factors that affect water quality across space and time. New tools are needed that can address these challenges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14">
        <w:r>
          <w:rPr>
            <w:rStyle w:val="Hyperlink"/>
          </w:rPr>
          <w:t xml:space="preserve">2014</w:t>
        </w:r>
      </w:hyperlink>
      <w:r>
        <w:t xml:space="preserve">)</w:t>
      </w:r>
      <w:r>
        <w:t xml:space="preserve">, were used as the success metric to evaluate estuarine restoration activities.</w:t>
      </w:r>
    </w:p>
    <w:p>
      <w:pPr>
        <w:pStyle w:val="Heading1"/>
      </w:pPr>
      <w:bookmarkStart w:id="29" w:name="methods"/>
      <w:r>
        <w:t xml:space="preserve">Methods</w:t>
      </w:r>
      <w:bookmarkEnd w:id="29"/>
    </w:p>
    <w:p>
      <w:pPr>
        <w:pStyle w:val="Heading2"/>
      </w:pPr>
      <w:bookmarkStart w:id="30" w:name="study-area"/>
      <w:r>
        <w:t xml:space="preserve">Study area</w:t>
      </w:r>
      <w:bookmarkEnd w:id="30"/>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14">
        <w:r>
          <w:rPr>
            <w:rStyle w:val="Hyperlink"/>
          </w:rPr>
          <w:t xml:space="preserve">2014</w:t>
        </w:r>
      </w:hyperlink>
      <w:r>
        <w:t xml:space="preserve">)</w:t>
      </w:r>
      <w:r>
        <w:t xml:space="preserve">.</w:t>
      </w:r>
    </w:p>
    <w:p>
      <w:pPr>
        <w:pStyle w:val="BodyText"/>
      </w:pPr>
      <w:r>
        <w:t xml:space="preserve">Current water quality in Tampa Bay is dramatically improved from the degraded historical condition.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Fishery yields were depressed for both commercial and recreational species during this time, although fisheries practices (i.e., widespread Bay trawling and gill-netting) likely contributed to declines</w:t>
      </w:r>
      <w:r>
        <w:t xml:space="preserve"> </w:t>
      </w:r>
      <w:r>
        <w:t xml:space="preserve">(Springer and Woodburn</w:t>
      </w:r>
      <w:r>
        <w:t xml:space="preserve"> </w:t>
      </w:r>
      <w:hyperlink w:anchor="ref-Springer60">
        <w:r>
          <w:rPr>
            <w:rStyle w:val="Hyperlink"/>
          </w:rPr>
          <w:t xml:space="preserve">1960</w:t>
        </w:r>
      </w:hyperlink>
      <w:r>
        <w:t xml:space="preserve">)</w:t>
      </w:r>
      <w:r>
        <w:t xml:space="preserve">.</w:t>
      </w:r>
    </w:p>
    <w:p>
      <w:pPr>
        <w:pStyle w:val="BodyText"/>
      </w:pPr>
      <w:r>
        <w:t xml:space="preserve">The establishment of a long-term monitoring program has been instrumental in the development of water quality management targets that have guided restoration efforts since the 1970s</w:t>
      </w:r>
      <w:r>
        <w:t xml:space="preserve"> </w:t>
      </w:r>
      <w:r>
        <w:t xml:space="preserve">(Schiff et al.</w:t>
      </w:r>
      <w:r>
        <w:t xml:space="preserve"> </w:t>
      </w:r>
      <w:hyperlink w:anchor="ref-Schiff16">
        <w:r>
          <w:rPr>
            <w:rStyle w:val="Hyperlink"/>
          </w:rPr>
          <w:t xml:space="preserve">2016</w:t>
        </w:r>
      </w:hyperlink>
      <w:r>
        <w:t xml:space="preserve">; Sherwood et al.</w:t>
      </w:r>
      <w:r>
        <w:t xml:space="preserve"> </w:t>
      </w:r>
      <w:hyperlink w:anchor="ref-Sherwood16">
        <w:r>
          <w:rPr>
            <w:rStyle w:val="Hyperlink"/>
          </w:rPr>
          <w:t xml:space="preserve">2016</w:t>
        </w:r>
      </w:hyperlink>
      <w:r>
        <w:t xml:space="preserve">)</w:t>
      </w:r>
      <w:r>
        <w:t xml:space="preserve">. These data have been used to evaluate water quality changes from advanced wastewater treatment operations that were implemented at municipal plants by the early 1980s</w:t>
      </w:r>
      <w:r>
        <w:t xml:space="preserve"> </w:t>
      </w:r>
      <w:r>
        <w:t xml:space="preserve">(Wang et al.</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 Sherwood et al.</w:t>
      </w:r>
      <w:r>
        <w:t xml:space="preserve"> </w:t>
      </w:r>
      <w:hyperlink w:anchor="ref-Sherwood16">
        <w:r>
          <w:rPr>
            <w:rStyle w:val="Hyperlink"/>
          </w:rPr>
          <w:t xml:space="preserve">2016</w:t>
        </w:r>
      </w:hyperlink>
      <w:r>
        <w:t xml:space="preserve">)</w:t>
      </w:r>
      <w:r>
        <w:t xml:space="preserve">. However, nearly 900 public and private projects to improve water quality have also been completed in Tampa Bay and its watershed over the past 4 decades.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Linking data from the long-term monitoring program with data on these projects will provide an understanding of how the cumulative effects of small-scale restoration have contributed to water quality relative to the historical water infrastructure upgrades.</w:t>
      </w:r>
    </w:p>
    <w:p>
      <w:pPr>
        <w:pStyle w:val="Heading2"/>
      </w:pPr>
      <w:bookmarkStart w:id="31" w:name="data-sources"/>
      <w:r>
        <w:t xml:space="preserve">Data sources</w:t>
      </w:r>
      <w:bookmarkEnd w:id="31"/>
    </w:p>
    <w:p>
      <w:pPr>
        <w:pStyle w:val="FirstParagraph"/>
      </w:pPr>
      <w:r>
        <w:t xml:space="preserve">Several databases were combined to document restoration projects in Tampa Bay and its watershed. Each database was unique and no overlap in documented projects was observed. Data from the Tampa Bay Water Atlas (version 2.3,</w:t>
      </w:r>
      <w:r>
        <w:t xml:space="preserve">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projects was acquired from the US EPA’s National Estuary Program Mapper (</w:t>
      </w:r>
      <w:hyperlink r:id="rId33">
        <w:r>
          <w:rPr>
            <w:rStyle w:val="Hyperlink"/>
          </w:rPr>
          <w:t xml:space="preserve">https://gispub2.epa.gov/NEPmap/</w:t>
        </w:r>
      </w:hyperlink>
      <w:r>
        <w:t xml:space="preserve">). This database provides only basic information, such as year of completion, geographic coordinates, general activities, and areal coverage. Data from the TBEP Action Plan Database Portal (</w:t>
      </w:r>
      <w:hyperlink r:id="rId34">
        <w:r>
          <w:rPr>
            <w:rStyle w:val="Hyperlink"/>
          </w:rPr>
          <w:t xml:space="preserve">https://apdb.tbeptech.org/index.php</w:t>
        </w:r>
      </w:hyperlink>
      <w:r>
        <w:t xml:space="preserve">)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industrial and municipal point sources.</w:t>
      </w:r>
    </w:p>
    <w:p>
      <w:pPr>
        <w:pStyle w:val="BodyText"/>
      </w:pPr>
      <w:r>
        <w:t xml:space="preserve">For all restoration datasets, shared information included the project location, year of completion, and classification of the restoration activity. We developed and applied a two-level classification scheme that described each restoration project as 1) a habitat or water infrastructure improvement and 2) more specifically as enhancement, establishment, or protection for habitat or as nonpoint or point source controls for water infrastructure. These categories were used to provide a broad characterization of restoration activities that were considered to contribute to improvements in water quality over time. The final combined dataset included 887 projects from 1971 to 2017 (Figure</w:t>
      </w:r>
      <w:r>
        <w:t xml:space="preserve"> </w:t>
      </w:r>
      <w:r>
        <w:t xml:space="preserve">2</w:t>
      </w:r>
      <w:r>
        <w:t xml:space="preserve">). Projects with incomplete information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or monitoring sonde at bottom, mid- or surface depths, depending on parameter. The locations of monitoring stations were fixed and cover the entire Bay from the uppermost mesohaline sections to the lowermost euhaline portions that have direct interaction with the GOM (Figure</w:t>
      </w:r>
      <w:r>
        <w:t xml:space="preserve"> </w:t>
      </w:r>
      <w:r>
        <w:t xml:space="preserve">1</w:t>
      </w:r>
      <w:r>
        <w:t xml:space="preserve">). Mid-depth water samples at each station are laboratory processed immediately after collection. Chlorophyll-a (</w:t>
      </w:r>
      <m:oMath>
        <m:r>
          <m:t>μ</m:t>
        </m:r>
      </m:oMath>
      <w:r>
        <w:t xml:space="preserve">g/L) measurements at each site were used for analysis, totaling approximately 515 observations for each station.</w:t>
      </w:r>
    </w:p>
    <w:p>
      <w:pPr>
        <w:pStyle w:val="Heading2"/>
      </w:pPr>
      <w:bookmarkStart w:id="35" w:name="data-synthesis-and-analysis-framework"/>
      <w:r>
        <w:t xml:space="preserve">Data synthesis and analysis framework</w:t>
      </w:r>
      <w:bookmarkEnd w:id="35"/>
    </w:p>
    <w:p>
      <w:pPr>
        <w:pStyle w:val="FirstParagraph"/>
      </w:pPr>
      <w:r>
        <w:t xml:space="preserve">The five sub-categories for each project (habitat enhancement, establishment, and protection; nonpoint and point source controls) were separately evaluated to describe the likelihood of changes in water quality associated with each type. Water quality monitoring sites were matched to the closest selected restoration projects and changes in the water quality data were evaluated relative to the completion dates of the selected projects. Spatial and temporal matching can be accomplished using several methods that vary in complexity. For example, hydrologic distances or other non-Euclidean distance weightings by watershed topology can be used to link measurements to modelled locations in space</w:t>
      </w:r>
      <w:r>
        <w:t xml:space="preserve"> </w:t>
      </w:r>
      <w:r>
        <w:t xml:space="preserve">(Curriero</w:t>
      </w:r>
      <w:r>
        <w:t xml:space="preserve"> </w:t>
      </w:r>
      <w:hyperlink w:anchor="ref-Curriero06">
        <w:r>
          <w:rPr>
            <w:rStyle w:val="Hyperlink"/>
          </w:rPr>
          <w:t xml:space="preserve">2006</w:t>
        </w:r>
      </w:hyperlink>
      <w:r>
        <w:t xml:space="preserve">; Gardner et al.</w:t>
      </w:r>
      <w:r>
        <w:t xml:space="preserve"> </w:t>
      </w:r>
      <w:hyperlink w:anchor="ref-Gardner11">
        <w:r>
          <w:rPr>
            <w:rStyle w:val="Hyperlink"/>
          </w:rPr>
          <w:t xml:space="preserve">2011</w:t>
        </w:r>
      </w:hyperlink>
      <w:r>
        <w:t xml:space="preserve">)</w:t>
      </w:r>
      <w:r>
        <w:t xml:space="preserve">. However, we adopted a relatively simple approach with limited data requirements to maximize potential applications in other regions (e.g., no hydrology data are needed, only spatial location). The matchings began with a spatial join wherein the Euclidean distances between each water quality station and each restoration project were quantified. The restoration projects closest to each water quality station were identified using the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year period that occurred after a defined window of time upon completion of a project. Time windows that overlapped the start and end date of the water quality time series were discarded. The final two estimates of the before and after values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acc>
          <m:accPr>
            <m:chr m:val="̂"/>
          </m:accPr>
          <m:e>
            <m:r>
              <m:t>w</m:t>
            </m:r>
            <m:r>
              <m:t>q</m:t>
            </m:r>
          </m:e>
        </m:acc>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estimates for each project that was inversely related to the distance from a water quality station. A weighted average by distance (or parametric distance weights,</w:t>
      </w:r>
      <w:r>
        <w:t xml:space="preserve"> </w:t>
      </w:r>
      <w:r>
        <w:t xml:space="preserve">Sickle and Johnson (</w:t>
      </w:r>
      <w:hyperlink w:anchor="ref-Sickle08">
        <w:r>
          <w:rPr>
            <w:rStyle w:val="Hyperlink"/>
          </w:rPr>
          <w:t xml:space="preserve">2008</w:t>
        </w:r>
      </w:hyperlink>
      <w:r>
        <w:t xml:space="preserve">)</w:t>
      </w:r>
      <w:r>
        <w:t xml:space="preserv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w:t>
      </w:r>
      <w:r>
        <w:t xml:space="preserve"> </w:t>
      </w:r>
      <w:r>
        <w:t xml:space="preserve">5</w:t>
      </w:r>
      <w:r>
        <w:t xml:space="preserve">). Overall differences between project types were evaluated by ANOVA F-tests, whereas pairwise differences between project types were evaluated by t-tests with corrected probability values for multiple comparisons.</w:t>
      </w:r>
    </w:p>
    <w:p>
      <w:pPr>
        <w:pStyle w:val="BodyText"/>
      </w:pPr>
      <w:r>
        <w:t xml:space="preserve">One of the key assumptions of our approach is that restoration projects will benefit water quality through a change in chlorophyll-a. We make no assumptions about the expected magnitude of an association given that the model does not describe a specific mechanism of change. However, we hypothesized that the magnitude of chlorophyll-a changes varies by project type, and number of projects or length of time window evaluated.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potentially over broad regional scales. For example, estimated associations of point source control projects with each water quality station in the Bay can be combined to develop an overall narrative of how these projects could (assuming a causal relationship) influence environmental change across the entire Bay. Estimates across stations were evaluated to describe associations in baywide improvements from various restoration project types throughout the watershed. Estimates were also evaluated by individual Bay segments that have specific management targets for chlorophyll-a concentration</w:t>
      </w:r>
      <w:r>
        <w:t xml:space="preserve"> </w:t>
      </w:r>
      <w:r>
        <w:t xml:space="preserve">(Florida Statute 62-302.532, Janicki et al.</w:t>
      </w:r>
      <w:r>
        <w:t xml:space="preserve"> </w:t>
      </w:r>
      <w:hyperlink w:anchor="ref-Janicki99">
        <w:r>
          <w:rPr>
            <w:rStyle w:val="Hyperlink"/>
          </w:rPr>
          <w:t xml:space="preserve">1999</w:t>
        </w:r>
      </w:hyperlink>
      <w:r>
        <w:t xml:space="preserve">)</w:t>
      </w:r>
      <w:r>
        <w:t xml:space="preserve">. Stratification by Bay segments provided an alternative context for interpreting the results based on areal differences between segments and how restoration projects varied in space and time.</w:t>
      </w:r>
    </w:p>
    <w:p>
      <w:pPr>
        <w:pStyle w:val="BodyText"/>
      </w:pPr>
      <w:r>
        <w:t xml:space="preserve">The analysis of each project type was bounded by two key parameters in eqn. (1). These include</w:t>
      </w:r>
      <w:r>
        <w:t xml:space="preserve"> </w:t>
      </w:r>
      <m:oMath>
        <m:r>
          <m:t>n</m:t>
        </m:r>
      </m:oMath>
      <w:r>
        <w:t xml:space="preserve">, the number of spatially-matched restoration projects used to average the cumulative estimate of each project type, and</w:t>
      </w:r>
      <w:r>
        <w:t xml:space="preserve"> </w:t>
      </w:r>
      <m:oMath>
        <m:r>
          <m:t>w</m:t>
        </m:r>
        <m:r>
          <m:t>i</m:t>
        </m:r>
        <m:r>
          <m:t>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or ten year time windows from the date of each project completion and the five or ten closest projects to each water quality station. All analyses were conducted with customized scripts created 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6" w:name="Xe5e1caa3fa05a215d498782b804fc37a053ddd7"/>
      <w:r>
        <w:t xml:space="preserve">Testing effects of restoration dates and location</w:t>
      </w:r>
      <w:bookmarkEnd w:id="36"/>
    </w:p>
    <w:p>
      <w:pPr>
        <w:pStyle w:val="FirstParagraph"/>
      </w:pPr>
      <w:r>
        <w:t xml:space="preserve">Because of the documented improvements in water quality in Tampa Bay, a concern with our approach is that any association between restoration projects and chlorophyll-a may result from correlations between the two parameters, confounding a true demonstration of water quality improvements in relation to restoration activities. To address this challenge, estimated changes in chlorophyll-a were evaluated in response to temporal and spatial matching with restoration projects, as above, but with random date and location assignments for each restoration project.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our null model is that the estimated effects of restoration projects are simply those that can be evaluated from the raw data - slicing the observed time series by arbitrary dates and evaluating before/after averages is expected to reflect the continuous decline of chlorophyll-a in the raw data. Alternatively, differences between project types and changes in chlorophyll-a that are different from the long-term decline would provide evidence that our framework is robust.</w:t>
      </w:r>
    </w:p>
    <w:p>
      <w:pPr>
        <w:pStyle w:val="Heading1"/>
      </w:pPr>
      <w:bookmarkStart w:id="37" w:name="results"/>
      <w:r>
        <w:t xml:space="preserve">Results</w:t>
      </w:r>
      <w:bookmarkEnd w:id="37"/>
    </w:p>
    <w:p>
      <w:pPr>
        <w:pStyle w:val="Heading2"/>
      </w:pPr>
      <w:bookmarkStart w:id="38" w:name="water-quality-observations"/>
      <w:r>
        <w:t xml:space="preserve">Water quality observations</w:t>
      </w:r>
      <w:bookmarkEnd w:id="38"/>
    </w:p>
    <w:p>
      <w:pPr>
        <w:pStyle w:val="FirstParagraph"/>
      </w:pPr>
      <w:r>
        <w:t xml:space="preserve">Chlorophyll-a in Tampa Bay decreased over the forty-year record consistent with documented changes</w:t>
      </w:r>
      <w:r>
        <w:t xml:space="preserve"> </w:t>
      </w:r>
      <w:r>
        <w:t xml:space="preserve">(Wang et al.</w:t>
      </w:r>
      <w:r>
        <w:t xml:space="preserve"> </w:t>
      </w:r>
      <w:hyperlink w:anchor="ref-Wang99">
        <w:r>
          <w:rPr>
            <w:rStyle w:val="Hyperlink"/>
          </w:rPr>
          <w:t xml:space="preserve">1999</w:t>
        </w:r>
      </w:hyperlink>
      <w:r>
        <w:t xml:space="preserve">; Greening et al.</w:t>
      </w:r>
      <w:r>
        <w:t xml:space="preserve"> </w:t>
      </w:r>
      <w:hyperlink w:anchor="ref-Greening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&lt;26.5 psu, 7.30</w:t>
      </w:r>
      <w:r>
        <w:t xml:space="preserve"> </w:t>
      </w:r>
      <m:oMath>
        <m: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14">
        <w:r>
          <w:rPr>
            <w:rStyle w:val="Hyperlink"/>
          </w:rPr>
          <w:t xml:space="preserve">2014</w:t>
        </w:r>
      </w:hyperlink>
      <w:r>
        <w:t xml:space="preserve">)</w:t>
      </w:r>
      <w:r>
        <w:t xml:space="preserve">. An exception for total nitrogen was observed at high salinity stations where concentrations were relatively constant at approximately 0.55 mg/L from 1987 to 2007. Seasonally, total nitrogen concentrations peaked in the late summer/early fall period.</w:t>
      </w:r>
    </w:p>
    <w:p>
      <w:pPr>
        <w:pStyle w:val="BodyText"/>
      </w:pPr>
      <w:r>
        <w:t xml:space="preserve">The monotonic decline in chlorophyll-a concentrations was coincident with the increases in the number and types of restoration projects in the watershed, where the number of documented projects especially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Lewis et al.</w:t>
      </w:r>
      <w:r>
        <w:t xml:space="preserve"> </w:t>
      </w:r>
      <w:hyperlink w:anchor="ref-Lewis98">
        <w:r>
          <w:rPr>
            <w:rStyle w:val="Hyperlink"/>
          </w:rPr>
          <w:t xml:space="preserve">1998</w:t>
        </w:r>
      </w:hyperlink>
      <w:r>
        <w:t xml:space="preserve">)</w:t>
      </w:r>
      <w:r>
        <w:t xml:space="preserve">.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pPr>
        <w:pStyle w:val="Heading2"/>
      </w:pPr>
      <w:bookmarkStart w:id="39" w:name="Xad9b6579c31614929edfc5e466dd6505b6b2bae"/>
      <w:r>
        <w:t xml:space="preserve">Associations between restoration projects and water quality change</w:t>
      </w:r>
      <w:bookmarkEnd w:id="39"/>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quality was related to the number of projects for all project types (based on linear models,</w:t>
      </w:r>
      <w:r>
        <w:t xml:space="preserve">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chlorophyll-a across project types.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chlorophyll-a,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chlorophyll-a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One limitation of the above analysis is that the number of restoration projects increased over time and responses due to restoration were potentially confounded with temporal changes resulting from other factors. Similarly, effects of different project types are confounded when both types increased over time (Figure</w:t>
      </w:r>
      <w:r>
        <w:t xml:space="preserve"> </w:t>
      </w:r>
      <w:r>
        <w:t xml:space="preserve">6</w:t>
      </w:r>
      <w:r>
        <w:t xml:space="preserv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Our approach that uses spatial-temporal matching between restoration projects and water quality stations is meant to overcome these challenges.</w:t>
      </w:r>
    </w:p>
    <w:p>
      <w:pPr>
        <w:pStyle w:val="BodyText"/>
      </w:pPr>
      <w:r>
        <w:t xml:space="preserve">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longer time windows and more project matches with each monitoring station increased observations of significant associations (i.e., more black circles in the maps in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w:t>
      </w:r>
      <w:r>
        <w:t xml:space="preserve"> </w:t>
      </w:r>
      <w:r>
        <w:t xml:space="preserve">1</w:t>
      </w:r>
      <w:r>
        <w:t xml:space="preserve">).</w:t>
      </w:r>
    </w:p>
    <w:p>
      <w:pPr>
        <w:pStyle w:val="BodyText"/>
      </w:pPr>
      <w:r>
        <w:t xml:space="preserve">The estimated baywide effects for each project type showed that point source controls were more strongly associated with reductions in chlorophyll-a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chlorophyll-a of approximately 2</w:t>
      </w:r>
      <w:r>
        <w:t xml:space="preserve"> </w:t>
      </w:r>
      <m:oMath>
        <m:r>
          <m:t>μ</m:t>
        </m:r>
      </m:oMath>
      <w:r>
        <w:t xml:space="preserve">g/L, depending on the number of projects implemented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chlorophyll-a reductions, but only when a large number of projects were implemented (10 closest project combinations, Figure</w:t>
      </w:r>
      <w:r>
        <w:t xml:space="preserve"> </w:t>
      </w:r>
      <w:r>
        <w:t xml:space="preserve">7</w:t>
      </w:r>
      <w:r>
        <w:t xml:space="preserve">b, d). Additionally, the magnitude of nonpoint source control reductions were less than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the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pPr>
        <w:pStyle w:val="Heading2"/>
      </w:pPr>
      <w:bookmarkStart w:id="40" w:name="Xde1ccef464680bc8962a45d356eeb063b57d3b7"/>
      <w:r>
        <w:t xml:space="preserve">Effects of random restoration dates and locations</w:t>
      </w:r>
      <w:bookmarkEnd w:id="40"/>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w:t>
      </w:r>
      <w:r>
        <w:t xml:space="preserve"> </w:t>
      </w:r>
      <w:r>
        <w:t xml:space="preserve">3</w:t>
      </w:r>
      <w:r>
        <w:t xml:space="preserve">,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support of the alternative hypothesis, nine of the rows in the</w:t>
      </w:r>
      <w:r>
        <w:t xml:space="preserve"> </w:t>
      </w:r>
      <w:r>
        <w:t xml:space="preserve">“</w:t>
      </w:r>
      <w:r>
        <w:t xml:space="preserve">Agreement</w:t>
      </w:r>
      <w:r>
        <w:t xml:space="preserve">”</w:t>
      </w:r>
      <w:r>
        <w:t xml:space="preserve"> </w:t>
      </w:r>
      <w:r>
        <w:t xml:space="preserve">column indicate a result different than a consistent decline in chlorophyll-a expected under the null hypothesis. Compared to random simulations,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be associated with water quality improvements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from the null results for habitat enhancement and establishment projects do suggest the framework is robust.</w:t>
      </w:r>
    </w:p>
    <w:p>
      <w:pPr>
        <w:pStyle w:val="Heading1"/>
      </w:pPr>
      <w:bookmarkStart w:id="41" w:name="discussion"/>
      <w:r>
        <w:t xml:space="preserve">Discussion</w:t>
      </w:r>
      <w:bookmarkEnd w:id="41"/>
    </w:p>
    <w:p>
      <w:pPr>
        <w:pStyle w:val="FirstParagraph"/>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14">
        <w:r>
          <w:rPr>
            <w:rStyle w:val="Hyperlink"/>
          </w:rPr>
          <w:t xml:space="preserve">2014</w:t>
        </w:r>
      </w:hyperlink>
      <w:r>
        <w:t xml:space="preserve">)</w:t>
      </w:r>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et al.</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 when many are implemented.</w:t>
      </w:r>
    </w:p>
    <w:p>
      <w:pPr>
        <w:pStyle w:val="BodyText"/>
      </w:pPr>
      <w:r>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highest effort (e.g., mangrove/seagrass plantings, creation of oyster reefs), and enhancement was moderate effort depending on the activity (e.g., hydrologic restoration for wetlands, exotic species control).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chlorophyll-a reductions independent of year windows and number of projects.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and contribute towards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Monitoring water quality improvements after a short period of time since project completion and with fewer projects (e.g., 5 year window, 5 closest projects) may be more efficient than those where improvements are observed after longer periods of time and with more projects (e.g., 10 year window, 10 closest projects), dependent on the project type. Given this logic, both habitat protection and point source controls could potentially provide the greatest measured water quality benefits for the least cost, whereas other projects provide lesser improvements, require more time to confer water quality benefits (e.g., full maturation of a habitat enhancement/establishment site), and require more projects to be implemented to contribute to significant water quality improvements (e.g., implementing many nonpoint source controls across a watershed). However, this approach assumes that immediate downstream water quality improvements with minimal effort are the primary restoration objectives and implicitly discounts the long-term effects that may or may not persist for a given project type or regional restoration challenges. Likewise, other restoration objectives may be a primary driver for pursuing a particular project type (e.g. increasing biodiversity, improving fish and wildlife habitats, etc.).</w:t>
      </w:r>
    </w:p>
    <w:p>
      <w:pPr>
        <w:pStyle w:val="BodyText"/>
      </w:pPr>
      <w:r>
        <w:t xml:space="preserve">Conclusions from our approach may also be sensitive to system hysteresis. An initial improvement of water quality associated with a particular project may be obfuscated by chronic degraded conditions, if additional restoration projects that directly address the underlying problem are not pursued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when ten projects were implemented; reductions in chlorophyll-a were not shown to persist at the ten year window.</w:t>
      </w:r>
    </w:p>
    <w:p>
      <w:pPr>
        <w:pStyle w:val="Heading2"/>
      </w:pPr>
      <w:bookmarkStart w:id="42" w:name="assumptions-and-limitations"/>
      <w:r>
        <w:t xml:space="preserve">Assumptions and limitations</w:t>
      </w:r>
      <w:bookmarkEnd w:id="42"/>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certainty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critical to inform and sustain environmental restoration programs.</w:t>
      </w:r>
    </w:p>
    <w:p>
      <w:pPr>
        <w:pStyle w:val="BodyText"/>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w:t>
      </w:r>
      <w:r>
        <w:t xml:space="preserve"> </w:t>
      </w:r>
      <w:r>
        <w:t xml:space="preserve">(e.g., improvements from point source controls, Greening et al.</w:t>
      </w:r>
      <w:r>
        <w:t xml:space="preserve"> </w:t>
      </w:r>
      <w:hyperlink w:anchor="ref-Greening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additional assurance and weight of evidence that our approach improves our understanding of restoration effectiveness beyond basic relationships presented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approach provides</w:t>
      </w:r>
      <w:r>
        <w:t xml:space="preserve"> </w:t>
      </w:r>
      <w:r>
        <w:t xml:space="preserve">(i.e., a 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a practitioner could use the following logic derived from our approach to guide future restoration efforts. Figure</w:t>
      </w:r>
      <w:r>
        <w:t xml:space="preserve"> </w:t>
      </w:r>
      <w:r>
        <w:t xml:space="preserve">7</w:t>
      </w:r>
      <w:r>
        <w:t xml:space="preserve"> </w:t>
      </w:r>
      <w:r>
        <w:t xml:space="preserve">suggests that point source controls were responsible for an approximate baywide chlorophyll-a reduction of 2</w:t>
      </w:r>
      <w:r>
        <w:t xml:space="preserve"> </w:t>
      </w:r>
      <m:oMath>
        <m: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w:t>
      </w:r>
      <w:r>
        <w:t xml:space="preserve"> </w:t>
      </w:r>
      <m:oMath>
        <m:r>
          <m:t>μ</m:t>
        </m:r>
      </m:oMath>
      <w:r>
        <w:t xml:space="preserve">g/L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Importantly, this latter interpretation assumes causal relationships between the projects and changes in chlorophyll-a. This description is also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Point source control projects are</w:t>
      </w:r>
      <w:r>
        <w:t xml:space="preserve"> </w:t>
      </w:r>
      <w:r>
        <w:t xml:space="preserve">“</w:t>
      </w:r>
      <w:r>
        <w:t xml:space="preserve">more effective</w:t>
      </w:r>
      <w:r>
        <w:t xml:space="preserve">”</w:t>
      </w:r>
      <w:r>
        <w:t xml:space="preserve"> </w:t>
      </w:r>
      <w:r>
        <w:t xml:space="preserve">in improving downstream water quality because improvements are expected</w:t>
      </w:r>
      <w:r>
        <w:t xml:space="preserve"> </w:t>
      </w:r>
      <w:r>
        <w:t xml:space="preserve">“</w:t>
      </w:r>
      <w:r>
        <w:t xml:space="preserve">quicker</w:t>
      </w:r>
      <w:r>
        <w:t xml:space="preserve">”</w:t>
      </w:r>
      <w:r>
        <w:t xml:space="preserve"> </w:t>
      </w:r>
      <w:r>
        <w:t xml:space="preserve">and with</w:t>
      </w:r>
      <w:r>
        <w:t xml:space="preserve"> </w:t>
      </w:r>
      <w:r>
        <w:t xml:space="preserve">“</w:t>
      </w:r>
      <w:r>
        <w:t xml:space="preserve">fewer</w:t>
      </w:r>
      <w:r>
        <w:t xml:space="preserve">”</w:t>
      </w:r>
      <w:r>
        <w:t xml:space="preserve"> </w:t>
      </w:r>
      <w:r>
        <w:t xml:space="preserve">implemented projects,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especially in historic contexts.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results. Application to additional systems would require, at minimum, water quality observations spanning multiple years and a similar dataset of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 - from a single monitoring station to a regional monitoring network.</w:t>
      </w:r>
    </w:p>
    <w:p>
      <w:pPr>
        <w:pStyle w:val="Heading2"/>
      </w:pPr>
      <w:bookmarkStart w:id="43" w:name="conclusions"/>
      <w:r>
        <w:t xml:space="preserve">Conclusions</w:t>
      </w:r>
      <w:bookmarkEnd w:id="43"/>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necessary time to monitor any observed downstream water quality benefits at local to watershed scales. Overall, we demonstrated a baywide association of water quality changes to different restoration activities that varied by project type, while refining parameters for estimating the results, including the spatial context of interpretation. The flexibility of our approach has potentially broad application and extension within the Gulf Coast restoration and management community.</w:t>
      </w:r>
    </w:p>
    <w:p>
      <w:pPr>
        <w:pStyle w:val="BodyText"/>
      </w:pPr>
      <w:r>
        <w:t xml:space="preserve">Our approach is not without limitations and future research could build on the methods to provide an improved assessment of restoration effectiveness. Our geospatial analyses were relatively simple, in that spatial matchings were accomplished through Euclidean distances. Alternative distance measures could also be used that consider hydrologic distances following flow networks in the watershed. The importance of these approaches could provide insight into pollutant dispersal patterns in environments with low elevation gradients, such as Florida. Weighting restoration projects by relative effort could also facilitate an improved assessment of effectiveness, such as considering total restoration area as an important variable to consider for water quality improvements. Some of these data were available in our compiled dataset, although coverage was insufficient for a complete analysis. Finally, the social and human dimensions of different restoration projects were not considered herein but are important factors that can be equally or even more important determinants of success that must be considered when weighing restoration options. Future work should adopt a more comprehensive evaluation of success measures that extends beyond water quality improvements.</w:t>
      </w:r>
    </w:p>
    <w:p>
      <w:pPr>
        <w:pStyle w:val="Heading1"/>
      </w:pPr>
      <w:bookmarkStart w:id="44" w:name="supplement"/>
      <w:r>
        <w:t xml:space="preserve">Supplement</w:t>
      </w:r>
      <w:bookmarkEnd w:id="44"/>
    </w:p>
    <w:p>
      <w:pPr>
        <w:pStyle w:val="FirstParagraph"/>
      </w:pPr>
      <w:r>
        <w:t xml:space="preserve">Data analysis frameworks and manuscript source materials available at</w:t>
      </w:r>
      <w:r>
        <w:t xml:space="preserve"> </w:t>
      </w:r>
      <w:hyperlink r:id="rId45">
        <w:r>
          <w:rPr>
            <w:rStyle w:val="Hyperlink"/>
          </w:rPr>
          <w:t xml:space="preserve">DOI:10.5281/zenodo.2539623</w:t>
        </w:r>
      </w:hyperlink>
      <w:r>
        <w:t xml:space="preserve">.</w:t>
      </w:r>
    </w:p>
    <w:p>
      <w:pPr>
        <w:pStyle w:val="Heading1"/>
      </w:pPr>
      <w:bookmarkStart w:id="46" w:name="acknowledgments"/>
      <w:r>
        <w:t xml:space="preserve">Acknowledgments</w:t>
      </w:r>
      <w:bookmarkEnd w:id="46"/>
    </w:p>
    <w:p>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pPr>
        <w:pStyle w:val="Heading1"/>
      </w:pPr>
      <w:bookmarkStart w:id="47" w:name="figures"/>
      <w:r>
        <w:t xml:space="preserve">Figures</w:t>
      </w:r>
      <w:bookmarkEnd w:id="47"/>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9"/>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categories." title="" id="1" name="Picture"/>
            <a:graphic>
              <a:graphicData uri="http://schemas.openxmlformats.org/drawingml/2006/picture">
                <pic:pic>
                  <pic:nvPicPr>
                    <pic:cNvPr descr="figs/tmmtch.png" id="0" name="Picture"/>
                    <pic:cNvPicPr>
                      <a:picLocks noChangeArrowheads="1" noChangeAspect="1"/>
                    </pic:cNvPicPr>
                  </pic:nvPicPr>
                  <pic:blipFill>
                    <a:blip r:embed="rId51"/>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categories.</w:t>
      </w:r>
    </w:p>
    <w:p>
      <w:pPr>
        <w:pStyle w:val="CaptionedFigure"/>
      </w:pPr>
      <w:r>
        <w:drawing>
          <wp:inline>
            <wp:extent cx="5943600" cy="7167282"/>
            <wp:effectExtent b="0" l="0" r="0" t="0"/>
            <wp:docPr descr="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2"/>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3"/>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chlorophyll-a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4"/>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pPr>
        <w:pStyle w:val="Heading1"/>
      </w:pPr>
      <w:bookmarkStart w:id="55" w:name="tables"/>
      <w:r>
        <w:t xml:space="preserve">Tables</w:t>
      </w:r>
      <w:bookmarkEnd w:id="55"/>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chlorophyll-a changes for different segments of Tampa Bay (Figure</w:t>
      </w:r>
      <w:r>
        <w:rPr>
          <w:i/>
        </w:rPr>
        <w:t xml:space="preserve"> </w:t>
      </w:r>
      <w:r>
        <w:rPr>
          <w:i/>
        </w:rPr>
        <w:t xml:space="preserve">1</w:t>
      </w:r>
      <w:r>
        <w:rPr>
          <w:i/>
        </w:rPr>
        <w:t xml:space="preserve">).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w:t>
      </w:r>
      <w:r>
        <w:t xml:space="preserve">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6" w:name="references"/>
      <w:r>
        <w:t xml:space="preserve">References</w:t>
      </w:r>
      <w:bookmarkEnd w:id="56"/>
    </w:p>
    <w:bookmarkStart w:id="133" w:name="refs"/>
    <w:bookmarkStart w:id="58"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e1229. doi:</w:t>
      </w:r>
      <w:hyperlink r:id="rId57">
        <w:r>
          <w:rPr>
            <w:rStyle w:val="Hyperlink"/>
          </w:rPr>
          <w:t xml:space="preserve">10.1002/wat2.1229</w:t>
        </w:r>
      </w:hyperlink>
      <w:r>
        <w:t xml:space="preserve">.</w:t>
      </w:r>
    </w:p>
    <w:bookmarkEnd w:id="58"/>
    <w:bookmarkStart w:id="60"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154–158. doi:</w:t>
      </w:r>
      <w:hyperlink r:id="rId59">
        <w:r>
          <w:rPr>
            <w:rStyle w:val="Hyperlink"/>
          </w:rPr>
          <w:t xml:space="preserve">10.1111/j.1526-100X.2005.00019.x</w:t>
        </w:r>
      </w:hyperlink>
      <w:r>
        <w:t xml:space="preserve">.</w:t>
      </w:r>
    </w:p>
    <w:bookmarkEnd w:id="60"/>
    <w:bookmarkStart w:id="62"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1055–1074. doi:</w:t>
      </w:r>
      <w:hyperlink r:id="rId61">
        <w:r>
          <w:rPr>
            <w:rStyle w:val="Hyperlink"/>
          </w:rPr>
          <w:t xml:space="preserve">10.1890/15-1077</w:t>
        </w:r>
      </w:hyperlink>
      <w:r>
        <w:t xml:space="preserve">.</w:t>
      </w:r>
    </w:p>
    <w:bookmarkEnd w:id="62"/>
    <w:bookmarkStart w:id="64"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637–655. doi:</w:t>
      </w:r>
      <w:hyperlink r:id="rId63">
        <w:r>
          <w:rPr>
            <w:rStyle w:val="Hyperlink"/>
          </w:rPr>
          <w:t xml:space="preserve">10.1007/s10666-015-9452-8</w:t>
        </w:r>
      </w:hyperlink>
      <w:r>
        <w:t xml:space="preserve">.</w:t>
      </w:r>
    </w:p>
    <w:bookmarkEnd w:id="64"/>
    <w:bookmarkStart w:id="66" w:name="ref-Beck18g"/>
    <w:p>
      <w:pPr>
        <w:pStyle w:val="Bibliography"/>
      </w:pPr>
      <w:r>
        <w:t xml:space="preserve">Beck, M. W., J. D. Hagy III, and C. Le. 2018. Quantifying seagrass light requirements using an algorithm to spatially resolve depth of colonization.</w:t>
      </w:r>
      <w:r>
        <w:t xml:space="preserve"> </w:t>
      </w:r>
      <w:r>
        <w:rPr>
          <w:i/>
        </w:rPr>
        <w:t xml:space="preserve">Estuaries and Coasts</w:t>
      </w:r>
      <w:r>
        <w:t xml:space="preserve"> </w:t>
      </w:r>
      <w:r>
        <w:t xml:space="preserve">41: 592–610. doi:</w:t>
      </w:r>
      <w:hyperlink r:id="rId65">
        <w:r>
          <w:rPr>
            <w:rStyle w:val="Hyperlink"/>
          </w:rPr>
          <w:t xml:space="preserve">10.1007/s12237-017-0287-1</w:t>
        </w:r>
      </w:hyperlink>
      <w:r>
        <w:t xml:space="preserve">.</w:t>
      </w:r>
    </w:p>
    <w:bookmarkEnd w:id="66"/>
    <w:bookmarkStart w:id="68"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28–51. doi:</w:t>
      </w:r>
      <w:hyperlink r:id="rId67">
        <w:r>
          <w:rPr>
            <w:rStyle w:val="Hyperlink"/>
          </w:rPr>
          <w:t xml:space="preserve">10.1016/j.marpolbul.2016.06.027</w:t>
        </w:r>
      </w:hyperlink>
      <w:r>
        <w:t xml:space="preserve">.</w:t>
      </w:r>
    </w:p>
    <w:bookmarkEnd w:id="68"/>
    <w:bookmarkStart w:id="70"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 1249–1260. doi:</w:t>
      </w:r>
      <w:hyperlink r:id="rId69">
        <w:r>
          <w:rPr>
            <w:rStyle w:val="Hyperlink"/>
          </w:rPr>
          <w:t xml:space="preserve">10.1007/s12237-010-9347-5</w:t>
        </w:r>
      </w:hyperlink>
      <w:r>
        <w:t xml:space="preserve">.</w:t>
      </w:r>
    </w:p>
    <w:bookmarkEnd w:id="70"/>
    <w:bookmarkStart w:id="72"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 698–711. doi:</w:t>
      </w:r>
      <w:hyperlink r:id="rId71">
        <w:r>
          <w:rPr>
            <w:rStyle w:val="Hyperlink"/>
          </w:rPr>
          <w:t xml:space="preserve">10.1016/j.scitotenv.2016.05.111</w:t>
        </w:r>
      </w:hyperlink>
      <w:r>
        <w:t xml:space="preserve">.</w:t>
      </w:r>
    </w:p>
    <w:bookmarkEnd w:id="72"/>
    <w:bookmarkStart w:id="74" w:name="ref-Curriero06"/>
    <w:p>
      <w:pPr>
        <w:pStyle w:val="Bibliography"/>
      </w:pPr>
      <w:r>
        <w:t xml:space="preserve">Curriero, F. C. 2006. On the use of non-Euclidean distance measures in geostatistics.</w:t>
      </w:r>
      <w:r>
        <w:t xml:space="preserve"> </w:t>
      </w:r>
      <w:r>
        <w:rPr>
          <w:i/>
        </w:rPr>
        <w:t xml:space="preserve">Mathematical Geology</w:t>
      </w:r>
      <w:r>
        <w:t xml:space="preserve"> </w:t>
      </w:r>
      <w:r>
        <w:t xml:space="preserve">38: 907–926. doi:</w:t>
      </w:r>
      <w:hyperlink r:id="rId73">
        <w:r>
          <w:rPr>
            <w:rStyle w:val="Hyperlink"/>
          </w:rPr>
          <w:t xml:space="preserve">10.1007/s11004-006-9055-7</w:t>
        </w:r>
      </w:hyperlink>
      <w:r>
        <w:t xml:space="preserve">.</w:t>
      </w:r>
    </w:p>
    <w:bookmarkEnd w:id="74"/>
    <w:bookmarkStart w:id="76"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e01242. doi:</w:t>
      </w:r>
      <w:hyperlink r:id="rId75">
        <w:r>
          <w:rPr>
            <w:rStyle w:val="Hyperlink"/>
          </w:rPr>
          <w:t xml:space="preserve">10.1002/ecs2.1242</w:t>
        </w:r>
      </w:hyperlink>
      <w:r>
        <w:t xml:space="preserve">.</w:t>
      </w:r>
    </w:p>
    <w:bookmarkEnd w:id="76"/>
    <w:bookmarkStart w:id="78"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111–132. doi:</w:t>
      </w:r>
      <w:hyperlink r:id="rId77">
        <w:r>
          <w:rPr>
            <w:rStyle w:val="Hyperlink"/>
          </w:rPr>
          <w:t xml:space="preserve">10.3368/er.29.1-2.111</w:t>
        </w:r>
      </w:hyperlink>
      <w:r>
        <w:t xml:space="preserve">.</w:t>
      </w:r>
    </w:p>
    <w:bookmarkEnd w:id="78"/>
    <w:bookmarkStart w:id="80"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307–316. doi:</w:t>
      </w:r>
      <w:hyperlink r:id="rId79">
        <w:r>
          <w:rPr>
            <w:rStyle w:val="Hyperlink"/>
          </w:rPr>
          <w:t xml:space="preserve">10.1002/fee.1282</w:t>
        </w:r>
      </w:hyperlink>
      <w:r>
        <w:t xml:space="preserve">.</w:t>
      </w:r>
    </w:p>
    <w:bookmarkEnd w:id="80"/>
    <w:bookmarkStart w:id="82" w:name="ref-Gardner11"/>
    <w:p>
      <w:pPr>
        <w:pStyle w:val="Bibliography"/>
      </w:pPr>
      <w:r>
        <w:t xml:space="preserve">Gardner, B., P. J. Sullivan, and A. J. Lembo. 2011. Predicting stream temperatures: Geostatistical model comparison using alternative distance measures.</w:t>
      </w:r>
      <w:r>
        <w:t xml:space="preserve"> </w:t>
      </w:r>
      <w:r>
        <w:rPr>
          <w:i/>
        </w:rPr>
        <w:t xml:space="preserve">Canadian Journal of Fisheries and Aquatic Sciences</w:t>
      </w:r>
      <w:r>
        <w:t xml:space="preserve"> </w:t>
      </w:r>
      <w:r>
        <w:t xml:space="preserve">60: 344–351. doi:</w:t>
      </w:r>
      <w:hyperlink r:id="rId81">
        <w:r>
          <w:rPr>
            <w:rStyle w:val="Hyperlink"/>
          </w:rPr>
          <w:t xml:space="preserve">10.1139/f03-025</w:t>
        </w:r>
      </w:hyperlink>
      <w:r>
        <w:t xml:space="preserve">.</w:t>
      </w:r>
    </w:p>
    <w:bookmarkEnd w:id="82"/>
    <w:bookmarkStart w:id="83" w:name="ref-GCERC13"/>
    <w:p>
      <w:pPr>
        <w:pStyle w:val="Bibliography"/>
      </w:pPr>
      <w:r>
        <w:t xml:space="preserve">GCERC (Gulf Coast Ecosystem Restoration Council). 2013. Comprehensive plan: Restoring the Gulf Coast’s ecosystem and economy.</w:t>
      </w:r>
    </w:p>
    <w:bookmarkEnd w:id="83"/>
    <w:bookmarkStart w:id="84" w:name="ref-GCERC16"/>
    <w:p>
      <w:pPr>
        <w:pStyle w:val="Bibliography"/>
      </w:pPr>
      <w:r>
        <w:t xml:space="preserve">GCERC (Gulf Coast Ecosystem Restoration Council). 2016. Comprehensive plan: Update 2016, restoring the Gulf Coast’s ecosystem and economy.</w:t>
      </w:r>
    </w:p>
    <w:bookmarkEnd w:id="84"/>
    <w:bookmarkStart w:id="85"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85"/>
    <w:bookmarkStart w:id="86" w:name="ref-Greening06"/>
    <w:p>
      <w:pPr>
        <w:pStyle w:val="Bibliography"/>
      </w:pPr>
      <w:r>
        <w:t xml:space="preserve">Greening, H., and A. Janicki. 2006. Toward reversal of eutrophic conditions in a subtrophical estuary: Water quality and seagrass response to nitrogen loading reductions in Tampa Bay, Florida, USA.</w:t>
      </w:r>
      <w:r>
        <w:t xml:space="preserve"> </w:t>
      </w:r>
      <w:r>
        <w:rPr>
          <w:i/>
        </w:rPr>
        <w:t xml:space="preserve">Environmental Management</w:t>
      </w:r>
      <w:r>
        <w:t xml:space="preserve"> </w:t>
      </w:r>
      <w:r>
        <w:t xml:space="preserve">38: 163–178.</w:t>
      </w:r>
    </w:p>
    <w:bookmarkEnd w:id="86"/>
    <w:bookmarkStart w:id="88"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877–879. doi:</w:t>
      </w:r>
      <w:hyperlink r:id="rId87">
        <w:r>
          <w:rPr>
            <w:rStyle w:val="Hyperlink"/>
          </w:rPr>
          <w:t xml:space="preserve">10.1007/BF02798646</w:t>
        </w:r>
      </w:hyperlink>
      <w:r>
        <w:t xml:space="preserve">.</w:t>
      </w:r>
    </w:p>
    <w:bookmarkEnd w:id="88"/>
    <w:bookmarkStart w:id="90" w:name="ref-Greening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A1–A16. doi:</w:t>
      </w:r>
      <w:hyperlink r:id="rId89">
        <w:r>
          <w:rPr>
            <w:rStyle w:val="Hyperlink"/>
          </w:rPr>
          <w:t xml:space="preserve">10.1016/j.ecss.2014.10.003</w:t>
        </w:r>
      </w:hyperlink>
      <w:r>
        <w:t xml:space="preserve">.</w:t>
      </w:r>
    </w:p>
    <w:bookmarkEnd w:id="90"/>
    <w:bookmarkStart w:id="92"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259–267. doi:</w:t>
      </w:r>
      <w:hyperlink r:id="rId91">
        <w:r>
          <w:rPr>
            <w:rStyle w:val="Hyperlink"/>
          </w:rPr>
          <w:t xml:space="preserve">10.1890/1540-9295(2005)003[0259:RWPBPT]2.0.CO;2</w:t>
        </w:r>
      </w:hyperlink>
      <w:r>
        <w:t xml:space="preserve">.</w:t>
      </w:r>
    </w:p>
    <w:bookmarkEnd w:id="92"/>
    <w:bookmarkStart w:id="94"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239–246. doi:</w:t>
      </w:r>
      <w:hyperlink r:id="rId93">
        <w:r>
          <w:rPr>
            <w:rStyle w:val="Hyperlink"/>
          </w:rPr>
          <w:t xml:space="preserve">10.1046/j.1526-100x.2001.009002239.x</w:t>
        </w:r>
      </w:hyperlink>
      <w:r>
        <w:t xml:space="preserve">.</w:t>
      </w:r>
    </w:p>
    <w:bookmarkEnd w:id="94"/>
    <w:bookmarkStart w:id="95" w:name="ref-Janicki99"/>
    <w:p>
      <w:pPr>
        <w:pStyle w:val="Bibliography"/>
      </w:pPr>
      <w:r>
        <w:t xml:space="preserve">Janicki, A., D. Wade, and J. R. Pribble. 1999.</w:t>
      </w:r>
      <w:r>
        <w:t xml:space="preserve"> </w:t>
      </w:r>
      <w:r>
        <w:rPr>
          <w:i/>
        </w:rPr>
        <w:t xml:space="preserve">Development of a process to track the status of chlorophyll and light attenuation to support seagrass restoration goals in Tampa Bay</w:t>
      </w:r>
      <w:r>
        <w:t xml:space="preserve">. 04-00. St. Petersburg, Florida: Tampa Bay National Estuary Program.</w:t>
      </w:r>
    </w:p>
    <w:bookmarkEnd w:id="95"/>
    <w:bookmarkStart w:id="96"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157–176.</w:t>
      </w:r>
    </w:p>
    <w:bookmarkEnd w:id="96"/>
    <w:bookmarkStart w:id="97"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 1199–1215.</w:t>
      </w:r>
    </w:p>
    <w:bookmarkEnd w:id="97"/>
    <w:bookmarkStart w:id="99" w:name="ref-Lewis98"/>
    <w:p>
      <w:pPr>
        <w:pStyle w:val="Bibliography"/>
      </w:pPr>
      <w:r>
        <w:t xml:space="preserve">Lewis, R. R., P. A. Clark, W. K. Fehring, H. S. Greening, R. O. Johansson, and R. T. Paul. 1998. The rehabilitation of Tampa Bay Estuary, Florida, USA, as an example of successful integrated coastal management.</w:t>
      </w:r>
      <w:r>
        <w:t xml:space="preserve"> </w:t>
      </w:r>
      <w:r>
        <w:rPr>
          <w:i/>
        </w:rPr>
        <w:t xml:space="preserve">Marine Pollution Bulletin</w:t>
      </w:r>
      <w:r>
        <w:t xml:space="preserve"> </w:t>
      </w:r>
      <w:r>
        <w:t xml:space="preserve">37: 468–473. doi:</w:t>
      </w:r>
      <w:hyperlink r:id="rId98">
        <w:r>
          <w:rPr>
            <w:rStyle w:val="Hyperlink"/>
          </w:rPr>
          <w:t xml:space="preserve">10.1016/S0025-326X(99)00139-3</w:t>
        </w:r>
      </w:hyperlink>
      <w:r>
        <w:t xml:space="preserve">.</w:t>
      </w:r>
    </w:p>
    <w:bookmarkEnd w:id="99"/>
    <w:bookmarkStart w:id="101"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 386–392. doi:</w:t>
      </w:r>
      <w:hyperlink r:id="rId100">
        <w:r>
          <w:rPr>
            <w:rStyle w:val="Hyperlink"/>
          </w:rPr>
          <w:t xml:space="preserve">10.1016/j.scitotenv.2019.01.125</w:t>
        </w:r>
      </w:hyperlink>
      <w:r>
        <w:t xml:space="preserve">.</w:t>
      </w:r>
    </w:p>
    <w:bookmarkEnd w:id="101"/>
    <w:bookmarkStart w:id="103"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85–96. doi:</w:t>
      </w:r>
      <w:hyperlink r:id="rId102">
        <w:r>
          <w:rPr>
            <w:rStyle w:val="Hyperlink"/>
          </w:rPr>
          <w:t xml:space="preserve">10.2134/jeq2009.0108</w:t>
        </w:r>
      </w:hyperlink>
      <w:r>
        <w:t xml:space="preserve">.</w:t>
      </w:r>
    </w:p>
    <w:bookmarkEnd w:id="103"/>
    <w:bookmarkStart w:id="104"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926–931.</w:t>
      </w:r>
    </w:p>
    <w:bookmarkEnd w:id="104"/>
    <w:bookmarkStart w:id="106"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 doi:</w:t>
      </w:r>
      <w:hyperlink r:id="rId105">
        <w:r>
          <w:rPr>
            <w:rStyle w:val="Hyperlink"/>
          </w:rPr>
          <w:t xml:space="preserve">10.17226/23476</w:t>
        </w:r>
      </w:hyperlink>
      <w:r>
        <w:t xml:space="preserve">.</w:t>
      </w:r>
    </w:p>
    <w:bookmarkEnd w:id="106"/>
    <w:bookmarkStart w:id="108"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556–563. doi:</w:t>
      </w:r>
      <w:hyperlink r:id="rId107">
        <w:r>
          <w:rPr>
            <w:rStyle w:val="Hyperlink"/>
          </w:rPr>
          <w:t xml:space="preserve">10.1046/j.1526-100X.2002.02033.x</w:t>
        </w:r>
      </w:hyperlink>
      <w:r>
        <w:t xml:space="preserve">.</w:t>
      </w:r>
    </w:p>
    <w:bookmarkEnd w:id="108"/>
    <w:bookmarkStart w:id="109"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109"/>
    <w:bookmarkStart w:id="110" w:name="ref-Poe05"/>
    <w:p>
      <w:pPr>
        <w:pStyle w:val="Bibliography"/>
      </w:pPr>
      <w:r>
        <w:t xml:space="preserve">Poe, A., K. Hackett, S. Janicki, R. Pribble, and A. Janicki. 2005.</w:t>
      </w:r>
      <w:r>
        <w:t xml:space="preserve"> </w:t>
      </w:r>
      <w:r>
        <w:rPr>
          <w:i/>
        </w:rPr>
        <w:t xml:space="preserve">Estimates of total nitrogen, total phosphorus, total suspended solids, and biochemical oxygen demand loadings to Tampa Bay, Florida: 1999-2003</w:t>
      </w:r>
      <w:r>
        <w:t xml:space="preserve">. #02-05. St. Petersburg, Florida, USA: Tampa Bay Estuary Program.</w:t>
      </w:r>
    </w:p>
    <w:bookmarkEnd w:id="110"/>
    <w:bookmarkStart w:id="112"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58–79. doi:</w:t>
      </w:r>
      <w:hyperlink r:id="rId111">
        <w:r>
          <w:rPr>
            <w:rStyle w:val="Hyperlink"/>
          </w:rPr>
          <w:t xml:space="preserve">10.1093/reep/ret024</w:t>
        </w:r>
      </w:hyperlink>
      <w:r>
        <w:t xml:space="preserve">.</w:t>
      </w:r>
    </w:p>
    <w:bookmarkEnd w:id="112"/>
    <w:bookmarkStart w:id="113" w:name="ref-RDCT18"/>
    <w:p>
      <w:pPr>
        <w:pStyle w:val="Bibliography"/>
      </w:pPr>
      <w:r>
        <w:t xml:space="preserve">RDCT (R Development Core Team). 2018. R: A language and environment for statistical computing, v3.5.1. R Foundation for Statistical Computing, Vienna, Austria.</w:t>
      </w:r>
    </w:p>
    <w:bookmarkEnd w:id="113"/>
    <w:bookmarkStart w:id="115" w:name="ref-Ruiz05"/>
    <w:p>
      <w:pPr>
        <w:pStyle w:val="Bibliography"/>
      </w:pPr>
      <w:r>
        <w:t xml:space="preserve">Ruiz-Jaen, M. C., and T. M. Aide. 2005. Restoration success: How is it being measured?</w:t>
      </w:r>
      <w:r>
        <w:t xml:space="preserve"> </w:t>
      </w:r>
      <w:r>
        <w:rPr>
          <w:i/>
        </w:rPr>
        <w:t xml:space="preserve">Restoration Ecology</w:t>
      </w:r>
      <w:r>
        <w:t xml:space="preserve"> </w:t>
      </w:r>
      <w:r>
        <w:t xml:space="preserve">13: 569–577. doi:</w:t>
      </w:r>
      <w:hyperlink r:id="rId114">
        <w:r>
          <w:rPr>
            <w:rStyle w:val="Hyperlink"/>
          </w:rPr>
          <w:t xml:space="preserve">10.1111/j.1526-100X.2005.00072.x</w:t>
        </w:r>
      </w:hyperlink>
      <w:r>
        <w:t xml:space="preserve">.</w:t>
      </w:r>
    </w:p>
    <w:bookmarkEnd w:id="115"/>
    <w:bookmarkStart w:id="116"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 591–596.</w:t>
      </w:r>
    </w:p>
    <w:bookmarkEnd w:id="116"/>
    <w:bookmarkStart w:id="117" w:name="ref-Schiff16"/>
    <w:p>
      <w:pPr>
        <w:pStyle w:val="Bibliography"/>
      </w:pPr>
      <w:r>
        <w:t xml:space="preserve">Schiff, K., P. R. Trowbridge, E. T. Sherwood, P. Tango, and R. 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 A1–A7.</w:t>
      </w:r>
    </w:p>
    <w:bookmarkEnd w:id="117"/>
    <w:bookmarkStart w:id="119"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 1–11. doi:</w:t>
      </w:r>
      <w:hyperlink r:id="rId118">
        <w:r>
          <w:rPr>
            <w:rStyle w:val="Hyperlink"/>
          </w:rPr>
          <w:t xml:space="preserve">10.1016/j.rsma.2015.05.005</w:t>
        </w:r>
      </w:hyperlink>
      <w:r>
        <w:t xml:space="preserve">.</w:t>
      </w:r>
    </w:p>
    <w:bookmarkEnd w:id="119"/>
    <w:bookmarkStart w:id="120"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294–319.</w:t>
      </w:r>
    </w:p>
    <w:bookmarkEnd w:id="120"/>
    <w:bookmarkStart w:id="122" w:name="ref-Sickle08"/>
    <w:p>
      <w:pPr>
        <w:pStyle w:val="Bibliography"/>
      </w:pPr>
      <w:r>
        <w:t xml:space="preserve">Sickle, J. Van, and C. B. Johnson. 2008. Parametric distance weighting of landscape influence on streams.</w:t>
      </w:r>
      <w:r>
        <w:t xml:space="preserve"> </w:t>
      </w:r>
      <w:r>
        <w:rPr>
          <w:i/>
        </w:rPr>
        <w:t xml:space="preserve">Landscape Ecology</w:t>
      </w:r>
      <w:r>
        <w:t xml:space="preserve"> </w:t>
      </w:r>
      <w:r>
        <w:t xml:space="preserve">23: 427–438. doi:</w:t>
      </w:r>
      <w:hyperlink r:id="rId121">
        <w:r>
          <w:rPr>
            <w:rStyle w:val="Hyperlink"/>
          </w:rPr>
          <w:t xml:space="preserve">10.1007/s10980-008-9200-4</w:t>
        </w:r>
      </w:hyperlink>
      <w:r>
        <w:t xml:space="preserve">.</w:t>
      </w:r>
    </w:p>
    <w:bookmarkEnd w:id="122"/>
    <w:bookmarkStart w:id="123" w:name="ref-Springer60"/>
    <w:p>
      <w:pPr>
        <w:pStyle w:val="Bibliography"/>
      </w:pPr>
      <w:r>
        <w:t xml:space="preserve">Springer, V. G., and K. D. Woodburn. 1960.</w:t>
      </w:r>
      <w:r>
        <w:t xml:space="preserve"> </w:t>
      </w:r>
      <w:r>
        <w:rPr>
          <w:i/>
        </w:rPr>
        <w:t xml:space="preserve">An ecological study of the fishes of the Tampa Bay area</w:t>
      </w:r>
      <w:r>
        <w:t xml:space="preserve">. Professional Papers Series Number One. St. Petersburg, Florida: Florida State Board of Conservation, Marine Laboratory.</w:t>
      </w:r>
    </w:p>
    <w:bookmarkEnd w:id="123"/>
    <w:bookmarkStart w:id="125"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373–382. doi:</w:t>
      </w:r>
      <w:hyperlink r:id="rId124">
        <w:r>
          <w:rPr>
            <w:rStyle w:val="Hyperlink"/>
          </w:rPr>
          <w:t xml:space="preserve">10.1016/S0025-326X(99)00074-0</w:t>
        </w:r>
      </w:hyperlink>
      <w:r>
        <w:t xml:space="preserve">.</w:t>
      </w:r>
    </w:p>
    <w:bookmarkEnd w:id="125"/>
    <w:bookmarkStart w:id="126" w:name="ref-SWFWMD18"/>
    <w:p>
      <w:pPr>
        <w:pStyle w:val="Bibliography"/>
      </w:pPr>
      <w:r>
        <w:t xml:space="preserve">SWFWMD (Southwest Florida Water Management District). 2018. Southwest Florida Water Management District Geospatial Open Data Portal.</w:t>
      </w:r>
    </w:p>
    <w:bookmarkEnd w:id="126"/>
    <w:bookmarkStart w:id="127" w:name="ref-TBEP17"/>
    <w:p>
      <w:pPr>
        <w:pStyle w:val="Bibliography"/>
      </w:pPr>
      <w:r>
        <w:t xml:space="preserve">TBEP (Tampa Bay Estuary Program). 2017. Tampa Bay Water Atlas.</w:t>
      </w:r>
    </w:p>
    <w:bookmarkEnd w:id="127"/>
    <w:bookmarkStart w:id="128"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1–20.</w:t>
      </w:r>
    </w:p>
    <w:bookmarkEnd w:id="128"/>
    <w:bookmarkStart w:id="130" w:name="ref-Wortley13"/>
    <w:p>
      <w:pPr>
        <w:pStyle w:val="Bibliography"/>
      </w:pPr>
      <w:r>
        <w:t xml:space="preserve">Wortley, L., J. M. Hero, and M. Howes. 2013. Evaluating ecological restoration success: A review of the literature.</w:t>
      </w:r>
      <w:r>
        <w:t xml:space="preserve"> </w:t>
      </w:r>
      <w:r>
        <w:rPr>
          <w:i/>
        </w:rPr>
        <w:t xml:space="preserve">Restoration Ecology</w:t>
      </w:r>
      <w:r>
        <w:t xml:space="preserve"> </w:t>
      </w:r>
      <w:r>
        <w:t xml:space="preserve">21: 537–543. doi:</w:t>
      </w:r>
      <w:hyperlink r:id="rId129">
        <w:r>
          <w:rPr>
            <w:rStyle w:val="Hyperlink"/>
          </w:rPr>
          <w:t xml:space="preserve">10.1111/rec.12028</w:t>
        </w:r>
      </w:hyperlink>
      <w:r>
        <w:t xml:space="preserve">.</w:t>
      </w:r>
    </w:p>
    <w:bookmarkEnd w:id="130"/>
    <w:bookmarkStart w:id="132" w:name="ref-Zedler07"/>
    <w:p>
      <w:pPr>
        <w:pStyle w:val="Bibliography"/>
      </w:pPr>
      <w:r>
        <w:t xml:space="preserve">Zedler, J. B. 2007. Success: An unclear, subjective descriptor of restoration outcomes.</w:t>
      </w:r>
      <w:r>
        <w:t xml:space="preserve"> </w:t>
      </w:r>
      <w:r>
        <w:rPr>
          <w:i/>
        </w:rPr>
        <w:t xml:space="preserve">Ecological Restoration</w:t>
      </w:r>
      <w:r>
        <w:t xml:space="preserve"> </w:t>
      </w:r>
      <w:r>
        <w:t xml:space="preserve">25: 162–168. doi:</w:t>
      </w:r>
      <w:hyperlink r:id="rId131">
        <w:r>
          <w:rPr>
            <w:rStyle w:val="Hyperlink"/>
          </w:rPr>
          <w:t xml:space="preserve">10.3368/er.25.3.162</w:t>
        </w:r>
      </w:hyperlink>
      <w:r>
        <w:t xml:space="preserve">.</w:t>
      </w:r>
    </w:p>
    <w:bookmarkEnd w:id="132"/>
    <w:bookmarkEnd w:id="13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5" Target="https://doi.org/10.1002/ecs2.1242" TargetMode="External" /><Relationship Type="http://schemas.openxmlformats.org/officeDocument/2006/relationships/hyperlink" Id="rId79"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7"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121" Target="https://doi.org/10.1007/s10980-008-9200-4" TargetMode="External" /><Relationship Type="http://schemas.openxmlformats.org/officeDocument/2006/relationships/hyperlink" Id="rId73" Target="https://doi.org/10.1007/s11004-006-9055-7" TargetMode="External" /><Relationship Type="http://schemas.openxmlformats.org/officeDocument/2006/relationships/hyperlink" Id="rId69" Target="https://doi.org/10.1007/s12237-010-9347-5" TargetMode="External" /><Relationship Type="http://schemas.openxmlformats.org/officeDocument/2006/relationships/hyperlink" Id="rId65" Target="https://doi.org/10.1007/s12237-017-0287-1" TargetMode="External" /><Relationship Type="http://schemas.openxmlformats.org/officeDocument/2006/relationships/hyperlink" Id="rId124" Target="https://doi.org/10.1016/S0025-326X(99)00074-0" TargetMode="External" /><Relationship Type="http://schemas.openxmlformats.org/officeDocument/2006/relationships/hyperlink" Id="rId98" Target="https://doi.org/10.1016/S0025-326X(99)00139-3" TargetMode="External" /><Relationship Type="http://schemas.openxmlformats.org/officeDocument/2006/relationships/hyperlink" Id="rId89" Target="https://doi.org/10.1016/j.ecss.2014.10.003" TargetMode="External" /><Relationship Type="http://schemas.openxmlformats.org/officeDocument/2006/relationships/hyperlink" Id="rId67" Target="https://doi.org/10.1016/j.marpolbul.2016.06.027" TargetMode="External" /><Relationship Type="http://schemas.openxmlformats.org/officeDocument/2006/relationships/hyperlink" Id="rId118" Target="https://doi.org/10.1016/j.rsma.2015.05.005" TargetMode="External" /><Relationship Type="http://schemas.openxmlformats.org/officeDocument/2006/relationships/hyperlink" Id="rId71" Target="https://doi.org/10.1016/j.scitotenv.2016.05.111" TargetMode="External" /><Relationship Type="http://schemas.openxmlformats.org/officeDocument/2006/relationships/hyperlink" Id="rId100" Target="https://doi.org/10.1016/j.scitotenv.2019.01.125" TargetMode="External" /><Relationship Type="http://schemas.openxmlformats.org/officeDocument/2006/relationships/hyperlink" Id="rId107" Target="https://doi.org/10.1046/j.1526-100X.2002.02033.x" TargetMode="External" /><Relationship Type="http://schemas.openxmlformats.org/officeDocument/2006/relationships/hyperlink" Id="rId93" Target="https://doi.org/10.1046/j.1526-100x.2001.009002239.x" TargetMode="External" /><Relationship Type="http://schemas.openxmlformats.org/officeDocument/2006/relationships/hyperlink" Id="rId111"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114" Target="https://doi.org/10.1111/j.1526-100X.2005.00072.x" TargetMode="External" /><Relationship Type="http://schemas.openxmlformats.org/officeDocument/2006/relationships/hyperlink" Id="rId129" Target="https://doi.org/10.1111/rec.12028" TargetMode="External" /><Relationship Type="http://schemas.openxmlformats.org/officeDocument/2006/relationships/hyperlink" Id="rId81" Target="https://doi.org/10.1139/f03-025" TargetMode="External" /><Relationship Type="http://schemas.openxmlformats.org/officeDocument/2006/relationships/hyperlink" Id="rId105"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91" Target="https://doi.org/10.1890/1540-9295(2005)003%5B0259:RWPBPT%5D2.0.CO;2" TargetMode="External" /><Relationship Type="http://schemas.openxmlformats.org/officeDocument/2006/relationships/hyperlink" Id="rId102" Target="https://doi.org/10.2134/jeq2009.0108" TargetMode="External" /><Relationship Type="http://schemas.openxmlformats.org/officeDocument/2006/relationships/hyperlink" Id="rId131" Target="https://doi.org/10.3368/er.25.3.162" TargetMode="External" /><Relationship Type="http://schemas.openxmlformats.org/officeDocument/2006/relationships/hyperlink" Id="rId77"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_rels/footnotes.xml.rels><?xml version="1.0" encoding="UTF-8"?>
<Relationships xmlns="http://schemas.openxmlformats.org/package/2006/relationships"><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5" Target="https://doi.org/10.1002/ecs2.1242" TargetMode="External" /><Relationship Type="http://schemas.openxmlformats.org/officeDocument/2006/relationships/hyperlink" Id="rId79"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7"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121" Target="https://doi.org/10.1007/s10980-008-9200-4" TargetMode="External" /><Relationship Type="http://schemas.openxmlformats.org/officeDocument/2006/relationships/hyperlink" Id="rId73" Target="https://doi.org/10.1007/s11004-006-9055-7" TargetMode="External" /><Relationship Type="http://schemas.openxmlformats.org/officeDocument/2006/relationships/hyperlink" Id="rId69" Target="https://doi.org/10.1007/s12237-010-9347-5" TargetMode="External" /><Relationship Type="http://schemas.openxmlformats.org/officeDocument/2006/relationships/hyperlink" Id="rId65" Target="https://doi.org/10.1007/s12237-017-0287-1" TargetMode="External" /><Relationship Type="http://schemas.openxmlformats.org/officeDocument/2006/relationships/hyperlink" Id="rId124" Target="https://doi.org/10.1016/S0025-326X(99)00074-0" TargetMode="External" /><Relationship Type="http://schemas.openxmlformats.org/officeDocument/2006/relationships/hyperlink" Id="rId98" Target="https://doi.org/10.1016/S0025-326X(99)00139-3" TargetMode="External" /><Relationship Type="http://schemas.openxmlformats.org/officeDocument/2006/relationships/hyperlink" Id="rId89" Target="https://doi.org/10.1016/j.ecss.2014.10.003" TargetMode="External" /><Relationship Type="http://schemas.openxmlformats.org/officeDocument/2006/relationships/hyperlink" Id="rId67" Target="https://doi.org/10.1016/j.marpolbul.2016.06.027" TargetMode="External" /><Relationship Type="http://schemas.openxmlformats.org/officeDocument/2006/relationships/hyperlink" Id="rId118" Target="https://doi.org/10.1016/j.rsma.2015.05.005" TargetMode="External" /><Relationship Type="http://schemas.openxmlformats.org/officeDocument/2006/relationships/hyperlink" Id="rId71" Target="https://doi.org/10.1016/j.scitotenv.2016.05.111" TargetMode="External" /><Relationship Type="http://schemas.openxmlformats.org/officeDocument/2006/relationships/hyperlink" Id="rId100" Target="https://doi.org/10.1016/j.scitotenv.2019.01.125" TargetMode="External" /><Relationship Type="http://schemas.openxmlformats.org/officeDocument/2006/relationships/hyperlink" Id="rId107" Target="https://doi.org/10.1046/j.1526-100X.2002.02033.x" TargetMode="External" /><Relationship Type="http://schemas.openxmlformats.org/officeDocument/2006/relationships/hyperlink" Id="rId93" Target="https://doi.org/10.1046/j.1526-100x.2001.009002239.x" TargetMode="External" /><Relationship Type="http://schemas.openxmlformats.org/officeDocument/2006/relationships/hyperlink" Id="rId111"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114" Target="https://doi.org/10.1111/j.1526-100X.2005.00072.x" TargetMode="External" /><Relationship Type="http://schemas.openxmlformats.org/officeDocument/2006/relationships/hyperlink" Id="rId129" Target="https://doi.org/10.1111/rec.12028" TargetMode="External" /><Relationship Type="http://schemas.openxmlformats.org/officeDocument/2006/relationships/hyperlink" Id="rId81" Target="https://doi.org/10.1139/f03-025" TargetMode="External" /><Relationship Type="http://schemas.openxmlformats.org/officeDocument/2006/relationships/hyperlink" Id="rId105"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91" Target="https://doi.org/10.1890/1540-9295(2005)003%5B0259:RWPBPT%5D2.0.CO;2" TargetMode="External" /><Relationship Type="http://schemas.openxmlformats.org/officeDocument/2006/relationships/hyperlink" Id="rId102" Target="https://doi.org/10.2134/jeq2009.0108" TargetMode="External" /><Relationship Type="http://schemas.openxmlformats.org/officeDocument/2006/relationships/hyperlink" Id="rId131" Target="https://doi.org/10.3368/er.25.3.162" TargetMode="External" /><Relationship Type="http://schemas.openxmlformats.org/officeDocument/2006/relationships/hyperlink" Id="rId77"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2019-06-09T18:58:45Z</dcterms:created>
  <dcterms:modified xsi:type="dcterms:W3CDTF">2019-06-09T18:58:45Z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estuaries-and-coasts.csl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