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1.png" ContentType="image/png"/>
  <Override PartName="/word/media/rId52.png" ContentType="image/png"/>
  <Override PartName="/word/media/rId47.png" ContentType="image/png"/>
  <Override PartName="/word/media/rId48.png" ContentType="image/png"/>
  <Override PartName="/word/media/rId50.png" ContentType="image/png"/>
  <Override PartName="/word/media/rId46.png" ContentType="image/png"/>
  <Override PartName="/word/media/rId4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Tampa,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kdorans@mail.harvard.edu</w:t>
        </w:r>
      </w:hyperlink>
      <w:r>
        <w:t xml:space="preserve">), Tulane University,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varela_patricia@yahoo.com</w:t>
        </w:r>
      </w:hyperlink>
      <w:r>
        <w:t xml:space="preserve">), Geosyntec Consultants, Houston, TX</w:t>
      </w:r>
    </w:p>
    <w:p>
      <w:pPr>
        <w:pStyle w:val="BodyText"/>
      </w:pPr>
      <w:r>
        <w:t xml:space="preserve">Version Date: Thu Mar 28 16:38:11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the outcomes beyond site-specific assessments. This study presents an empirical framework to evaluate multiple datasets in the Tampa Bay area (Florida, USA) to identify 1) types of restoration projects that produce the greatest improvements in water quality, and 2) which time frames for different projects are most relevant for having the largest perceived benefits. Information on the location and date of completion for 887 restoration projects from 1971 to 2017 were spatially and temporally matched with water quality records at each of 45 long-term monitoring stations in Tampa Bay. Estimates of chlorophyll concentrations before and after the completion of one to many projects were used to develop an expectation of water quality changes from investments in different restoration activities. Water infrastructure projects to control point sources of nutrient loading into the bay were associated with the highest likelihood of chlorophyll reduction, particularly for projects occurring prior to 1995. Habitat restoration projects were also associated with reductions in chlorophyll, although the likelihood of reductions from the cumulative effects of these projects were less than those from infrastructure improvements. The framework is sufficiently flexible for application to different locations and could be used to develop reasonable expectations for future restoration projects along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w:t>
      </w:r>
      <w:r>
        <w:t xml:space="preserve"> </w:t>
      </w:r>
      <w:r>
        <w:t xml:space="preserve">(Enwright, Griffith, and Osland</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Doering, and Corbett</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difficulty of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(RESTORE Act),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has been intensively monitored since the mid-1970s</w:t>
      </w:r>
      <w:r>
        <w:t xml:space="preserve"> </w:t>
      </w:r>
      <w:r>
        <w:t xml:space="preserve">(Greening et al.</w:t>
      </w:r>
      <w:r>
        <w:t xml:space="preserve"> </w:t>
      </w:r>
      <w:hyperlink w:anchor="ref-Greening2014">
        <w:r>
          <w:rPr>
            <w:rStyle w:val="Hyperlink"/>
          </w:rPr>
          <w:t xml:space="preserve">2014</w:t>
        </w:r>
      </w:hyperlink>
      <w:r>
        <w:t xml:space="preserve">)</w:t>
      </w:r>
      <w:r>
        <w:t xml:space="preserve">. Nearly 900 public and private projects to improve water quality have been completed in Tampa Bay and its watershed over the past 4 decades, yet no previous efforts have been made to quantify potential associations between these activities and water quality.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these projects affect adjacent estuarine water quality at various spatio-temporal scales will provide an improved understanding of the link between overall estuary improvements and specific restoration activities.</w:t>
      </w:r>
    </w:p>
    <w:p>
      <w:pPr>
        <w:pStyle w:val="BodyText"/>
      </w:pPr>
      <w:r>
        <w:t xml:space="preserve">Because it is difficult to demonstrate restoration success, new tools are needed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8" w:name="methods"/>
      <w:r>
        <w:t xml:space="preserve">Methods</w:t>
      </w:r>
      <w:bookmarkEnd w:id="28"/>
    </w:p>
    <w:p>
      <w:pPr>
        <w:pStyle w:val="Heading2"/>
      </w:pPr>
      <w:bookmarkStart w:id="29" w:name="study-area"/>
      <w:r>
        <w:t xml:space="preserve">Study area</w:t>
      </w:r>
      <w:bookmarkEnd w:id="29"/>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Fishery yields were depressed for both commercial and recreational species. Advanced wastewater treatment operations were implemented at municipal plants by the early 1980s, reducing nutrient loads to the Bay by as much as 90%.</w:t>
      </w:r>
    </w:p>
    <w:p>
      <w:pPr>
        <w:pStyle w:val="BodyText"/>
      </w:pPr>
      <w:r>
        <w:t xml:space="preserve">Current water quality in Tampa Bay is dramatically improved from the degraded historical condition. Most notably, seagrass coverage in 2016 was reported as 16,857 hectares baywide, surpassing the goal of restoring coverage to levels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 concentrations</w:t>
      </w:r>
      <w:r>
        <w:t xml:space="preserve"> </w:t>
      </w:r>
      <w:r>
        <w:t xml:space="preserve">(Wang, Martin, and Morrison</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Hagy III, and Le</w:t>
      </w:r>
      <w:r>
        <w:t xml:space="preserve"> </w:t>
      </w:r>
      <w:hyperlink w:anchor="ref-Beck17c">
        <w:r>
          <w:rPr>
            <w:rStyle w:val="Hyperlink"/>
          </w:rPr>
          <w:t xml:space="preserve">2017</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These controls allowed nutrient and chlorophyll targets to be met by the early 1990s, whereas numerous smaller projects that have occurred since then have not been thoroughly evaluated. These smaller projects have likely had a supporting role in maintaining earlier improvements from water infrastructure upgrades.</w:t>
      </w:r>
    </w:p>
    <w:p>
      <w:pPr>
        <w:pStyle w:val="Heading2"/>
      </w:pPr>
      <w:bookmarkStart w:id="30" w:name="data-sources"/>
      <w:r>
        <w:t xml:space="preserve">Data sources</w:t>
      </w:r>
      <w:bookmarkEnd w:id="30"/>
    </w:p>
    <w:p>
      <w:pPr>
        <w:pStyle w:val="FirstParagraph"/>
      </w:pPr>
      <w:r>
        <w:t xml:space="preserve">Several databases were combined to document restoration projects in Tampa Bay and its watershed. Data from the Tampa Bay Water Atlas (version 2.3,</w:t>
      </w:r>
      <w:r>
        <w:t xml:space="preserve"> </w:t>
      </w:r>
      <w:hyperlink r:id="rId31">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was acquired from the US EPA’s National Estuary Program Mapper (</w:t>
      </w:r>
      <w:hyperlink r:id="rId32">
        <w:r>
          <w:rPr>
            <w:rStyle w:val="Hyperlink"/>
          </w:rPr>
          <w:t xml:space="preserve">https://gispub2.epa.gov/NEPmap/</w:t>
        </w:r>
      </w:hyperlink>
      <w:r>
        <w:t xml:space="preserve">). This database provided only basic information, such as year of completion, geographic coordinates, general activities, and areal coverage. Data from the TBEP Action Plan Database Portal (</w:t>
      </w:r>
      <w:hyperlink r:id="rId33">
        <w:r>
          <w:rPr>
            <w:rStyle w:val="Hyperlink"/>
          </w:rPr>
          <w:t xml:space="preserve">https://apdb.tbeptech.org/index.php</w:t>
        </w:r>
      </w:hyperlink>
      <w:r>
        <w:t xml:space="preserve">) documented locations of infrastructure improvement projects, structural best management practices, and policy-driven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project location, year of completion, and project classification of the restoration activity. Because the types of projects varied, we developed and applied a classification scheme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for the perceived improvements in water quality over time. The five sub-categories (habitat enhancement, establishment, and protection; non-point and point source controls) were separately evaluated to describe the likelihood of changes in water quality associated with each type (described below). The final combined dataset included 887 projects from 1971 to 2017 (Figure</w:t>
      </w:r>
      <w:r>
        <w:t xml:space="preserve"> </w:t>
      </w:r>
      <w:r>
        <w:t xml:space="preserve">2</w:t>
      </w:r>
      <w:r>
        <w:t xml:space="preserve">). Projects with incomplete information (i.e., missing date)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The locations of monitoring stations were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 were combined for a total of 515 monthly observations of each parameter at each station.</w:t>
      </w:r>
    </w:p>
    <w:p>
      <w:pPr>
        <w:pStyle w:val="Heading2"/>
      </w:pPr>
      <w:bookmarkStart w:id="34" w:name="data-synthesis-and-analysis-framework"/>
      <w:r>
        <w:t xml:space="preserve">Data synthesis and analysis framework</w:t>
      </w:r>
      <w:bookmarkEnd w:id="34"/>
    </w:p>
    <w:p>
      <w:pPr>
        <w:pStyle w:val="FirstParagraph"/>
      </w:pPr>
      <w:r>
        <w:t xml:space="preserve">Water quality monitoring sites were matched to the closest selected restoration projects and changes in the water quality data were evaluated relative to the completion dates of the selected projects. The matching between the two datasets began with a spatial join wherein the Euclidean distances between each water quality station and each restoration project were quantified. The restoration projects closest to each water quality station were identified using the Euclidean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 associated with each project. The before effect was estimated as the average of observations for the year preceding the completion of a project and the after effect was estimated as the average of observations for a year period that occurred after a defined window of time after completion of a project. Time windows that overlapped the start and end date of the water quality time series were discarded. The final two estimates of the before and after effects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effects of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 The total change in water quality for a project type was simply the difference in weighted averages. This process was repeated for every station (Figure</w:t>
      </w:r>
      <w:r>
        <w:t xml:space="preserve"> </w:t>
      </w:r>
      <w:r>
        <w:t xml:space="preserve">5</w:t>
      </w:r>
      <w:r>
        <w:t xml:space="preserve">).</w:t>
      </w:r>
    </w:p>
    <w:p>
      <w:pPr>
        <w:pStyle w:val="BodyText"/>
      </w:pPr>
      <w:r>
        <w:t xml:space="preserve">One of the key assumptions of our approach is that restoration projects will benefit water quality through a change in chlorophyll. We make no assumptions about the expected magnitude of an association given that the model does not describe a mechanism of change. However, we hypothesized that the magnitude of chlorophyll changes varies by project type, and number of projects or time windows evaluated.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effects of restoration projects at different spatial scales. In eqn. (1), the association of a restoration type with chlorophyll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positively effect environmental change in the bay. Estimates across stations were evaluated to describe baywide effects of restoration project types and by individual bay segments that have specific management targets for chlorophyll concentration</w:t>
      </w:r>
      <w:r>
        <w:t xml:space="preserve"> </w:t>
      </w:r>
      <w:r>
        <w:t xml:space="preserve">(Florida Statute 62-302.532, Janicki, Wade, and Pribble</w:t>
      </w:r>
      <w:r>
        <w:t xml:space="preserve"> </w:t>
      </w:r>
      <w:hyperlink w:anchor="ref-Janicki99">
        <w:r>
          <w:rPr>
            <w:rStyle w:val="Hyperlink"/>
          </w:rPr>
          <w:t xml:space="preserve">1999</w:t>
        </w:r>
      </w:hyperlink>
      <w:r>
        <w:t xml:space="preserve">)</w:t>
      </w:r>
      <w:r>
        <w:t xml:space="preserve">. This approach was used due to the uneven distribution of restoration projects relative to known changes in each Bay segment</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Finally, two parameters in eqn. (1) control the synthesis of the datasets which directly affected the ability to characterize associations of each restoration project type with water quality changes. Thee include</w:t>
      </w:r>
      <w:r>
        <w:t xml:space="preserve"> </w:t>
      </w:r>
      <m:oMath>
        <m:r>
          <m:t>n</m:t>
        </m:r>
      </m:oMath>
      <w:r>
        <w:t xml:space="preserve">, the number of spatially-matched restoration projects used to average the cumulative effect of each project type, and</w:t>
      </w:r>
      <w:r>
        <w:t xml:space="preserve"> </w:t>
      </w:r>
      <m:oMath>
        <m:r>
          <m:t>w</m:t>
        </m:r>
        <m:r>
          <m:t>i</m:t>
        </m:r>
        <m:r>
          <m:t>n</m:t>
        </m:r>
      </m:oMath>
      <w:r>
        <w:t xml:space="preserve">, the time windows before and after a project completion date that were used to subset each water quality time series.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5" w:name="testing-effects-of-restoration-dates-and-location"/>
      <w:r>
        <w:t xml:space="preserve">Testing effects of restoration dates and location</w:t>
      </w:r>
      <w:bookmarkEnd w:id="35"/>
    </w:p>
    <w:p>
      <w:pPr>
        <w:pStyle w:val="FirstParagraph"/>
      </w:pPr>
      <w:r>
        <w:t xml:space="preserve">Because of the documented improvements in water quality in Tampa Bay, a concern with our approach is that any association between restoration projects and chlorophyll may result from correlations between the two rather than demonstrating a causal mechanism. To address this challenge, estimated changes in chlorophyll were evaluated in response to temporal and spatial matching with restoration projects, as above, but with random date and location assignments for each restoration project. An expected outcome of randomization is that no differences are observed between project types and that all associations between projects and chlorophyll changes should reflect the continuous decline of chlorophyll over time as observed in the independent water quality record. In other words, our null model is that the estimated effects of restoration projects are simply those that can be evaluated from the raw data - slicing the observed time series by arbitrary dates and evaluating before/after averages is expected to reflect the continuous decline of chlorophyll in the raw data. Alternatively, differences between project types and changes in chlorophyll that are different from the long-term decline would provide evidence that our framework is robust.</w:t>
      </w:r>
    </w:p>
    <w:p>
      <w:pPr>
        <w:pStyle w:val="Heading1"/>
      </w:pPr>
      <w:bookmarkStart w:id="36" w:name="results"/>
      <w:r>
        <w:t xml:space="preserve">Results</w:t>
      </w:r>
      <w:bookmarkEnd w:id="36"/>
    </w:p>
    <w:p>
      <w:pPr>
        <w:pStyle w:val="Heading2"/>
      </w:pPr>
      <w:bookmarkStart w:id="37" w:name="water-quality-observations"/>
      <w:r>
        <w:t xml:space="preserve">Water quality observations</w:t>
      </w:r>
      <w:bookmarkEnd w:id="37"/>
    </w:p>
    <w:p>
      <w:pPr>
        <w:pStyle w:val="FirstParagraph"/>
      </w:pPr>
      <w:r>
        <w:t xml:space="preserve">Chlorophyll-a in Tampa Bay decreased over the forty-year record consistent with documented changes</w:t>
      </w:r>
      <w:r>
        <w:t xml:space="preserve"> </w:t>
      </w:r>
      <w:r>
        <w:t xml:space="preserve">(Wang, Martin, and Morrison</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7.30</w:t>
      </w:r>
      <w:r>
        <w:t xml:space="preserve"> </w:t>
      </w:r>
      <m:oMath>
        <m:r>
          <m:t>μ</m:t>
        </m:r>
      </m:oMath>
      <w:r>
        <w:t xml:space="preserve">g/L at high salinity stations).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 although a consistent decline was observed across the entire time series rather than primarily in the first two decades as for chlorophyll</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nitrogen peaked in the late summer/early fall period.</w:t>
      </w:r>
    </w:p>
    <w:p>
      <w:pPr>
        <w:pStyle w:val="BodyText"/>
      </w:pPr>
      <w:r>
        <w:t xml:space="preserve">The monotonic decline in chlorophyll concentrations was opposite to the observed trends in the number and types of restoration projects in the watershed, where the number of projects especially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observed. Individual point source controls early in the record were those that occurred in the historically polluted upper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Prior to 1995, only 11 water infrastructure projects (three non-point control, eight point source controls) were found in the database, whereas 70 habitat projects were observed (50 habitat establishment, 20 habitat enhancement). Nearly ten times as many restoration projects were completed in 1995 or later (806 total), with notable increases in the number of nonpoint source controls (245) and habitat protection projects (45).</w:t>
      </w:r>
    </w:p>
    <w:p>
      <w:pPr>
        <w:pStyle w:val="Heading2"/>
      </w:pPr>
      <w:bookmarkStart w:id="38" w:name="associations-between-restoration-projects-and-water-quality-change"/>
      <w:r>
        <w:t xml:space="preserve">Associations between restoration projects and water quality change</w:t>
      </w:r>
      <w:bookmarkEnd w:id="38"/>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 with additional restoration. Analysis of median water quality estimates across all monitoring stations for a given year versus the cumulative number of restoration projects as of that year showed that water quality was related to the number of projects for all project types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One limitation of the above analysis is that the number of restoration projects increased over time and responses due to restoration were potentially confounded with temporal changes resulting from other factors. Similarly, effects of different project types are confounded when both types increased over time (Figure</w:t>
      </w:r>
      <w:r>
        <w:t xml:space="preserve"> </w:t>
      </w:r>
      <w:r>
        <w:t xml:space="preserve">6</w:t>
      </w:r>
      <w:r>
        <w:t xml:space="preserv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 reductions cannot be separated through simple linear analyses because both increase over time, i.e., an association of chlorophyll with one project type could be an artifact of an association with another project type. Likewise, a weak association (e.g., habitat protection and chlorophyll) does not provide strong evidence that a particular project type is unimportant for water quality improvements, given that the simple analysis may lack sufficient power to detect an association. Our approach that uses spatial-temporal matching between restoration projects and water quality stations is meant to overcome these challenges.</w:t>
      </w:r>
    </w:p>
    <w:p>
      <w:pPr>
        <w:pStyle w:val="BodyText"/>
      </w:pPr>
      <w:r>
        <w:t xml:space="preserve">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changes.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a slight trend of longer time windows and more project matches with the number of monitoring stations that had significant changes was observed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w:t>
      </w:r>
    </w:p>
    <w:p>
      <w:pPr>
        <w:pStyle w:val="BodyText"/>
      </w:pPr>
      <w:r>
        <w:t xml:space="preserve">The estimated baywide effects for each project type showed that point source controls were more strongly associated with reductions in chlorophyll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 of approximately 2</w:t>
      </w:r>
      <w:r>
        <w:t xml:space="preserve"> </w:t>
      </w:r>
      <m:oMath>
        <m:r>
          <m:t>μ</m:t>
        </m:r>
      </m:oMath>
      <w:r>
        <w:t xml:space="preserve">g/L (based on the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 reductions, but only when more projects were considered (10 closest project combinations, Figure</w:t>
      </w:r>
      <w:r>
        <w:t xml:space="preserve"> </w:t>
      </w:r>
      <w:r>
        <w:t xml:space="preserve">7</w:t>
      </w:r>
      <w:r>
        <w:t xml:space="preserve">b, d). Estimated reductions were not as large for nonpoint source controls compared to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 particularly for ten year window combinations. Nonpoint source controls were also important, although significant associations with chlorophyll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 changes in Lower Tampa Bay were significantly associated with habitat enhancement and establishment projects for the 5 year window, 10 closest projects combination.</w:t>
      </w:r>
    </w:p>
    <w:p>
      <w:pPr>
        <w:pStyle w:val="Heading2"/>
      </w:pPr>
      <w:bookmarkStart w:id="39" w:name="effects-of-random-restoration-dates-and-locations"/>
      <w:r>
        <w:t xml:space="preserve">Effects of random restoration dates and locations</w:t>
      </w:r>
      <w:bookmarkEnd w:id="39"/>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 (Table</w:t>
      </w:r>
      <w:r>
        <w:t xml:space="preserve"> </w:t>
      </w:r>
      <w:r>
        <w:t xml:space="preserve">3</w:t>
      </w:r>
      <w:r>
        <w:t xml:space="preserve">, values in bold, mean &lt; 0). This is consistent with our null hypothesis that randomization would simply reflect the long-term decline in chlorophyll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agreement with the alternative hypothesis, nine of the rows indicate a result different than a consistent decline in chlorophyll expected under the null. Different results were more often observed for habitat enhancement and habitat establishment projects, where the simulated results most often suggested a decrease and the actual results suggested no change in chlorophyll. Nonpoint and point source control projects were in agreement with simulated results, although this does not provide sufficient evidence that the results from the actual data are incorrect. Because the null hypothesis under randomization suggests projects will indicate a decline based on the independent chlorophyll time series, an observed decline in chlorophyll in relation to actual restoration projects could still suggest a signal rather than a false positive result. There is no way of identifying type I errors with the current dataset, although the differences for the other restoration projects does suggest the framework has merit.</w:t>
      </w:r>
    </w:p>
    <w:p>
      <w:pPr>
        <w:pStyle w:val="Heading1"/>
      </w:pPr>
      <w:bookmarkStart w:id="40" w:name="discussion"/>
      <w:r>
        <w:t xml:space="preserve">Discussion</w:t>
      </w:r>
      <w:bookmarkEnd w:id="40"/>
    </w:p>
    <w:p>
      <w:pPr>
        <w:pStyle w:val="FirstParagraph"/>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point-source nutrient controls in upper Tampa Bay (Hillsborough Bay)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effects provided a proof of concept for the overall approach. Moreover, efforts focused on mitigating effects of nonpoint sources of pollution were more common in the latter half of record after 1990 and our results provide evidence that suggests these projects have been effective in improving water quality baywide. Nonpoint control efforts broadly described several activities that included, among others, street sweeping, education/outreach efforts, and various best management practices for stormwater, agricultural, and wetland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Dressing, and Davenport</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w:t>
      </w:r>
    </w:p>
    <w:p>
      <w:pPr>
        <w:pStyle w:val="BodyText"/>
      </w:pPr>
      <w:r>
        <w:t xml:space="preserve">Habitat restoration projects were also associated with reductions in chlorophyll, although less so than those associated with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Based on these results, habitat protection may be a more cost-effective approach than other types of habitat restoration projects if evaluating the effects on overall bay conditions relative to effort.</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Water quality improvements that are observed after a short period of time since project completion and with fewer projects (e.g., 5 year window, 5 closest projects) may be more cost-effective than those where improvements are observed after longer periods of time and with more projects (e.g., 10 year window, 10 closest projects). Given this logic, both habitat protection and point source controls are cost-effective, whereas other projects may be less so if improvements are observed only if additional time passes or more projects are included (e.g., nonpoint source controls, habitat enhancement). However, this approach assumes that immediate improvements with minimal effort are desirable and implicitly discounts the long-term effects that may or may not persist for a given project type. System hysteresis may indicate an initial improvement of water quality associated from a particular project, although degraded conditions may persist long-term if additional restoration projects are not pursued or underlying problems are not addressed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with ten projects; reductions in chlorophyll were not shown to persist at the ten year window.</w:t>
      </w:r>
    </w:p>
    <w:p>
      <w:pPr>
        <w:pStyle w:val="Heading2"/>
      </w:pPr>
      <w:bookmarkStart w:id="41" w:name="assumptions-and-limitations"/>
      <w:r>
        <w:t xml:space="preserve">Assumptions and limitations</w:t>
      </w:r>
      <w:bookmarkEnd w:id="41"/>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actual truth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badly needed to inform and sustain environmental restoration programs.</w:t>
      </w:r>
    </w:p>
    <w:p>
      <w:pPr>
        <w:pStyle w:val="BodyText"/>
      </w:pPr>
      <w:r>
        <w:t xml:space="preserve">The value of our approach to quantify cumulative effects of restoration on water quality is likely in between the worst- and best-case scenarios for how much confidence can be invested in the conclusions. The ability of our model to support previously and well-described changes in water quality in response to management actions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 non-trivial amount of reasonable assurance in our model and that we have improved our understanding of restoration effectiveness beyond the basic information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model provides</w:t>
      </w:r>
      <w:r>
        <w:t xml:space="preserve"> </w:t>
      </w:r>
      <w:r>
        <w:t xml:space="preserve">(levels-of-evidence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Figure</w:t>
      </w:r>
      <w:r>
        <w:t xml:space="preserve"> </w:t>
      </w:r>
      <w:r>
        <w:t xml:space="preserve">7</w:t>
      </w:r>
      <w:r>
        <w:t xml:space="preserve"> </w:t>
      </w:r>
      <w:r>
        <w:t xml:space="preserve">suggests that point source controls were responsible for an approximate baywide reduction of 2</w:t>
      </w:r>
      <w:r>
        <w:t xml:space="preserve"> </w:t>
      </w:r>
      <m:oMath>
        <m:r>
          <m:t>μ</m:t>
        </m:r>
      </m:oMath>
      <w:r>
        <w:t xml:space="preserve">g/L of chlorophyll.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 would be reduced by 2</w:t>
      </w:r>
      <w:r>
        <w:t xml:space="preserve"> </w:t>
      </w:r>
      <m:oMath>
        <m:r>
          <m:t>μ</m:t>
        </m:r>
      </m:oMath>
      <w:r>
        <w:t xml:space="preserve">g/L of chlorophyll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This description is understandably vague, but it provides a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projects are</w:t>
      </w:r>
      <w:r>
        <w:t xml:space="preserve"> </w:t>
      </w:r>
      <w:r>
        <w:t xml:space="preserve">“</w:t>
      </w:r>
      <w:r>
        <w:t xml:space="preserve">more effective</w:t>
      </w:r>
      <w:r>
        <w:t xml:space="preserve">”</w:t>
      </w:r>
      <w:r>
        <w:t xml:space="preserve"> </w:t>
      </w:r>
      <w:r>
        <w:t xml:space="preserve">because improvements are expected with</w:t>
      </w:r>
      <w:r>
        <w:t xml:space="preserve"> </w:t>
      </w:r>
      <w:r>
        <w:t xml:space="preserve">“</w:t>
      </w:r>
      <w:r>
        <w:t xml:space="preserve">less time</w:t>
      </w:r>
      <w:r>
        <w:t xml:space="preserve">”</w:t>
      </w:r>
      <w:r>
        <w:t xml:space="preserve"> </w:t>
      </w:r>
      <w:r>
        <w:t xml:space="preserve">and</w:t>
      </w:r>
      <w:r>
        <w:t xml:space="preserve"> </w:t>
      </w:r>
      <w:r>
        <w:t xml:space="preserve">“</w:t>
      </w:r>
      <w:r>
        <w:t xml:space="preserve">less effort</w:t>
      </w:r>
      <w:r>
        <w:t xml:space="preserve">”</w:t>
      </w:r>
      <w:r>
        <w:t xml:space="preserve">,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Within these constraints, the model was strictly associative and any conclusions do not provide a mechanistic explanation. These limitations in our associative approach were apparent in some of the results. Specifically, significant increases in chlorophyll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did not adequately account for additional factors that were relevant for water quality. Our aggregated estimates using all stations to describe a baywide effect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outcome. Application to additional systems would require, at minimum, water quality observations spanning multiple years and a similar dataset of restoration projects. Our categorization that described relevant water and habitat related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effects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w:t>
      </w:r>
    </w:p>
    <w:p>
      <w:pPr>
        <w:pStyle w:val="Heading2"/>
      </w:pPr>
      <w:bookmarkStart w:id="42" w:name="conclusions"/>
      <w:r>
        <w:t xml:space="preserve">Conclusions</w:t>
      </w:r>
      <w:bookmarkEnd w:id="42"/>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an expectation of water quality improvements that could result from future restoration activities contingent upon the level of investments in different activities and the required monitoring to understand downstream water quality benefits at local to watershed scales. Overall, we demonstrated a baywide association of water quality changes to different restoration activities that varied by project type, chosen parameters to estimate the results, and the spatial context of interpretation. The flexibility of our approach has potentially broad application and extension within the Gulf Coast restoration and management community.</w:t>
      </w:r>
    </w:p>
    <w:p>
      <w:pPr>
        <w:pStyle w:val="Heading1"/>
      </w:pPr>
      <w:bookmarkStart w:id="43" w:name="supplement"/>
      <w:r>
        <w:t xml:space="preserve">Supplement</w:t>
      </w:r>
      <w:bookmarkEnd w:id="43"/>
    </w:p>
    <w:p>
      <w:pPr>
        <w:pStyle w:val="FirstParagraph"/>
      </w:pPr>
      <w:r>
        <w:t xml:space="preserve">Analysis and manuscript source materials available at</w:t>
      </w:r>
      <w:r>
        <w:t xml:space="preserve"> </w:t>
      </w:r>
      <w:hyperlink r:id="rId44">
        <w:r>
          <w:rPr>
            <w:rStyle w:val="Hyperlink"/>
          </w:rPr>
          <w:t xml:space="preserve">DOI:10.5281/zenodo.2539623</w:t>
        </w:r>
      </w:hyperlink>
      <w:r>
        <w:t xml:space="preserve">.</w:t>
      </w:r>
    </w:p>
    <w:p>
      <w:pPr>
        <w:pStyle w:val="Heading1"/>
      </w:pPr>
      <w:bookmarkStart w:id="45" w:name="figures"/>
      <w:r>
        <w:t xml:space="preserve">Figures</w:t>
      </w:r>
      <w:bookmarkEnd w:id="45"/>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r nrow(restdat)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w:t>
      </w:r>
      <w:r>
        <w:t xml:space="preserve"> </w:t>
      </w:r>
      <w:r>
        <w:rPr>
          <w:rStyle w:val="VerbatimChar"/>
        </w:rPr>
        <w:t xml:space="preserve">r nrow(restdat)</w:t>
      </w:r>
      <w:r>
        <w:t xml:space="preserve"> </w:t>
      </w:r>
      <w:r>
        <w:t xml:space="preserve">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r nrow(restdat)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7"/>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w:t>
      </w:r>
      <w:r>
        <w:t xml:space="preserve"> </w:t>
      </w:r>
      <w:r>
        <w:rPr>
          <w:rStyle w:val="VerbatimChar"/>
        </w:rPr>
        <w:t xml:space="preserve">r nrow(restdat)</w:t>
      </w:r>
      <w:r>
        <w:t xml:space="preserve"> </w:t>
      </w:r>
      <w:r>
        <w:t xml:space="preserve">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48"/>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49"/>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0"/>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1"/>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2"/>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w:t>
      </w:r>
    </w:p>
    <w:p>
      <w:pPr>
        <w:pStyle w:val="Heading1"/>
      </w:pPr>
      <w:bookmarkStart w:id="53" w:name="tables"/>
      <w:r>
        <w:t xml:space="preserve">Tables</w:t>
      </w:r>
      <w:bookmarkEnd w:id="53"/>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 changes between restoration project types by segment and year/project number combinations were evaluated by ANOVA F-tests, whereas pairwise differences between project types were evaluated by t-tests with corrected p-values for multiple comparisons. Chlorophyll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show the proportion of results for 1000 simulations of random dates and locations where the estimated effect had an overall decrease in observed chlorophyll (mean &lt; 0), no change (mean = 0), or increase in chlorophyll (mean &gt; 0). The actual estimate of the association with chlorophyll change from observed data for restoration projects is also shown. The agreement column shows whether the actual estimate is in agreement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quot; show the proportion of results for 1000 simulations of random dates and locations where the estimated effect had an overall decrease in observed chlorophyll (mean &lt; 0), no change (mean = 0), or increase in chlorophyll (mean &gt; 0). The actual estimate of the association with chlorophyll change from observed data for restoration projects is also shown. The agreement column shows whether the actual estimate is in agreement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4" w:name="references"/>
      <w:r>
        <w:t xml:space="preserve">References</w:t>
      </w:r>
      <w:bookmarkEnd w:id="54"/>
    </w:p>
    <w:bookmarkStart w:id="115" w:name="refs"/>
    <w:bookmarkStart w:id="56"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(5):e1229.</w:t>
      </w:r>
      <w:r>
        <w:t xml:space="preserve"> </w:t>
      </w:r>
      <w:hyperlink r:id="rId55">
        <w:r>
          <w:rPr>
            <w:rStyle w:val="Hyperlink"/>
          </w:rPr>
          <w:t xml:space="preserve">https://doi.org/10.1002/wat2.1229</w:t>
        </w:r>
      </w:hyperlink>
      <w:r>
        <w:t xml:space="preserve">.</w:t>
      </w:r>
    </w:p>
    <w:bookmarkEnd w:id="56"/>
    <w:bookmarkStart w:id="58"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(1):154–58.</w:t>
      </w:r>
      <w:r>
        <w:t xml:space="preserve"> </w:t>
      </w:r>
      <w:hyperlink r:id="rId57">
        <w:r>
          <w:rPr>
            <w:rStyle w:val="Hyperlink"/>
          </w:rPr>
          <w:t xml:space="preserve">https://doi.org/10.1111/j.1526-100X.2005.00019.x</w:t>
        </w:r>
      </w:hyperlink>
      <w:r>
        <w:t xml:space="preserve">.</w:t>
      </w:r>
    </w:p>
    <w:bookmarkEnd w:id="58"/>
    <w:bookmarkStart w:id="60"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(4):1055–74.</w:t>
      </w:r>
      <w:r>
        <w:t xml:space="preserve"> </w:t>
      </w:r>
      <w:hyperlink r:id="rId59">
        <w:r>
          <w:rPr>
            <w:rStyle w:val="Hyperlink"/>
          </w:rPr>
          <w:t xml:space="preserve">https://doi.org/10.1890/15-1077</w:t>
        </w:r>
      </w:hyperlink>
      <w:r>
        <w:t xml:space="preserve">.</w:t>
      </w:r>
    </w:p>
    <w:bookmarkEnd w:id="60"/>
    <w:bookmarkStart w:id="62"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(6):637–55.</w:t>
      </w:r>
      <w:r>
        <w:t xml:space="preserve"> </w:t>
      </w:r>
      <w:hyperlink r:id="rId61">
        <w:r>
          <w:rPr>
            <w:rStyle w:val="Hyperlink"/>
          </w:rPr>
          <w:t xml:space="preserve">https://doi.org/10.1007/s10666-015-9452-8</w:t>
        </w:r>
      </w:hyperlink>
      <w:r>
        <w:t xml:space="preserve">.</w:t>
      </w:r>
    </w:p>
    <w:bookmarkEnd w:id="62"/>
    <w:bookmarkStart w:id="63"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63"/>
    <w:bookmarkStart w:id="65"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(1):28–51.</w:t>
      </w:r>
      <w:r>
        <w:t xml:space="preserve"> </w:t>
      </w:r>
      <w:hyperlink r:id="rId64">
        <w:r>
          <w:rPr>
            <w:rStyle w:val="Hyperlink"/>
          </w:rPr>
          <w:t xml:space="preserve">https://doi.org/10.1016/j.marpolbul.2016.06.027</w:t>
        </w:r>
      </w:hyperlink>
      <w:r>
        <w:t xml:space="preserve">.</w:t>
      </w:r>
    </w:p>
    <w:bookmarkEnd w:id="65"/>
    <w:bookmarkStart w:id="67"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33:1249–60.</w:t>
      </w:r>
      <w:r>
        <w:t xml:space="preserve"> </w:t>
      </w:r>
      <w:hyperlink r:id="rId66">
        <w:r>
          <w:rPr>
            <w:rStyle w:val="Hyperlink"/>
          </w:rPr>
          <w:t xml:space="preserve">https://doi.org/10.1007/s12237-010-9347-5</w:t>
        </w:r>
      </w:hyperlink>
      <w:r>
        <w:t xml:space="preserve">.</w:t>
      </w:r>
    </w:p>
    <w:bookmarkEnd w:id="67"/>
    <w:bookmarkStart w:id="69"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B.V.:698–711.</w:t>
      </w:r>
      <w:r>
        <w:t xml:space="preserve"> </w:t>
      </w:r>
      <w:hyperlink r:id="rId68">
        <w:r>
          <w:rPr>
            <w:rStyle w:val="Hyperlink"/>
          </w:rPr>
          <w:t xml:space="preserve">https://doi.org/10.1016/j.scitotenv.2016.05.111</w:t>
        </w:r>
      </w:hyperlink>
      <w:r>
        <w:t xml:space="preserve">.</w:t>
      </w:r>
    </w:p>
    <w:bookmarkEnd w:id="69"/>
    <w:bookmarkStart w:id="71"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(3):e01242.</w:t>
      </w:r>
      <w:r>
        <w:t xml:space="preserve"> </w:t>
      </w:r>
      <w:hyperlink r:id="rId70">
        <w:r>
          <w:rPr>
            <w:rStyle w:val="Hyperlink"/>
          </w:rPr>
          <w:t xml:space="preserve">https://doi.org/10.1002/ecs2.1242</w:t>
        </w:r>
      </w:hyperlink>
      <w:r>
        <w:t xml:space="preserve">.</w:t>
      </w:r>
    </w:p>
    <w:bookmarkEnd w:id="71"/>
    <w:bookmarkStart w:id="73"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(1-2):111–32.</w:t>
      </w:r>
      <w:r>
        <w:t xml:space="preserve"> </w:t>
      </w:r>
      <w:hyperlink r:id="rId72">
        <w:r>
          <w:rPr>
            <w:rStyle w:val="Hyperlink"/>
          </w:rPr>
          <w:t xml:space="preserve">https://doi.org/10.3368/er.29.1-2.111</w:t>
        </w:r>
      </w:hyperlink>
      <w:r>
        <w:t xml:space="preserve">.</w:t>
      </w:r>
    </w:p>
    <w:bookmarkEnd w:id="73"/>
    <w:bookmarkStart w:id="75"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(6):307–16.</w:t>
      </w:r>
      <w:r>
        <w:t xml:space="preserve"> </w:t>
      </w:r>
      <w:hyperlink r:id="rId74">
        <w:r>
          <w:rPr>
            <w:rStyle w:val="Hyperlink"/>
          </w:rPr>
          <w:t xml:space="preserve">https://doi.org/10.1002/fee.1282</w:t>
        </w:r>
      </w:hyperlink>
      <w:r>
        <w:t xml:space="preserve">.</w:t>
      </w:r>
    </w:p>
    <w:bookmarkEnd w:id="75"/>
    <w:bookmarkStart w:id="76" w:name="ref-GCERC13"/>
    <w:p>
      <w:pPr>
        <w:pStyle w:val="Bibliography"/>
      </w:pPr>
      <w:r>
        <w:t xml:space="preserve">GCERC (Gulf Coast Ecosystem Restoration Council). 2013. “Comprehensive Plan: Restoring the Gulf Coast’s Ecosystem and Economy.”</w:t>
      </w:r>
    </w:p>
    <w:bookmarkEnd w:id="76"/>
    <w:bookmarkStart w:id="77" w:name="ref-GCERC16"/>
    <w:p>
      <w:pPr>
        <w:pStyle w:val="Bibliography"/>
      </w:pPr>
      <w:r>
        <w:t xml:space="preserve">———. 2016. “Comprehensive Plan: Update 2016, Restoring the Gulf Coast’s Ecosystem and Economy.”</w:t>
      </w:r>
    </w:p>
    <w:bookmarkEnd w:id="77"/>
    <w:bookmarkStart w:id="78"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78"/>
    <w:bookmarkStart w:id="80"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(6):877–79.</w:t>
      </w:r>
      <w:r>
        <w:t xml:space="preserve"> </w:t>
      </w:r>
      <w:hyperlink r:id="rId79">
        <w:r>
          <w:rPr>
            <w:rStyle w:val="Hyperlink"/>
          </w:rPr>
          <w:t xml:space="preserve">https://doi.org/10.1007/BF02798646</w:t>
        </w:r>
      </w:hyperlink>
      <w:r>
        <w:t xml:space="preserve">.</w:t>
      </w:r>
    </w:p>
    <w:bookmarkEnd w:id="80"/>
    <w:bookmarkStart w:id="82"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(December):A1–A16.</w:t>
      </w:r>
      <w:r>
        <w:t xml:space="preserve"> </w:t>
      </w:r>
      <w:hyperlink r:id="rId81">
        <w:r>
          <w:rPr>
            <w:rStyle w:val="Hyperlink"/>
          </w:rPr>
          <w:t xml:space="preserve">https://doi.org/10.1016/j.ecss.2014.10.003</w:t>
        </w:r>
      </w:hyperlink>
      <w:r>
        <w:t xml:space="preserve">.</w:t>
      </w:r>
    </w:p>
    <w:bookmarkEnd w:id="82"/>
    <w:bookmarkStart w:id="84"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(5):259–67.</w:t>
      </w:r>
      <w:r>
        <w:t xml:space="preserve"> </w:t>
      </w:r>
      <w:hyperlink r:id="rId83">
        <w:r>
          <w:rPr>
            <w:rStyle w:val="Hyperlink"/>
          </w:rPr>
          <w:t xml:space="preserve">https://doi.org/10.1890/1540-9295(2005)003[0259:RWPBPT]2.0.CO;2</w:t>
        </w:r>
      </w:hyperlink>
      <w:r>
        <w:t xml:space="preserve">.</w:t>
      </w:r>
    </w:p>
    <w:bookmarkEnd w:id="84"/>
    <w:bookmarkStart w:id="86"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(2):239–46.</w:t>
      </w:r>
      <w:r>
        <w:t xml:space="preserve"> </w:t>
      </w:r>
      <w:hyperlink r:id="rId85">
        <w:r>
          <w:rPr>
            <w:rStyle w:val="Hyperlink"/>
          </w:rPr>
          <w:t xml:space="preserve">https://doi.org/10.1046/j.1526-100x.2001.009002239.x</w:t>
        </w:r>
      </w:hyperlink>
      <w:r>
        <w:t xml:space="preserve">.</w:t>
      </w:r>
    </w:p>
    <w:bookmarkEnd w:id="86"/>
    <w:bookmarkStart w:id="87" w:name="ref-Janicki99"/>
    <w:p>
      <w:pPr>
        <w:pStyle w:val="Bibliography"/>
      </w:pPr>
      <w:r>
        <w:t xml:space="preserve">Janicki, A., D. Wade, and J. R. Pribble. 1999. “Development of a Process to Track the Status of Chlorophyll and Light Attenuation to Support Seagrass Restoration Goals in Tampa Bay.” 04-00. St. Petersburg, Florida: Tampa Bay National Estuary Program.</w:t>
      </w:r>
    </w:p>
    <w:bookmarkEnd w:id="87"/>
    <w:bookmarkStart w:id="88"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157–76.</w:t>
      </w:r>
    </w:p>
    <w:bookmarkEnd w:id="88"/>
    <w:bookmarkStart w:id="89"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1990:1199–1215.</w:t>
      </w:r>
    </w:p>
    <w:bookmarkEnd w:id="89"/>
    <w:bookmarkStart w:id="91"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661:386–92.</w:t>
      </w:r>
      <w:r>
        <w:t xml:space="preserve"> </w:t>
      </w:r>
      <w:hyperlink r:id="rId90">
        <w:r>
          <w:rPr>
            <w:rStyle w:val="Hyperlink"/>
          </w:rPr>
          <w:t xml:space="preserve">https://doi.org/10.1016/j.scitotenv.2019.01.125</w:t>
        </w:r>
      </w:hyperlink>
      <w:r>
        <w:t xml:space="preserve">.</w:t>
      </w:r>
    </w:p>
    <w:bookmarkEnd w:id="91"/>
    <w:bookmarkStart w:id="93"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(1):85–96.</w:t>
      </w:r>
      <w:r>
        <w:t xml:space="preserve"> </w:t>
      </w:r>
      <w:hyperlink r:id="rId92">
        <w:r>
          <w:rPr>
            <w:rStyle w:val="Hyperlink"/>
          </w:rPr>
          <w:t xml:space="preserve">https://doi.org/10.2134/jeq2009.0108</w:t>
        </w:r>
      </w:hyperlink>
      <w:r>
        <w:t xml:space="preserve">.</w:t>
      </w:r>
    </w:p>
    <w:bookmarkEnd w:id="93"/>
    <w:bookmarkStart w:id="94"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(6):926–31.</w:t>
      </w:r>
    </w:p>
    <w:bookmarkEnd w:id="94"/>
    <w:bookmarkStart w:id="96"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w:t>
      </w:r>
      <w:r>
        <w:t xml:space="preserve"> </w:t>
      </w:r>
      <w:hyperlink r:id="rId95">
        <w:r>
          <w:rPr>
            <w:rStyle w:val="Hyperlink"/>
          </w:rPr>
          <w:t xml:space="preserve">https://doi.org/10.17226/23476</w:t>
        </w:r>
      </w:hyperlink>
      <w:r>
        <w:t xml:space="preserve">.</w:t>
      </w:r>
    </w:p>
    <w:bookmarkEnd w:id="96"/>
    <w:bookmarkStart w:id="98"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(3):556–63.</w:t>
      </w:r>
      <w:r>
        <w:t xml:space="preserve"> </w:t>
      </w:r>
      <w:hyperlink r:id="rId97">
        <w:r>
          <w:rPr>
            <w:rStyle w:val="Hyperlink"/>
          </w:rPr>
          <w:t xml:space="preserve">https://doi.org/10.1046/j.1526-100X.2002.02033.x</w:t>
        </w:r>
      </w:hyperlink>
      <w:r>
        <w:t xml:space="preserve">.</w:t>
      </w:r>
    </w:p>
    <w:bookmarkEnd w:id="98"/>
    <w:bookmarkStart w:id="99"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99"/>
    <w:bookmarkStart w:id="100" w:name="ref-Poe05"/>
    <w:p>
      <w:pPr>
        <w:pStyle w:val="Bibliography"/>
      </w:pPr>
      <w:r>
        <w:t xml:space="preserve">Poe, A., K. Hackett, S. Janicki, R. Pribble, and A. Janicki. 2005. “Estimates of Total Nitrogen, Total Phosphorus, Total Suspended Solids, and Biochemical Oxygen Demand Loadings to Tampa Bay, Florida: 1999-2003.” #02-05. St. Petersburg, Florida, USA: Tampa Bay Estuary Program.</w:t>
      </w:r>
    </w:p>
    <w:bookmarkEnd w:id="100"/>
    <w:bookmarkStart w:id="102"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(1):58–79.</w:t>
      </w:r>
      <w:r>
        <w:t xml:space="preserve"> </w:t>
      </w:r>
      <w:hyperlink r:id="rId101">
        <w:r>
          <w:rPr>
            <w:rStyle w:val="Hyperlink"/>
          </w:rPr>
          <w:t xml:space="preserve">https://doi.org/10.1093/reep/ret024</w:t>
        </w:r>
      </w:hyperlink>
      <w:r>
        <w:t xml:space="preserve">.</w:t>
      </w:r>
    </w:p>
    <w:bookmarkEnd w:id="102"/>
    <w:bookmarkStart w:id="103" w:name="ref-RDCT18"/>
    <w:p>
      <w:pPr>
        <w:pStyle w:val="Bibliography"/>
      </w:pPr>
      <w:r>
        <w:t xml:space="preserve">RDCT (R Development Core Team). 2018. “R: A language and environment for statistical computing, v3.5.1. R Foundation for Statistical Computing, Vienna, Austria.”</w:t>
      </w:r>
    </w:p>
    <w:bookmarkEnd w:id="103"/>
    <w:bookmarkStart w:id="104"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413:591–96.</w:t>
      </w:r>
    </w:p>
    <w:bookmarkEnd w:id="104"/>
    <w:bookmarkStart w:id="106"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4:A1–A7.</w:t>
      </w:r>
      <w:r>
        <w:t xml:space="preserve"> </w:t>
      </w:r>
      <w:hyperlink r:id="rId105">
        <w:r>
          <w:rPr>
            <w:rStyle w:val="Hyperlink"/>
          </w:rPr>
          <w:t xml:space="preserve">https://doi.org/10.1016/j.rsma.2015.11.007</w:t>
        </w:r>
      </w:hyperlink>
      <w:r>
        <w:t xml:space="preserve">.</w:t>
      </w:r>
    </w:p>
    <w:bookmarkEnd w:id="106"/>
    <w:bookmarkStart w:id="108"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4:1–11.</w:t>
      </w:r>
      <w:r>
        <w:t xml:space="preserve"> </w:t>
      </w:r>
      <w:hyperlink r:id="rId107">
        <w:r>
          <w:rPr>
            <w:rStyle w:val="Hyperlink"/>
          </w:rPr>
          <w:t xml:space="preserve">https://doi.org/10.1016/j.rsma.2015.05.005</w:t>
        </w:r>
      </w:hyperlink>
      <w:r>
        <w:t xml:space="preserve">.</w:t>
      </w:r>
    </w:p>
    <w:bookmarkEnd w:id="108"/>
    <w:bookmarkStart w:id="109"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(3):294–319.</w:t>
      </w:r>
    </w:p>
    <w:bookmarkEnd w:id="109"/>
    <w:bookmarkStart w:id="111"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(8-12):373–82.</w:t>
      </w:r>
      <w:r>
        <w:t xml:space="preserve"> </w:t>
      </w:r>
      <w:hyperlink r:id="rId110">
        <w:r>
          <w:rPr>
            <w:rStyle w:val="Hyperlink"/>
          </w:rPr>
          <w:t xml:space="preserve">https://doi.org/10.1016/S0025-326X(99)00074-0</w:t>
        </w:r>
      </w:hyperlink>
      <w:r>
        <w:t xml:space="preserve">.</w:t>
      </w:r>
    </w:p>
    <w:bookmarkEnd w:id="111"/>
    <w:bookmarkStart w:id="112" w:name="ref-SWFWMD18"/>
    <w:p>
      <w:pPr>
        <w:pStyle w:val="Bibliography"/>
      </w:pPr>
      <w:r>
        <w:t xml:space="preserve">SWFWMD (Southwest Florida Water Management District). 2018. “Southwest Florida Water Management District Geospatial Open Data Portal.”</w:t>
      </w:r>
    </w:p>
    <w:bookmarkEnd w:id="112"/>
    <w:bookmarkStart w:id="113" w:name="ref-TBEP17"/>
    <w:p>
      <w:pPr>
        <w:pStyle w:val="Bibliography"/>
      </w:pPr>
      <w:r>
        <w:t xml:space="preserve">TBEP (Tampa Bay Estuary Program). 2017. “Tampa Bay Water Atlas.”</w:t>
      </w:r>
    </w:p>
    <w:bookmarkEnd w:id="113"/>
    <w:bookmarkStart w:id="114"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(1):1–20.</w:t>
      </w:r>
    </w:p>
    <w:bookmarkEnd w:id="114"/>
    <w:bookmarkEnd w:id="11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hyperlink" Id="rId44" Target="http://doi.org/10.5281/zenodo.2539623"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70" Target="https://doi.org/10.1002/ecs2.1242" TargetMode="External" /><Relationship Type="http://schemas.openxmlformats.org/officeDocument/2006/relationships/hyperlink" Id="rId74" Target="https://doi.org/10.1002/fee.1282" TargetMode="External" /><Relationship Type="http://schemas.openxmlformats.org/officeDocument/2006/relationships/hyperlink" Id="rId55" Target="https://doi.org/10.1002/wat2.1229" TargetMode="External" /><Relationship Type="http://schemas.openxmlformats.org/officeDocument/2006/relationships/hyperlink" Id="rId79" Target="https://doi.org/10.1007/BF02798646" TargetMode="External" /><Relationship Type="http://schemas.openxmlformats.org/officeDocument/2006/relationships/hyperlink" Id="rId61" Target="https://doi.org/10.1007/s10666-015-9452-8" TargetMode="External" /><Relationship Type="http://schemas.openxmlformats.org/officeDocument/2006/relationships/hyperlink" Id="rId66" Target="https://doi.org/10.1007/s12237-010-9347-5" TargetMode="External" /><Relationship Type="http://schemas.openxmlformats.org/officeDocument/2006/relationships/hyperlink" Id="rId110" Target="https://doi.org/10.1016/S0025-326X(99)00074-0" TargetMode="External" /><Relationship Type="http://schemas.openxmlformats.org/officeDocument/2006/relationships/hyperlink" Id="rId81" Target="https://doi.org/10.1016/j.ecss.2014.10.003" TargetMode="External" /><Relationship Type="http://schemas.openxmlformats.org/officeDocument/2006/relationships/hyperlink" Id="rId64" Target="https://doi.org/10.1016/j.marpolbul.2016.06.027" TargetMode="External" /><Relationship Type="http://schemas.openxmlformats.org/officeDocument/2006/relationships/hyperlink" Id="rId107" Target="https://doi.org/10.1016/j.rsma.2015.05.005" TargetMode="External" /><Relationship Type="http://schemas.openxmlformats.org/officeDocument/2006/relationships/hyperlink" Id="rId105" Target="https://doi.org/10.1016/j.rsma.2015.11.007" TargetMode="External" /><Relationship Type="http://schemas.openxmlformats.org/officeDocument/2006/relationships/hyperlink" Id="rId68" Target="https://doi.org/10.1016/j.scitotenv.2016.05.111" TargetMode="External" /><Relationship Type="http://schemas.openxmlformats.org/officeDocument/2006/relationships/hyperlink" Id="rId90" Target="https://doi.org/10.1016/j.scitotenv.2019.01.125" TargetMode="External" /><Relationship Type="http://schemas.openxmlformats.org/officeDocument/2006/relationships/hyperlink" Id="rId97" Target="https://doi.org/10.1046/j.1526-100X.2002.02033.x" TargetMode="External" /><Relationship Type="http://schemas.openxmlformats.org/officeDocument/2006/relationships/hyperlink" Id="rId85" Target="https://doi.org/10.1046/j.1526-100x.2001.009002239.x" TargetMode="External" /><Relationship Type="http://schemas.openxmlformats.org/officeDocument/2006/relationships/hyperlink" Id="rId101" Target="https://doi.org/10.1093/reep/ret024" TargetMode="External" /><Relationship Type="http://schemas.openxmlformats.org/officeDocument/2006/relationships/hyperlink" Id="rId57" Target="https://doi.org/10.1111/j.1526-100X.2005.00019.x" TargetMode="External" /><Relationship Type="http://schemas.openxmlformats.org/officeDocument/2006/relationships/hyperlink" Id="rId95" Target="https://doi.org/10.17226/23476" TargetMode="External" /><Relationship Type="http://schemas.openxmlformats.org/officeDocument/2006/relationships/hyperlink" Id="rId59" Target="https://doi.org/10.1890/15-1077" TargetMode="External" /><Relationship Type="http://schemas.openxmlformats.org/officeDocument/2006/relationships/hyperlink" Id="rId83" Target="https://doi.org/10.1890/1540-9295(2005)003[0259:RWPBPT]2.0.CO;2" TargetMode="External" /><Relationship Type="http://schemas.openxmlformats.org/officeDocument/2006/relationships/hyperlink" Id="rId92" Target="https://doi.org/10.2134/jeq2009.0108" TargetMode="External" /><Relationship Type="http://schemas.openxmlformats.org/officeDocument/2006/relationships/hyperlink" Id="rId72" Target="https://doi.org/10.3368/er.29.1-2.111"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_rels/footnotes.xml.rels><?xml version="1.0" encoding="UTF-8"?>
<Relationships xmlns="http://schemas.openxmlformats.org/package/2006/relationships"><Relationship Type="http://schemas.openxmlformats.org/officeDocument/2006/relationships/hyperlink" Id="rId44" Target="http://doi.org/10.5281/zenodo.2539623"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70" Target="https://doi.org/10.1002/ecs2.1242" TargetMode="External" /><Relationship Type="http://schemas.openxmlformats.org/officeDocument/2006/relationships/hyperlink" Id="rId74" Target="https://doi.org/10.1002/fee.1282" TargetMode="External" /><Relationship Type="http://schemas.openxmlformats.org/officeDocument/2006/relationships/hyperlink" Id="rId55" Target="https://doi.org/10.1002/wat2.1229" TargetMode="External" /><Relationship Type="http://schemas.openxmlformats.org/officeDocument/2006/relationships/hyperlink" Id="rId79" Target="https://doi.org/10.1007/BF02798646" TargetMode="External" /><Relationship Type="http://schemas.openxmlformats.org/officeDocument/2006/relationships/hyperlink" Id="rId61" Target="https://doi.org/10.1007/s10666-015-9452-8" TargetMode="External" /><Relationship Type="http://schemas.openxmlformats.org/officeDocument/2006/relationships/hyperlink" Id="rId66" Target="https://doi.org/10.1007/s12237-010-9347-5" TargetMode="External" /><Relationship Type="http://schemas.openxmlformats.org/officeDocument/2006/relationships/hyperlink" Id="rId110" Target="https://doi.org/10.1016/S0025-326X(99)00074-0" TargetMode="External" /><Relationship Type="http://schemas.openxmlformats.org/officeDocument/2006/relationships/hyperlink" Id="rId81" Target="https://doi.org/10.1016/j.ecss.2014.10.003" TargetMode="External" /><Relationship Type="http://schemas.openxmlformats.org/officeDocument/2006/relationships/hyperlink" Id="rId64" Target="https://doi.org/10.1016/j.marpolbul.2016.06.027" TargetMode="External" /><Relationship Type="http://schemas.openxmlformats.org/officeDocument/2006/relationships/hyperlink" Id="rId107" Target="https://doi.org/10.1016/j.rsma.2015.05.005" TargetMode="External" /><Relationship Type="http://schemas.openxmlformats.org/officeDocument/2006/relationships/hyperlink" Id="rId105" Target="https://doi.org/10.1016/j.rsma.2015.11.007" TargetMode="External" /><Relationship Type="http://schemas.openxmlformats.org/officeDocument/2006/relationships/hyperlink" Id="rId68" Target="https://doi.org/10.1016/j.scitotenv.2016.05.111" TargetMode="External" /><Relationship Type="http://schemas.openxmlformats.org/officeDocument/2006/relationships/hyperlink" Id="rId90" Target="https://doi.org/10.1016/j.scitotenv.2019.01.125" TargetMode="External" /><Relationship Type="http://schemas.openxmlformats.org/officeDocument/2006/relationships/hyperlink" Id="rId97" Target="https://doi.org/10.1046/j.1526-100X.2002.02033.x" TargetMode="External" /><Relationship Type="http://schemas.openxmlformats.org/officeDocument/2006/relationships/hyperlink" Id="rId85" Target="https://doi.org/10.1046/j.1526-100x.2001.009002239.x" TargetMode="External" /><Relationship Type="http://schemas.openxmlformats.org/officeDocument/2006/relationships/hyperlink" Id="rId101" Target="https://doi.org/10.1093/reep/ret024" TargetMode="External" /><Relationship Type="http://schemas.openxmlformats.org/officeDocument/2006/relationships/hyperlink" Id="rId57" Target="https://doi.org/10.1111/j.1526-100X.2005.00019.x" TargetMode="External" /><Relationship Type="http://schemas.openxmlformats.org/officeDocument/2006/relationships/hyperlink" Id="rId95" Target="https://doi.org/10.17226/23476" TargetMode="External" /><Relationship Type="http://schemas.openxmlformats.org/officeDocument/2006/relationships/hyperlink" Id="rId59" Target="https://doi.org/10.1890/15-1077" TargetMode="External" /><Relationship Type="http://schemas.openxmlformats.org/officeDocument/2006/relationships/hyperlink" Id="rId83" Target="https://doi.org/10.1890/1540-9295(2005)003[0259:RWPBPT]2.0.CO;2" TargetMode="External" /><Relationship Type="http://schemas.openxmlformats.org/officeDocument/2006/relationships/hyperlink" Id="rId92" Target="https://doi.org/10.2134/jeq2009.0108" TargetMode="External" /><Relationship Type="http://schemas.openxmlformats.org/officeDocument/2006/relationships/hyperlink" Id="rId72" Target="https://doi.org/10.3368/er.29.1-2.111"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2019-03-31T17:51:00Z</dcterms:created>
  <dcterms:modified xsi:type="dcterms:W3CDTF">2019-03-31T17:51:00Z</dcterms:modified>
</cp:coreProperties>
</file>