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48.png" ContentType="image/png"/>
  <Override PartName="/word/media/rId43.png" ContentType="image/png"/>
  <Override PartName="/word/media/rId44.png" ContentType="image/png"/>
  <Override PartName="/word/media/rId46.png" ContentType="image/png"/>
  <Override PartName="/word/media/rId42.png" ContentType="image/png"/>
  <Override PartName="/word/media/rId4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Tampa,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kdorans@mail.harvard.edu</w:t>
        </w:r>
      </w:hyperlink>
      <w:r>
        <w:t xml:space="preserve">), Tulane University,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varela_patricia@yahoo.com</w:t>
        </w:r>
      </w:hyperlink>
      <w:r>
        <w:t xml:space="preserve">), Geosyntec Consultants, Houston, TX</w:t>
      </w:r>
    </w:p>
    <w:p>
      <w:pPr>
        <w:pStyle w:val="BodyText"/>
      </w:pPr>
      <w:r>
        <w:t xml:space="preserve">Version Date: Fri Jan 11 17:57:14 2019 -0800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extended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Estimates of chlorophyll concentrations before and after the completion of one to many projects were used to develop an expectation of water quality changes from investments in different restoration activities. Water infrastructure projects to control point sources of nutrient loading into the bay were associated with the highest likelihood of chlorophyll reduction, particularly for projects occurring prior to 1995. Habitat restoration projects were also associated with reductions in chlorophyll, although the likelihood of reductions from the cumulative effects of these projects were less than those from infrastructure improvements. The framework is sufficiently flexible for application to different locations and could be used to develop reasonable expectations for future restoration projects along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Notwithstanding these challenges, the difficulty in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 while also impeding the recognition of any coastal ecosystem improvements derived from prolonged management, policy and restoration activities. Where long-term coastal monitoring programs have been implemented, a broader sense of how management, policy and restoration activities affect coastal ecosystem quality can be attained</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the implementation of coastal restoration ecology from a more informed perspective</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Primary funding for this effort stems from the legal settlements resulting from the 2010 Deepwater Horizon oil spill. Funding sources include: early restoration investments that were made immediately following the spill,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(RESTORE Act),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Because of the difficulties in demonstrating restoration success, new tools are needed to help guide and support the implementation of GOM restoration activities. Here, we present an empirical framework for evaluating the influence of multiple restoration project types on water quality improvements within a GOM estuary. The framework helps synthesize routine, ambient monitoring data across various spatio-temporal scales to demonstrate how the cumulative effects of coastal restoration activities contribute towards broad estuarine water quality improvements. Data on water quality and restoration projects in the Tampa Bay area (Florida, USA) were used to demonstrate application of the analysis framework. Tampa Bay is the second largest estuarine embayment in the GOM and has been intensively monitored since the mid-1970s. The ecological context of water quality changes in the Bay is well-described</w:t>
      </w:r>
      <w:r>
        <w:t xml:space="preserve"> </w:t>
      </w:r>
      <w:r>
        <w:t xml:space="preserve">(Greening et al.</w:t>
      </w:r>
      <w:r>
        <w:t xml:space="preserve"> </w:t>
      </w:r>
      <w:hyperlink w:anchor="ref-Greening2014">
        <w:r>
          <w:rPr>
            <w:rStyle w:val="Hyperlink"/>
          </w:rPr>
          <w:t xml:space="preserve">2014</w:t>
        </w:r>
      </w:hyperlink>
      <w:r>
        <w:t xml:space="preserve">)</w:t>
      </w:r>
      <w:r>
        <w:t xml:space="preserve"> </w:t>
      </w:r>
      <w:r>
        <w:t xml:space="preserve">and a comprehensive history of restoration projects occurring in the watershed is available, making Tampa Bay an ideal test case for demonstrating and applying a new evaluation framework. The water quality and restoration datasets were evaluated to identify: 1) the types of restoration activities that contribute to the greatest improvements in water quality, and 2) the time frames over which water quality benefits may be elucidated from synergistic restoration activities.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8" w:name="methods"/>
      <w:r>
        <w:t xml:space="preserve">Methods</w:t>
      </w:r>
      <w:bookmarkEnd w:id="28"/>
    </w:p>
    <w:p>
      <w:pPr>
        <w:pStyle w:val="Heading2"/>
      </w:pPr>
      <w:bookmarkStart w:id="29" w:name="study-area"/>
      <w:r>
        <w:t xml:space="preserve">Study area</w:t>
      </w:r>
      <w:bookmarkEnd w:id="29"/>
    </w:p>
    <w:p>
      <w:pPr>
        <w:pStyle w:val="FirstParagraph"/>
      </w:pPr>
      <w:r>
        <w:t xml:space="preserve">Tampa Bay is located on the west-central GOM coast of the Florida peninsula, and its watershed is one of the most highly developed regions in Florida (Figure</w:t>
      </w:r>
      <w:r>
        <w:t xml:space="preserve"> </w:t>
      </w:r>
      <w:r>
        <w:t xml:space="preserve">1</w:t>
      </w:r>
      <w:r>
        <w:t xml:space="preserve">). More than 60 percent of land within 15 km of the Bay shoreline is a mix of urban and suburban uses</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domestic,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 10^6 kg year-1, most of which came from untreated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concentrations, increased occurrence of harmful algal species, low concentrations of bottom water dissolved oxygen, low water clarity, reduced seagrass coverage, and reported declines in fishery yields for both sport and recreational species. Advanced wastewater treatment operations were implemented at municipal plants by the early 1980s. These efforts were successful in reducing nutrients loads to the Bay by as much as 90%.</w:t>
      </w:r>
    </w:p>
    <w:p>
      <w:pPr>
        <w:pStyle w:val="BodyText"/>
      </w:pPr>
      <w:r>
        <w:t xml:space="preserve">Current water quality in Tampa Bay is dramatically improved from historical conditions. Most notably, seagrass coverage in 2016 was reported as 16,857 hectares baywide, surpassing the restoration goal of coverage in the 1950s</w:t>
      </w:r>
      <w:r>
        <w:t xml:space="preserve"> </w:t>
      </w:r>
      <w:r>
        <w:t xml:space="preserve">(Sherwood et al.</w:t>
      </w:r>
      <w:r>
        <w:t xml:space="preserve"> </w:t>
      </w:r>
      <w:hyperlink w:anchor="ref-Sherwood17">
        <w:r>
          <w:rPr>
            <w:rStyle w:val="Hyperlink"/>
          </w:rPr>
          <w:t xml:space="preserve">2017</w:t>
        </w:r>
      </w:hyperlink>
      <w:r>
        <w:t xml:space="preserve">)</w:t>
      </w:r>
      <w:r>
        <w:t xml:space="preserve">. These changes have occurred in parallel with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w:t>
      </w:r>
    </w:p>
    <w:p>
      <w:pPr>
        <w:pStyle w:val="BodyText"/>
      </w:pPr>
      <w:r>
        <w:t xml:space="preserve">The cumulative and synergistic effects of nearly 900 additional management activities have also likely contributed to water quality improvements over the past 4 decades, yet no previous efforts have been made to quantify potential associations between these projects and water quality. Several hundred projects from both public and private entities have been completed since the 1971.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these projects affect adjacent estuarine water quality at various spatio-temporal scales will provide an improved understanding of the link between overall estuary improvements and specific restoration activities.</w:t>
      </w:r>
    </w:p>
    <w:p>
      <w:pPr>
        <w:pStyle w:val="Heading2"/>
      </w:pPr>
      <w:bookmarkStart w:id="30" w:name="data-sources"/>
      <w:r>
        <w:t xml:space="preserve">Data sources</w:t>
      </w:r>
      <w:bookmarkEnd w:id="30"/>
    </w:p>
    <w:p>
      <w:pPr>
        <w:pStyle w:val="FirstParagraph"/>
      </w:pPr>
      <w:r>
        <w:t xml:space="preserve">Several databases were synthesized to provide a comprehensive history of restoration projects that have occurred in Tampa Bay and its watershed. The first dataset was obtained from the Tampa Bay Water Atlas (version 2.3,</w:t>
      </w:r>
      <w:r>
        <w:t xml:space="preserve"> </w:t>
      </w:r>
      <w:hyperlink r:id="rId31">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maintained as a joint resource by the University of South Florida, the Tampa Bay Estuary Program (TBEP), and partners. This database included 253 projects from 1971 to 2007 that were primarily focused on habitat establishment, enhancement, or protection along the Bay’s immediate shoreline or within the larger watershed area (e.g., restoration of salt marshes and mangroves, exotic vegetation control, conversion of agricultural lands to natural habitats, etc.). Information on more recent projects (2008-2017) acquired from the US EPA’s National Estuary Program Mapper (</w:t>
      </w:r>
      <w:hyperlink r:id="rId32">
        <w:r>
          <w:rPr>
            <w:rStyle w:val="Hyperlink"/>
          </w:rPr>
          <w:t xml:space="preserve">https://gispub2.epa.gov/NEPmap/</w:t>
        </w:r>
      </w:hyperlink>
      <w:r>
        <w:t xml:space="preserve">) included an additional 265 projects. This database was limited to basic information, such as year of completion, geographic coordinates, general activities, and areal coverage. The last database was obtained from the TBEP Action Plan Database Portal (</w:t>
      </w:r>
      <w:hyperlink r:id="rId33">
        <w:r>
          <w:rPr>
            <w:rStyle w:val="Hyperlink"/>
          </w:rPr>
          <w:t xml:space="preserve">https://apdb.tbeptech.org/index.php</w:t>
        </w:r>
      </w:hyperlink>
      <w:r>
        <w:t xml:space="preserve">) to describe locations of broader infrastructure improvement projects, structural best management practices, and policy-driven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location, year of completion, and project classification of the restoration activity. Because the types of projects differed, a classification scheme was developed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for the perceived improvements in water quality over time. The five sub-categories (habitat enhancement, establishment, and protection; non-point and point source controls) were separately evaluated to describe the likelihood of changes in water quality associated with each type (described below). The final combined dataset included 887 projects from 1971 to 2017 (Figure</w:t>
      </w:r>
      <w:r>
        <w:t xml:space="preserve"> </w:t>
      </w:r>
      <w:r>
        <w:t xml:space="preserve">2</w:t>
      </w:r>
      <w:r>
        <w:t xml:space="preserve">). Projects with incomplete information (i.e., missing date) were not included in the final dataset.</w:t>
      </w:r>
    </w:p>
    <w:p>
      <w:pPr>
        <w:pStyle w:val="BodyText"/>
      </w:pPr>
      <w:r>
        <w:t xml:space="preserve">Water quality data in Tampa Bay have been consistently collected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Monitoring stations are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 were combined for a total of 515 monthly observations of each parameter at each station.</w:t>
      </w:r>
    </w:p>
    <w:p>
      <w:pPr>
        <w:pStyle w:val="Heading2"/>
      </w:pPr>
      <w:bookmarkStart w:id="34" w:name="data-synthesis-and-analysis-framework"/>
      <w:r>
        <w:t xml:space="preserve">Data synthesis and analysis framework</w:t>
      </w:r>
      <w:bookmarkEnd w:id="34"/>
    </w:p>
    <w:p>
      <w:pPr>
        <w:pStyle w:val="FirstParagraph"/>
      </w:pPr>
      <w:r>
        <w:t xml:space="preserve">Combining the restoration and water quality datasets was a critical part of developing the analysis framework. Each dataset described events or sampling activities with unique dates and locations and a simple synoptic pairing of restoration projects with water quality data was not possible. To address this challenge, observations in each dataset were spatially and temporally matched using an approach designed to maximize the potential of identifying a unique effect of the restoration projects on changes in water quality. Water quality monitoring sites were matched to the closest selected restoration projects and changes in the water quality data were evaluated relative to the completion dates of the selected projects.</w:t>
      </w:r>
    </w:p>
    <w:p>
      <w:pPr>
        <w:pStyle w:val="BodyText"/>
      </w:pPr>
      <w:r>
        <w:t xml:space="preserve">The matching between the two datasets began with a spatial join where the Euclidean distances between each water quality station and each restoration project were quantified. The spatial matches were used to create a ranking of project sites from each water quality station based on distance.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 associated with each project. Time windows that overlapped the start and end date of the water quality time series were discarded. The final two estimates of the before and after effects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effects of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 The total change in water quality for a project type was simply the difference in weighted averages. This process was repeated for every station and a graphical example of eqn. (1) is shown in Figure</w:t>
      </w:r>
      <w:r>
        <w:t xml:space="preserve"> </w:t>
      </w:r>
      <w:r>
        <w:t xml:space="preserve">5</w:t>
      </w:r>
      <w:r>
        <w:t xml:space="preserve">.</w:t>
      </w:r>
    </w:p>
    <w:p>
      <w:pPr>
        <w:pStyle w:val="BodyText"/>
      </w:pPr>
      <w:r>
        <w:t xml:space="preserve">There are key assumptions made by the above approach regarding how the analysis was conducted and what information is obtained from the result. First, our spatial-temporal matching of water quality data with restoration projects is strictly associative where the general assumption is that restoration projects will benefit water quality through a decrease in chlorophyll. We make no assumptions about the expected magnitude of an association given that the model does not describe a mechanism of change. However, a general expectation is that chlorophyll changes will be different by project type and this association will vary as a function of number of projects and evaluated time windows.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An additional assumption is that the model was designed to describe cumulative effects at different spatial scales. In eqn. (1), the association of a restoration type with chlorophyll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positively effect environmental change in the bay. The examples in Figures</w:t>
      </w:r>
      <w:r>
        <w:t xml:space="preserve"> </w:t>
      </w:r>
      <w:r>
        <w:t xml:space="preserve">3</w:t>
      </w:r>
      <w:r>
        <w:t xml:space="preserve">,</w:t>
      </w:r>
      <w:r>
        <w:t xml:space="preserve"> </w:t>
      </w:r>
      <w:r>
        <w:t xml:space="preserve">4</w:t>
      </w:r>
      <w:r>
        <w:t xml:space="preserve">, and</w:t>
      </w:r>
      <w:r>
        <w:t xml:space="preserve"> </w:t>
      </w:r>
      <w:r>
        <w:t xml:space="preserve">5</w:t>
      </w:r>
      <w:r>
        <w:t xml:space="preserve"> </w:t>
      </w:r>
      <w:r>
        <w:t xml:space="preserve">are focused on individual stations to demonstrate core principles of the approach. Estimates across stations were evaluated to describe baywide effects of restoration project types and by individual bay segments that have specific management targets for chlorophyll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This approach was used given the uneven distribution of restoration projects in space and time relative to the known changes in water quality that has been documented in the different Bay segments</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Finally, parameters in eqn. (1) affected the synthesis of the datasets which directly controlled the ability to characterize associations of each restoration project type with water quality changes, 1)</w:t>
      </w:r>
      <w:r>
        <w:t xml:space="preserve"> </w:t>
      </w:r>
      <m:oMath>
        <m:r>
          <m:t>n</m:t>
        </m:r>
      </m:oMath>
      <w:r>
        <w:t xml:space="preserve">, the number of spatially-matched restoration projects used to average the cumulative effect of each project type, and 2)</w:t>
      </w:r>
      <w:r>
        <w:t xml:space="preserve"> </w:t>
      </w:r>
      <m:oMath>
        <m:r>
          <m:t>w</m:t>
        </m:r>
        <m:r>
          <m:t>i</m:t>
        </m:r>
        <m:r>
          <m:t>n</m:t>
        </m:r>
      </m:oMath>
      <w:r>
        <w:t xml:space="preserve">, the time windows before and after a project completion date that were used to subset each water quality time series.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1"/>
      </w:pPr>
      <w:bookmarkStart w:id="35" w:name="results"/>
      <w:r>
        <w:t xml:space="preserve">Results</w:t>
      </w:r>
      <w:bookmarkEnd w:id="35"/>
    </w:p>
    <w:p>
      <w:pPr>
        <w:pStyle w:val="Heading2"/>
      </w:pPr>
      <w:bookmarkStart w:id="36" w:name="observed-data"/>
      <w:r>
        <w:t xml:space="preserve">Observed data</w:t>
      </w:r>
      <w:bookmarkEnd w:id="36"/>
    </w:p>
    <w:p>
      <w:pPr>
        <w:pStyle w:val="FirstParagraph"/>
      </w:pPr>
      <w:r>
        <w:t xml:space="preserve">Observed water quality trends in Tampa Bay showed a long-term decrease in Chlorophyll-a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in the earlier period of record from 1977 to 1987 (median 13.40</w:t>
      </w:r>
      <w:r>
        <w:t xml:space="preserve"> </w:t>
      </w:r>
      <m:oMath>
        <m:r>
          <m:t>μ</m:t>
        </m:r>
      </m:oMath>
      <w:r>
        <w:t xml:space="preserve">g/L at low salinity stations, 7.30</w:t>
      </w:r>
      <w:r>
        <w:t xml:space="preserve"> </w:t>
      </w:r>
      <m:oMath>
        <m:r>
          <m:t>μ</m:t>
        </m:r>
      </m:oMath>
      <w:r>
        <w:t xml:space="preserve">g/L at high salinity stations). Declines were consistent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Similarly, total nitrogen concentrations had similar trends as chlorophyll, although a consistent decline similar in magnitude was observed across all four decades</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nitrogen peaked in the late summer/early fall period.</w:t>
      </w:r>
    </w:p>
    <w:p>
      <w:pPr>
        <w:pStyle w:val="BodyText"/>
      </w:pPr>
      <w:r>
        <w:t xml:space="preserve">The consistent decline in chlorophyll concentrations were opposite to the observed trends in the number and types of restoration projects in the watershed. As shown in Figure</w:t>
      </w:r>
      <w:r>
        <w:t xml:space="preserve"> </w:t>
      </w:r>
      <w:r>
        <w:t xml:space="preserve">2</w:t>
      </w:r>
      <w:r>
        <w:t xml:space="preserve">, less projects were observed early in the record, whereas a majority were completed after the year 2000. For the entire record, 275 (31% of total) habitat enhancement, 259 (29%) habitat establishment, 45 (5%) habitat protection, 248 (28%) nonpoint source, and 60 (7%) point source control projects were observed. Individual point source controls early in the record were those that occurred in the historically polluted upper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Prior to 1995, only 11 water infrastructure projects (three non-point control, eight point source controls) were found in the database, whereas 70 habitat projects were observed (50 habitat establishment, 20 habitat enhancement). From 1995 and on, nearly ten times as many restoration projects were observed in the record (806 total) with notable increases in the number of nonpoint source controls (245) and habitat protection projects (45).</w:t>
      </w:r>
    </w:p>
    <w:p>
      <w:pPr>
        <w:pStyle w:val="Heading2"/>
      </w:pPr>
      <w:bookmarkStart w:id="37" w:name="relationships-of-restoration-projects-with-water-quality"/>
      <w:r>
        <w:t xml:space="preserve">Relationships of restoration projects with water quality</w:t>
      </w:r>
      <w:bookmarkEnd w:id="37"/>
    </w:p>
    <w:p>
      <w:pPr>
        <w:pStyle w:val="FirstParagraph"/>
      </w:pPr>
      <w:r>
        <w:t xml:space="preserve">A simple comparison of water quality measurements versus the cumulative number of restoration projects over time showed a decrease in both total nitrogen and chlorophyll with additional restoration. Figure</w:t>
      </w:r>
      <w:r>
        <w:t xml:space="preserve"> </w:t>
      </w:r>
      <w:r>
        <w:t xml:space="preserve">6</w:t>
      </w:r>
      <w:r>
        <w:t xml:space="preserve"> </w:t>
      </w:r>
      <w:r>
        <w:t xml:space="preserve">shows median water quality estimates across all monitoring stations for a given year against the total number of cumulative restoration projects for the current and all preceding years. Significant relationships were observed between water quality and number of projects for all project types (</w:t>
      </w:r>
      <m:oMath>
        <m:r>
          <m:t>α</m:t>
        </m:r>
      </m:oMath>
      <w:r>
        <w:t xml:space="preserve"> </w:t>
      </w:r>
      <w:r>
        <w:t xml:space="preserve">= 0.05), although the strength of association varied. Overall, stronger associations with number of projects were observed for total nitrogen and relatively weaker associations were observed for chlorophyll.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weak but marginally significant association was observed between chlorophyll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An obvious limitation of the above analysis is the confounding effect of almost all restoration projects increasing through time.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 reductions cannot be separated through simple linear analyses because both increase over time, i.e., an association of chlorophyll with one project type could be an artifact of an association with another project type. Likewise, a weak association (e.g., habitat protection and chlorophyll) does not provide strong evidence that a particular project type is unimportant for water quality improvements. Our formal approach that uses spatial-temporal matching between restoration projects and water quality stations is meant to overcome these challenges and results from the simple analysis above provides a basis of comparison for how our approach could lead to new insights.</w:t>
      </w:r>
    </w:p>
    <w:p>
      <w:pPr>
        <w:pStyle w:val="BodyText"/>
      </w:pPr>
      <w:r>
        <w:t xml:space="preserve">Baywide estimates of the potential effects of restoration projects using spatial-temporal matching differed depending on the year windows and number of closest restoration projects that were matched to each water quality station. Figure</w:t>
      </w:r>
      <w:r>
        <w:t xml:space="preserve"> </w:t>
      </w:r>
      <w:r>
        <w:t xml:space="preserve">7</w:t>
      </w:r>
      <w:r>
        <w:t xml:space="preserve"> </w:t>
      </w:r>
      <w:r>
        <w:t xml:space="preserve">shows the estimated associations of different projects types with chlorophyll at individual stations in the left maps and the baywide aggregate associations across all stations for a given project type in the right plots. Station points in the maps correspond to an estimate for the year window and closest project type selections for each project type that were obtained through the steps in Figure</w:t>
      </w:r>
      <w:r>
        <w:t xml:space="preserve"> </w:t>
      </w:r>
      <w:r>
        <w:t xml:space="preserve">5</w:t>
      </w:r>
      <w:r>
        <w:t xml:space="preserve"> </w:t>
      </w:r>
      <w:r>
        <w:t xml:space="preserve">and eqn. (1). Water quality stations outlined in black show where the estimated change is significant (i.e., the standard error lines in the bottom plot of Figure</w:t>
      </w:r>
      <w:r>
        <w:t xml:space="preserve"> </w:t>
      </w:r>
      <w:r>
        <w:t xml:space="preserve">5</w:t>
      </w:r>
      <w:r>
        <w:t xml:space="preserve"> </w:t>
      </w:r>
      <w:r>
        <w:t xml:space="preserve">do not include zero, green points where chlorophyll was lower, red points where higher).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a slight trend of longer time windows and more project matches with the number of monitoring stations that had significant changes was observed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w:t>
      </w:r>
    </w:p>
    <w:p>
      <w:pPr>
        <w:pStyle w:val="BodyText"/>
      </w:pPr>
      <w:r>
        <w:t xml:space="preserve">The estimated baywide effects for each project type showed that point source controls were more strongly associated with reductions in chlorophyll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 of approximately 2</w:t>
      </w:r>
      <w:r>
        <w:t xml:space="preserve"> </w:t>
      </w:r>
      <m:oMath>
        <m:r>
          <m:t>μ</m:t>
        </m:r>
      </m:oMath>
      <w:r>
        <w:t xml:space="preserve">g/L (based on the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 reductions, but only when more projects were considered (10 closest project combinations, Figure</w:t>
      </w:r>
      <w:r>
        <w:t xml:space="preserve"> </w:t>
      </w:r>
      <w:r>
        <w:t xml:space="preserve">7</w:t>
      </w:r>
      <w:r>
        <w:t xml:space="preserve">b, d). Estimated reductions were not as large for nonpoint source controls compared to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 particularly for ten year window combinations. Nonpoint source controls were also important, although significant associations with chlorophyll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 changes in Lower Tampa Bay were significantly associated with habitat enhancement and establishment projects for the 5 year window, 10 closest projects combination.</w:t>
      </w:r>
    </w:p>
    <w:p>
      <w:pPr>
        <w:pStyle w:val="Heading1"/>
      </w:pPr>
      <w:bookmarkStart w:id="38" w:name="discussion"/>
      <w:r>
        <w:t xml:space="preserve">Discussion</w:t>
      </w:r>
      <w:bookmarkEnd w:id="38"/>
    </w:p>
    <w:p>
      <w:pPr>
        <w:pStyle w:val="FirstParagraph"/>
      </w:pPr>
      <w:r>
        <w:t xml:space="preserve">Several conclusions can be made from the results that are supported by known changes in water quality over the history of long-term monitoring in Tampa Bay. As expected, water infrastructure projects related to point and nonpoint source controls were consistently associated with improvements in water quality. The observed record of restoration projects included key point control efforts that occurred in the upper portion of Tampa Bay (Hillsborough Bay)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effects provided a proof of concept for the overall approach. Moreover, efforts focused on mitigating effects of nonpoint sources of pollution were more common in the latter half of record after 1990 and our results provide evidence that suggests these projects have been effective in improving water quality baywide. Nonpoint control efforts broadly described several activities that included, among others, street sweeping, education/outreach efforts, and various best management practices for stormwater, agricultural, and wetland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w:t>
      </w:r>
      <w:r>
        <w:t xml:space="preserve"> </w:t>
      </w:r>
      <w:r>
        <w:t xml:space="preserve">and the results suggest that our approach is capable of detecting improvements in water quality from these projects.</w:t>
      </w:r>
    </w:p>
    <w:p>
      <w:pPr>
        <w:pStyle w:val="BodyText"/>
      </w:pPr>
      <w:r>
        <w:t xml:space="preserve">Habitat restoration projects were also associated with reductions in chlorophyll, although less so than those associated with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The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Based on these results, habitat protection may be a more cost-effective approach than other types of habitat restoration projects if evaluating the effects on overall bay conditions relative to effort.</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Water quality improvements that are observed after a short period of time since project completion and with fewer projects (e.g., 5 year window, 5 closest projects) may be more cost-effective than those where improvements are observed after longer periods of time and with more projects (e.g., 10 year window, 10 closest projects). Given this logic, both habitat protection and point source controls are cost-effective, whereas other projects may be less so if improvements are observed only if additional time passes or more projects are included (e.g., nonpoint source controls, habitat enhancement). However, this approach assumes that immediate improvements with minimal effort are desirable and implicitly discounts the long-term effects that may or may not persist for a given project type. System hysteresis may indicate an initial improvement of water quality associated from a particular project, although degraded conditions may persist long-term if additional restoration projects are not pursued or underlying problems are not addressed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with ten projects; reductions in chlorophyll were not shown to persist at the ten year window.</w:t>
      </w:r>
    </w:p>
    <w:p>
      <w:pPr>
        <w:pStyle w:val="Heading2"/>
      </w:pPr>
      <w:bookmarkStart w:id="39" w:name="assumptions-and-limitations"/>
      <w:r>
        <w:t xml:space="preserve">Assumptions and limitations</w:t>
      </w:r>
      <w:bookmarkEnd w:id="39"/>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actual truth is reflected in the estimates. At worst, we provide an approach that can identify the closest restoration projects that have occurred near a water quality monitoring site and at what points in the period of observation should a potential change be expected as a result of each project.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how water quality is expected to change as a function of types of restoration activities, how much improvement can be expected given the number of projects, and within which time frames improvement should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value of our approach to quantify cumulative effects of restoration on water quality is likely in between the best and worst case scenarios for how much certainty is reasonably expected in the conclusions. The ability of our model to support previously and well-described changes in water quality in response to management actions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 non-trivial amount of reasonable assurance in our model and that we have improved our understanding of restoration effectiveness beyond the basic information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model provides</w:t>
      </w:r>
      <w:r>
        <w:t xml:space="preserve"> </w:t>
      </w:r>
      <w:r>
        <w:t xml:space="preserve">(levels-of-evidence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Figure</w:t>
      </w:r>
      <w:r>
        <w:t xml:space="preserve"> </w:t>
      </w:r>
      <w:r>
        <w:t xml:space="preserve">7</w:t>
      </w:r>
      <w:r>
        <w:t xml:space="preserve"> </w:t>
      </w:r>
      <w:r>
        <w:t xml:space="preserve">suggests that point source controls were responsible for an approximate baywide reduction of 2</w:t>
      </w:r>
      <w:r>
        <w:t xml:space="preserve"> </w:t>
      </w:r>
      <m:oMath>
        <m:r>
          <m:t>μ</m:t>
        </m:r>
      </m:oMath>
      <w:r>
        <w:t xml:space="preserve">g/L of chlorophyll.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 would be reduced by 2</w:t>
      </w:r>
      <w:r>
        <w:t xml:space="preserve"> </w:t>
      </w:r>
      <m:oMath>
        <m:r>
          <m:t>μ</m:t>
        </m:r>
      </m:oMath>
      <w:r>
        <w:t xml:space="preserve">g/L of chlorophyll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This description is understandably vague, but it provides a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projects are</w:t>
      </w:r>
      <w:r>
        <w:t xml:space="preserve"> </w:t>
      </w:r>
      <w:r>
        <w:t xml:space="preserve">“</w:t>
      </w:r>
      <w:r>
        <w:t xml:space="preserve">more effective</w:t>
      </w:r>
      <w:r>
        <w:t xml:space="preserve">”</w:t>
      </w:r>
      <w:r>
        <w:t xml:space="preserve"> </w:t>
      </w:r>
      <w:r>
        <w:t xml:space="preserve">because improvements are expected with</w:t>
      </w:r>
      <w:r>
        <w:t xml:space="preserve"> </w:t>
      </w:r>
      <w:r>
        <w:t xml:space="preserve">“</w:t>
      </w:r>
      <w:r>
        <w:t xml:space="preserve">less time</w:t>
      </w:r>
      <w:r>
        <w:t xml:space="preserve">”</w:t>
      </w:r>
      <w:r>
        <w:t xml:space="preserve"> </w:t>
      </w:r>
      <w:r>
        <w:t xml:space="preserve">and</w:t>
      </w:r>
      <w:r>
        <w:t xml:space="preserve"> </w:t>
      </w:r>
      <w:r>
        <w:t xml:space="preserve">“</w:t>
      </w:r>
      <w:r>
        <w:t xml:space="preserve">less effort</w:t>
      </w:r>
      <w:r>
        <w:t xml:space="preserve">”</w:t>
      </w:r>
      <w:r>
        <w:t xml:space="preserve">,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Within these constraints, the model was strictly associative and any conclusions do not provide a mechanistic explanation. These limitations in our associative approach were apparent in some of the results. Specifically, significant increases in chlorophyll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did not adequately account for additional factors that were relevant for water quality. Our aggregated estimates using all stations to describe a baywide effect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to other GOM systems. We used Tampa Bay as an example where the outcome was partially known and a rich dataset was available, thereby developing an a priori expectation of the outcome and using the data to support previous conclusions about baywide trends. Application to additional systems would require, at minimum, water quality observations spanning multiple years and a similar dataset of restoration projects. Our categorization that described relevant water and habitat related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effects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w:t>
      </w:r>
    </w:p>
    <w:p>
      <w:pPr>
        <w:pStyle w:val="Heading2"/>
      </w:pPr>
      <w:bookmarkStart w:id="40" w:name="conclusions"/>
      <w:r>
        <w:t xml:space="preserve">Conclusions</w:t>
      </w:r>
      <w:bookmarkEnd w:id="40"/>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an expection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association of water quality changes to different restoration activities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41" w:name="figures"/>
      <w:r>
        <w:t xml:space="preserve">Figures</w:t>
      </w:r>
      <w:bookmarkEnd w:id="41"/>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r nrow(restdat)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w:t>
      </w:r>
      <w:r>
        <w:t xml:space="preserve"> </w:t>
      </w:r>
      <w:r>
        <w:rPr>
          <w:rStyle w:val="VerbatimChar"/>
        </w:rPr>
        <w:t xml:space="preserve">r nrow(restdat)</w:t>
      </w:r>
      <w:r>
        <w:t xml:space="preserve"> </w:t>
      </w:r>
      <w:r>
        <w:t xml:space="preserve">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r nrow(restdat)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3"/>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w:t>
      </w:r>
      <w:r>
        <w:t xml:space="preserve"> </w:t>
      </w:r>
      <w:r>
        <w:rPr>
          <w:rStyle w:val="VerbatimChar"/>
        </w:rPr>
        <w:t xml:space="preserve">r nrow(restdat)</w:t>
      </w:r>
      <w:r>
        <w:t xml:space="preserve"> </w:t>
      </w:r>
      <w:r>
        <w:t xml:space="preserve">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4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45"/>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46"/>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47"/>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48"/>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w:t>
      </w:r>
    </w:p>
    <w:p>
      <w:pPr>
        <w:pStyle w:val="Heading1"/>
      </w:pPr>
      <w:bookmarkStart w:id="49" w:name="tables"/>
      <w:r>
        <w:t xml:space="preserve">Tables</w:t>
      </w:r>
      <w:bookmarkEnd w:id="49"/>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 changes between restoration project types by segment and year/project number combinations were evaluated by ANOVA F-tests, whereas pairwise differences between project types were evaluated by t-tests with corrected p-values for multiple comparisons. Chlorophyll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Heading1"/>
      </w:pPr>
      <w:bookmarkStart w:id="50" w:name="references"/>
      <w:r>
        <w:t xml:space="preserve">References</w:t>
      </w:r>
      <w:bookmarkEnd w:id="50"/>
    </w:p>
    <w:bookmarkStart w:id="109" w:name="refs"/>
    <w:bookmarkStart w:id="52"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51">
        <w:r>
          <w:rPr>
            <w:rStyle w:val="Hyperlink"/>
          </w:rPr>
          <w:t xml:space="preserve">https://doi.org/10.1002/wat2.1229</w:t>
        </w:r>
      </w:hyperlink>
      <w:r>
        <w:t xml:space="preserve">.</w:t>
      </w:r>
    </w:p>
    <w:bookmarkEnd w:id="52"/>
    <w:bookmarkStart w:id="54"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(1):154–58.</w:t>
      </w:r>
      <w:r>
        <w:t xml:space="preserve"> </w:t>
      </w:r>
      <w:hyperlink r:id="rId53">
        <w:r>
          <w:rPr>
            <w:rStyle w:val="Hyperlink"/>
          </w:rPr>
          <w:t xml:space="preserve">https://doi.org/10.1111/j.1526-100X.2005.00019.x</w:t>
        </w:r>
      </w:hyperlink>
      <w:r>
        <w:t xml:space="preserve">.</w:t>
      </w:r>
    </w:p>
    <w:bookmarkEnd w:id="54"/>
    <w:bookmarkStart w:id="56"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55">
        <w:r>
          <w:rPr>
            <w:rStyle w:val="Hyperlink"/>
          </w:rPr>
          <w:t xml:space="preserve">https://doi.org/10.1890/15-1077</w:t>
        </w:r>
      </w:hyperlink>
      <w:r>
        <w:t xml:space="preserve">.</w:t>
      </w:r>
    </w:p>
    <w:bookmarkEnd w:id="56"/>
    <w:bookmarkStart w:id="58"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57">
        <w:r>
          <w:rPr>
            <w:rStyle w:val="Hyperlink"/>
          </w:rPr>
          <w:t xml:space="preserve">https://doi.org/10.1007/s10666-015-9452-8</w:t>
        </w:r>
      </w:hyperlink>
      <w:r>
        <w:t xml:space="preserve">.</w:t>
      </w:r>
    </w:p>
    <w:bookmarkEnd w:id="58"/>
    <w:bookmarkStart w:id="59"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59"/>
    <w:bookmarkStart w:id="61"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60">
        <w:r>
          <w:rPr>
            <w:rStyle w:val="Hyperlink"/>
          </w:rPr>
          <w:t xml:space="preserve">https://doi.org/10.1016/j.marpolbul.2016.06.027</w:t>
        </w:r>
      </w:hyperlink>
      <w:r>
        <w:t xml:space="preserve">.</w:t>
      </w:r>
    </w:p>
    <w:bookmarkEnd w:id="61"/>
    <w:bookmarkStart w:id="63"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62">
        <w:r>
          <w:rPr>
            <w:rStyle w:val="Hyperlink"/>
          </w:rPr>
          <w:t xml:space="preserve">https://doi.org/10.1007/s12237-010-9347-5</w:t>
        </w:r>
      </w:hyperlink>
      <w:r>
        <w:t xml:space="preserve">.</w:t>
      </w:r>
    </w:p>
    <w:bookmarkEnd w:id="63"/>
    <w:bookmarkStart w:id="65"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64">
        <w:r>
          <w:rPr>
            <w:rStyle w:val="Hyperlink"/>
          </w:rPr>
          <w:t xml:space="preserve">https://doi.org/10.1016/j.scitotenv.2016.05.111</w:t>
        </w:r>
      </w:hyperlink>
      <w:r>
        <w:t xml:space="preserve">.</w:t>
      </w:r>
    </w:p>
    <w:bookmarkEnd w:id="65"/>
    <w:bookmarkStart w:id="67"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66">
        <w:r>
          <w:rPr>
            <w:rStyle w:val="Hyperlink"/>
          </w:rPr>
          <w:t xml:space="preserve">https://doi.org/10.1002/ecs2.1242</w:t>
        </w:r>
      </w:hyperlink>
      <w:r>
        <w:t xml:space="preserve">.</w:t>
      </w:r>
    </w:p>
    <w:bookmarkEnd w:id="67"/>
    <w:bookmarkStart w:id="69"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(1-2):111–32.</w:t>
      </w:r>
      <w:r>
        <w:t xml:space="preserve"> </w:t>
      </w:r>
      <w:hyperlink r:id="rId68">
        <w:r>
          <w:rPr>
            <w:rStyle w:val="Hyperlink"/>
          </w:rPr>
          <w:t xml:space="preserve">https://doi.org/10.3368/er.29.1-2.111</w:t>
        </w:r>
      </w:hyperlink>
      <w:r>
        <w:t xml:space="preserve">.</w:t>
      </w:r>
    </w:p>
    <w:bookmarkEnd w:id="69"/>
    <w:bookmarkStart w:id="71"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70">
        <w:r>
          <w:rPr>
            <w:rStyle w:val="Hyperlink"/>
          </w:rPr>
          <w:t xml:space="preserve">https://doi.org/10.1002/fee.1282</w:t>
        </w:r>
      </w:hyperlink>
      <w:r>
        <w:t xml:space="preserve">.</w:t>
      </w:r>
    </w:p>
    <w:bookmarkEnd w:id="71"/>
    <w:bookmarkStart w:id="72" w:name="ref-GCERC13"/>
    <w:p>
      <w:pPr>
        <w:pStyle w:val="Bibliography"/>
      </w:pPr>
      <w:r>
        <w:t xml:space="preserve">GCERC (Gulf Coast Ecosystem Restoration Council). 2013. “Comprehensive Plan: Restoring the Gulf Coast’s Ecosystem and Economy.”</w:t>
      </w:r>
    </w:p>
    <w:bookmarkEnd w:id="72"/>
    <w:bookmarkStart w:id="73" w:name="ref-GCERC16"/>
    <w:p>
      <w:pPr>
        <w:pStyle w:val="Bibliography"/>
      </w:pPr>
      <w:r>
        <w:t xml:space="preserve">———. 2016. “Comprehensive Plan: Update 2016, Restoring the Gulf Coast’s Ecosystem and Economy.”</w:t>
      </w:r>
    </w:p>
    <w:bookmarkEnd w:id="73"/>
    <w:bookmarkStart w:id="74"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74"/>
    <w:bookmarkStart w:id="76"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75">
        <w:r>
          <w:rPr>
            <w:rStyle w:val="Hyperlink"/>
          </w:rPr>
          <w:t xml:space="preserve">https://doi.org/10.1007/BF02798646</w:t>
        </w:r>
      </w:hyperlink>
      <w:r>
        <w:t xml:space="preserve">.</w:t>
      </w:r>
    </w:p>
    <w:bookmarkEnd w:id="76"/>
    <w:bookmarkStart w:id="78"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77">
        <w:r>
          <w:rPr>
            <w:rStyle w:val="Hyperlink"/>
          </w:rPr>
          <w:t xml:space="preserve">https://doi.org/10.1016/j.ecss.2014.10.003</w:t>
        </w:r>
      </w:hyperlink>
      <w:r>
        <w:t xml:space="preserve">.</w:t>
      </w:r>
    </w:p>
    <w:bookmarkEnd w:id="78"/>
    <w:bookmarkStart w:id="80"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79">
        <w:r>
          <w:rPr>
            <w:rStyle w:val="Hyperlink"/>
          </w:rPr>
          <w:t xml:space="preserve">https://doi.org/10.1890/1540-9295(2005)003[0259:RWPBPT]2.0.CO;2</w:t>
        </w:r>
      </w:hyperlink>
      <w:r>
        <w:t xml:space="preserve">.</w:t>
      </w:r>
    </w:p>
    <w:bookmarkEnd w:id="80"/>
    <w:bookmarkStart w:id="82"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81">
        <w:r>
          <w:rPr>
            <w:rStyle w:val="Hyperlink"/>
          </w:rPr>
          <w:t xml:space="preserve">https://doi.org/10.1046/j.1526-100x.2001.009002239.x</w:t>
        </w:r>
      </w:hyperlink>
      <w:r>
        <w:t xml:space="preserve">.</w:t>
      </w:r>
    </w:p>
    <w:bookmarkEnd w:id="82"/>
    <w:bookmarkStart w:id="83"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83"/>
    <w:bookmarkStart w:id="84"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84"/>
    <w:bookmarkStart w:id="85"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85"/>
    <w:bookmarkStart w:id="87"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86">
        <w:r>
          <w:rPr>
            <w:rStyle w:val="Hyperlink"/>
          </w:rPr>
          <w:t xml:space="preserve">https://doi.org/10.2134/jeq2009.0108</w:t>
        </w:r>
      </w:hyperlink>
      <w:r>
        <w:t xml:space="preserve">.</w:t>
      </w:r>
    </w:p>
    <w:bookmarkEnd w:id="87"/>
    <w:bookmarkStart w:id="88"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88"/>
    <w:bookmarkStart w:id="90"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w:t>
      </w:r>
      <w:r>
        <w:t xml:space="preserve"> </w:t>
      </w:r>
      <w:hyperlink r:id="rId89">
        <w:r>
          <w:rPr>
            <w:rStyle w:val="Hyperlink"/>
          </w:rPr>
          <w:t xml:space="preserve">https://doi.org/10.17226/23476</w:t>
        </w:r>
      </w:hyperlink>
      <w:r>
        <w:t xml:space="preserve">.</w:t>
      </w:r>
    </w:p>
    <w:bookmarkEnd w:id="90"/>
    <w:bookmarkStart w:id="92"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(3):556–63.</w:t>
      </w:r>
      <w:r>
        <w:t xml:space="preserve"> </w:t>
      </w:r>
      <w:hyperlink r:id="rId91">
        <w:r>
          <w:rPr>
            <w:rStyle w:val="Hyperlink"/>
          </w:rPr>
          <w:t xml:space="preserve">https://doi.org/10.1046/j.1526-100X.2002.02033.x</w:t>
        </w:r>
      </w:hyperlink>
      <w:r>
        <w:t xml:space="preserve">.</w:t>
      </w:r>
    </w:p>
    <w:bookmarkEnd w:id="92"/>
    <w:bookmarkStart w:id="93"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93"/>
    <w:bookmarkStart w:id="94"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94"/>
    <w:bookmarkStart w:id="96"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95">
        <w:r>
          <w:rPr>
            <w:rStyle w:val="Hyperlink"/>
          </w:rPr>
          <w:t xml:space="preserve">https://doi.org/10.1093/reep/ret024</w:t>
        </w:r>
      </w:hyperlink>
      <w:r>
        <w:t xml:space="preserve">.</w:t>
      </w:r>
    </w:p>
    <w:bookmarkEnd w:id="96"/>
    <w:bookmarkStart w:id="97" w:name="ref-RDCT18"/>
    <w:p>
      <w:pPr>
        <w:pStyle w:val="Bibliography"/>
      </w:pPr>
      <w:r>
        <w:t xml:space="preserve">RDCT (R Development Core Team). 2018. “R: A language and environment for statistical computing, v3.5.1. R Foundation for Statistical Computing, Vienna, Austria.”</w:t>
      </w:r>
    </w:p>
    <w:bookmarkEnd w:id="97"/>
    <w:bookmarkStart w:id="98"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98"/>
    <w:bookmarkStart w:id="100"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99">
        <w:r>
          <w:rPr>
            <w:rStyle w:val="Hyperlink"/>
          </w:rPr>
          <w:t xml:space="preserve">https://doi.org/10.1016/j.rsma.2015.11.007</w:t>
        </w:r>
      </w:hyperlink>
      <w:r>
        <w:t xml:space="preserve">.</w:t>
      </w:r>
    </w:p>
    <w:bookmarkEnd w:id="100"/>
    <w:bookmarkStart w:id="102"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101">
        <w:r>
          <w:rPr>
            <w:rStyle w:val="Hyperlink"/>
          </w:rPr>
          <w:t xml:space="preserve">https://doi.org/10.1016/j.rsma.2015.05.005</w:t>
        </w:r>
      </w:hyperlink>
      <w:r>
        <w:t xml:space="preserve">.</w:t>
      </w:r>
    </w:p>
    <w:bookmarkEnd w:id="102"/>
    <w:bookmarkStart w:id="103"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103"/>
    <w:bookmarkStart w:id="105"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(8-12):373–82.</w:t>
      </w:r>
      <w:r>
        <w:t xml:space="preserve"> </w:t>
      </w:r>
      <w:hyperlink r:id="rId104">
        <w:r>
          <w:rPr>
            <w:rStyle w:val="Hyperlink"/>
          </w:rPr>
          <w:t xml:space="preserve">https://doi.org/10.1016/S0025-326X(99)00074-0</w:t>
        </w:r>
      </w:hyperlink>
      <w:r>
        <w:t xml:space="preserve">.</w:t>
      </w:r>
    </w:p>
    <w:bookmarkEnd w:id="105"/>
    <w:bookmarkStart w:id="106" w:name="ref-SWFWMD18"/>
    <w:p>
      <w:pPr>
        <w:pStyle w:val="Bibliography"/>
      </w:pPr>
      <w:r>
        <w:t xml:space="preserve">SWFWMD (Southwest Florida Water Management District). 2018. “Southwest Florida Water Management District Geospatial Open Data Portal.”</w:t>
      </w:r>
    </w:p>
    <w:bookmarkEnd w:id="106"/>
    <w:bookmarkStart w:id="107" w:name="ref-TBEP17"/>
    <w:p>
      <w:pPr>
        <w:pStyle w:val="Bibliography"/>
      </w:pPr>
      <w:r>
        <w:t xml:space="preserve">TBEP (Tampa Bay Estuary Program). 2017. “Tampa Bay Water Atlas.”</w:t>
      </w:r>
    </w:p>
    <w:bookmarkEnd w:id="107"/>
    <w:bookmarkStart w:id="108"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108"/>
    <w:bookmarkEnd w:id="10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6" Target="https://doi.org/10.1002/ecs2.1242" TargetMode="External" /><Relationship Type="http://schemas.openxmlformats.org/officeDocument/2006/relationships/hyperlink" Id="rId70" Target="https://doi.org/10.1002/fee.1282" TargetMode="External" /><Relationship Type="http://schemas.openxmlformats.org/officeDocument/2006/relationships/hyperlink" Id="rId51" Target="https://doi.org/10.1002/wat2.1229" TargetMode="External" /><Relationship Type="http://schemas.openxmlformats.org/officeDocument/2006/relationships/hyperlink" Id="rId75" Target="https://doi.org/10.1007/BF02798646" TargetMode="External" /><Relationship Type="http://schemas.openxmlformats.org/officeDocument/2006/relationships/hyperlink" Id="rId57" Target="https://doi.org/10.1007/s10666-015-9452-8" TargetMode="External" /><Relationship Type="http://schemas.openxmlformats.org/officeDocument/2006/relationships/hyperlink" Id="rId62" Target="https://doi.org/10.1007/s12237-010-9347-5" TargetMode="External" /><Relationship Type="http://schemas.openxmlformats.org/officeDocument/2006/relationships/hyperlink" Id="rId104" Target="https://doi.org/10.1016/S0025-326X(99)00074-0" TargetMode="External" /><Relationship Type="http://schemas.openxmlformats.org/officeDocument/2006/relationships/hyperlink" Id="rId77" Target="https://doi.org/10.1016/j.ecss.2014.10.003" TargetMode="External" /><Relationship Type="http://schemas.openxmlformats.org/officeDocument/2006/relationships/hyperlink" Id="rId60" Target="https://doi.org/10.1016/j.marpolbul.2016.06.027" TargetMode="External" /><Relationship Type="http://schemas.openxmlformats.org/officeDocument/2006/relationships/hyperlink" Id="rId101" Target="https://doi.org/10.1016/j.rsma.2015.05.005" TargetMode="External" /><Relationship Type="http://schemas.openxmlformats.org/officeDocument/2006/relationships/hyperlink" Id="rId99" Target="https://doi.org/10.1016/j.rsma.2015.11.007" TargetMode="External" /><Relationship Type="http://schemas.openxmlformats.org/officeDocument/2006/relationships/hyperlink" Id="rId64" Target="https://doi.org/10.1016/j.scitotenv.2016.05.111" TargetMode="External" /><Relationship Type="http://schemas.openxmlformats.org/officeDocument/2006/relationships/hyperlink" Id="rId91" Target="https://doi.org/10.1046/j.1526-100X.2002.02033.x" TargetMode="External" /><Relationship Type="http://schemas.openxmlformats.org/officeDocument/2006/relationships/hyperlink" Id="rId81" Target="https://doi.org/10.1046/j.1526-100x.2001.009002239.x" TargetMode="External" /><Relationship Type="http://schemas.openxmlformats.org/officeDocument/2006/relationships/hyperlink" Id="rId95" Target="https://doi.org/10.1093/reep/ret024" TargetMode="External" /><Relationship Type="http://schemas.openxmlformats.org/officeDocument/2006/relationships/hyperlink" Id="rId53" Target="https://doi.org/10.1111/j.1526-100X.2005.00019.x" TargetMode="External" /><Relationship Type="http://schemas.openxmlformats.org/officeDocument/2006/relationships/hyperlink" Id="rId89" Target="https://doi.org/10.17226/23476" TargetMode="External" /><Relationship Type="http://schemas.openxmlformats.org/officeDocument/2006/relationships/hyperlink" Id="rId55" Target="https://doi.org/10.1890/15-1077" TargetMode="External" /><Relationship Type="http://schemas.openxmlformats.org/officeDocument/2006/relationships/hyperlink" Id="rId79" Target="https://doi.org/10.1890/1540-9295(2005)003[0259:RWPBPT]2.0.CO;2" TargetMode="External" /><Relationship Type="http://schemas.openxmlformats.org/officeDocument/2006/relationships/hyperlink" Id="rId86" Target="https://doi.org/10.2134/jeq2009.0108" TargetMode="External" /><Relationship Type="http://schemas.openxmlformats.org/officeDocument/2006/relationships/hyperlink" Id="rId68"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_rels/footnotes.xml.rels><?xml version="1.0" encoding="UTF-8"?>
<Relationships xmlns="http://schemas.openxmlformats.org/package/2006/relationships"><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6" Target="https://doi.org/10.1002/ecs2.1242" TargetMode="External" /><Relationship Type="http://schemas.openxmlformats.org/officeDocument/2006/relationships/hyperlink" Id="rId70" Target="https://doi.org/10.1002/fee.1282" TargetMode="External" /><Relationship Type="http://schemas.openxmlformats.org/officeDocument/2006/relationships/hyperlink" Id="rId51" Target="https://doi.org/10.1002/wat2.1229" TargetMode="External" /><Relationship Type="http://schemas.openxmlformats.org/officeDocument/2006/relationships/hyperlink" Id="rId75" Target="https://doi.org/10.1007/BF02798646" TargetMode="External" /><Relationship Type="http://schemas.openxmlformats.org/officeDocument/2006/relationships/hyperlink" Id="rId57" Target="https://doi.org/10.1007/s10666-015-9452-8" TargetMode="External" /><Relationship Type="http://schemas.openxmlformats.org/officeDocument/2006/relationships/hyperlink" Id="rId62" Target="https://doi.org/10.1007/s12237-010-9347-5" TargetMode="External" /><Relationship Type="http://schemas.openxmlformats.org/officeDocument/2006/relationships/hyperlink" Id="rId104" Target="https://doi.org/10.1016/S0025-326X(99)00074-0" TargetMode="External" /><Relationship Type="http://schemas.openxmlformats.org/officeDocument/2006/relationships/hyperlink" Id="rId77" Target="https://doi.org/10.1016/j.ecss.2014.10.003" TargetMode="External" /><Relationship Type="http://schemas.openxmlformats.org/officeDocument/2006/relationships/hyperlink" Id="rId60" Target="https://doi.org/10.1016/j.marpolbul.2016.06.027" TargetMode="External" /><Relationship Type="http://schemas.openxmlformats.org/officeDocument/2006/relationships/hyperlink" Id="rId101" Target="https://doi.org/10.1016/j.rsma.2015.05.005" TargetMode="External" /><Relationship Type="http://schemas.openxmlformats.org/officeDocument/2006/relationships/hyperlink" Id="rId99" Target="https://doi.org/10.1016/j.rsma.2015.11.007" TargetMode="External" /><Relationship Type="http://schemas.openxmlformats.org/officeDocument/2006/relationships/hyperlink" Id="rId64" Target="https://doi.org/10.1016/j.scitotenv.2016.05.111" TargetMode="External" /><Relationship Type="http://schemas.openxmlformats.org/officeDocument/2006/relationships/hyperlink" Id="rId91" Target="https://doi.org/10.1046/j.1526-100X.2002.02033.x" TargetMode="External" /><Relationship Type="http://schemas.openxmlformats.org/officeDocument/2006/relationships/hyperlink" Id="rId81" Target="https://doi.org/10.1046/j.1526-100x.2001.009002239.x" TargetMode="External" /><Relationship Type="http://schemas.openxmlformats.org/officeDocument/2006/relationships/hyperlink" Id="rId95" Target="https://doi.org/10.1093/reep/ret024" TargetMode="External" /><Relationship Type="http://schemas.openxmlformats.org/officeDocument/2006/relationships/hyperlink" Id="rId53" Target="https://doi.org/10.1111/j.1526-100X.2005.00019.x" TargetMode="External" /><Relationship Type="http://schemas.openxmlformats.org/officeDocument/2006/relationships/hyperlink" Id="rId89" Target="https://doi.org/10.17226/23476" TargetMode="External" /><Relationship Type="http://schemas.openxmlformats.org/officeDocument/2006/relationships/hyperlink" Id="rId55" Target="https://doi.org/10.1890/15-1077" TargetMode="External" /><Relationship Type="http://schemas.openxmlformats.org/officeDocument/2006/relationships/hyperlink" Id="rId79" Target="https://doi.org/10.1890/1540-9295(2005)003[0259:RWPBPT]2.0.CO;2" TargetMode="External" /><Relationship Type="http://schemas.openxmlformats.org/officeDocument/2006/relationships/hyperlink" Id="rId86" Target="https://doi.org/10.2134/jeq2009.0108" TargetMode="External" /><Relationship Type="http://schemas.openxmlformats.org/officeDocument/2006/relationships/hyperlink" Id="rId68"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2019-01-14T18:33:34Z</dcterms:created>
  <dcterms:modified xsi:type="dcterms:W3CDTF">2019-01-14T18:33:34Z</dcterms:modified>
</cp:coreProperties>
</file>