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197A727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attenuation.</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and the resulting estimates</w:t>
      </w:r>
      <w:r>
        <w:rPr>
          <w:rFonts w:ascii="Times New Roman" w:hAnsi="Times New Roman"/>
        </w:rPr>
        <w:t xml:space="preserve"> 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among estimates 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6CD14E9B"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water clarity via physiological linkages with light availability. 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water clarity,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2BA6FC84"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water clarity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 xml:space="preserve">submersed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and average water clarity</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1DF32CC8" w:rsidR="005066CA" w:rsidRDefault="00A43204" w:rsidP="00791560">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lastRenderedPageBreak/>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water clarity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21475AC5"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water clarity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water clarity observations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water clarity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r w:rsidR="00F61194">
        <w:rPr>
          <w:rFonts w:ascii="Times New Roman" w:hAnsi="Times New Roman"/>
        </w:rPr>
        <w:t xml:space="preserve">water </w:t>
      </w:r>
      <w:r w:rsidR="008D20CF">
        <w:rPr>
          <w:rFonts w:ascii="Times New Roman" w:hAnsi="Times New Roman"/>
        </w:rPr>
        <w:t>clarity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seasonal and inter-annual patterns in water clarity,</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7124B736"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four </w:t>
      </w:r>
      <w:r w:rsidR="00344818">
        <w:rPr>
          <w:rFonts w:ascii="Times New Roman" w:hAnsi="Times New Roman"/>
        </w:rPr>
        <w:t>target</w:t>
      </w:r>
      <w:r w:rsidR="00344818" w:rsidRPr="00997053">
        <w:rPr>
          <w:rFonts w:ascii="Times New Roman" w:hAnsi="Times New Roman"/>
        </w:rPr>
        <w:t xml:space="preserve"> </w:t>
      </w:r>
      <w:r w:rsidR="00E776E7">
        <w:rPr>
          <w:rFonts w:ascii="Times New Roman" w:hAnsi="Times New Roman"/>
        </w:rPr>
        <w:t xml:space="preserve">estuaries in Florida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Pr="00997053">
        <w:rPr>
          <w:rFonts w:ascii="Times New Roman" w:hAnsi="Times New Roman"/>
        </w:rPr>
        <w:t xml:space="preserve">water clarity, </w:t>
      </w:r>
      <w:r w:rsidR="00E776E7">
        <w:rPr>
          <w:rFonts w:ascii="Times New Roman" w:hAnsi="Times New Roman"/>
        </w:rPr>
        <w:t xml:space="preserve">characterizing patterns in </w:t>
      </w:r>
      <w:r w:rsidRPr="00997053">
        <w:rPr>
          <w:rFonts w:ascii="Times New Roman" w:hAnsi="Times New Roman"/>
        </w:rPr>
        <w:lastRenderedPageBreak/>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1709166D"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 data availability and gradients in water clarity</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due to insufficient water clarity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w:t>
      </w:r>
      <w:r w:rsidRPr="00997053">
        <w:rPr>
          <w:rFonts w:ascii="Times New Roman" w:hAnsi="Times New Roman"/>
        </w:rPr>
        <w:lastRenderedPageBreak/>
        <w:t>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77777777"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Quantifying water clarity</w:t>
      </w:r>
    </w:p>
    <w:bookmarkEnd w:id="4"/>
    <w:p w14:paraId="3CCDB305" w14:textId="619B3B4B"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map of estimated water clarity</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water clarity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7E44D227"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Version 7.0). For Tampa Bay, water clarity</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 based on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water clarity was calculated 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xml:space="preserve">. 2005). </w:t>
      </w:r>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computed from regressions of 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 xml:space="preserve">) </w:t>
      </w:r>
      <w:r w:rsidR="006E6D01">
        <w:rPr>
          <w:rFonts w:ascii="Times New Roman" w:hAnsi="Times New Roman"/>
        </w:rPr>
        <w:t xml:space="preserve">vs. depth. </w:t>
      </w:r>
      <w:r w:rsidR="00910D26" w:rsidRPr="00997053">
        <w:rPr>
          <w:rFonts w:ascii="Times New Roman" w:hAnsi="Times New Roman"/>
        </w:rPr>
        <w:t xml:space="preserve">The </w:t>
      </w:r>
      <w:r w:rsidR="00EC4B9D">
        <w:rPr>
          <w:rFonts w:ascii="Times New Roman" w:hAnsi="Times New Roman"/>
        </w:rPr>
        <w:t xml:space="preserve">regression based on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w:t>
      </w:r>
      <w:r w:rsidR="00910D26" w:rsidRPr="00997053">
        <w:rPr>
          <w:rFonts w:ascii="Times New Roman" w:hAnsi="Times New Roman"/>
        </w:rPr>
        <w:lastRenderedPageBreak/>
        <w:t xml:space="preserve">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095E034F" w14:textId="10CDF1D2"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a significant coverage of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6" w:author="Beck, Marcus" w:date="2017-01-31T14:29:00Z">
        <w:r w:rsidR="000968E8">
          <w:rPr>
            <w:rFonts w:ascii="Times New Roman" w:hAnsi="Times New Roman"/>
          </w:rPr>
          <w:t xml:space="preserve">isolated patches (or outliers) </w:t>
        </w:r>
      </w:ins>
      <w:del w:id="7"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3118D0E2"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as a function of depth</w:t>
      </w:r>
      <w:del w:id="8" w:author="Beck, Marcus" w:date="2017-01-31T14:52:00Z">
        <w:r w:rsidR="0090372D" w:rsidDel="007A57A1">
          <w:rPr>
            <w:rFonts w:ascii="Times New Roman" w:hAnsi="Times New Roman"/>
          </w:rPr>
          <w:delText xml:space="preserve"> </w:delText>
        </w:r>
        <w:r w:rsidR="00910D26" w:rsidRPr="00997053" w:rsidDel="007A57A1">
          <w:rPr>
            <w:rFonts w:ascii="Times New Roman" w:hAnsi="Times New Roman"/>
          </w:rPr>
          <w:delText>(</w:delText>
        </w:r>
        <w:r w:rsidR="004536FC" w:rsidDel="007A57A1">
          <w:rPr>
            <w:rFonts w:ascii="Times New Roman" w:hAnsi="Times New Roman"/>
          </w:rPr>
          <w:delText>Fig.</w:delText>
        </w:r>
        <w:r w:rsidR="00A451DF" w:rsidDel="007A57A1">
          <w:rPr>
            <w:rFonts w:ascii="Times New Roman" w:hAnsi="Times New Roman"/>
          </w:rPr>
          <w:delText xml:space="preserve"> 3</w:delText>
        </w:r>
      </w:del>
      <w:del w:id="9" w:author="Beck, Marcus" w:date="2017-01-31T14:51:00Z">
        <w:r w:rsidR="00A451DF" w:rsidDel="007A57A1">
          <w:rPr>
            <w:rFonts w:ascii="Times New Roman" w:hAnsi="Times New Roman"/>
          </w:rPr>
          <w:delText>a</w:delText>
        </w:r>
      </w:del>
      <w:del w:id="10" w:author="Beck, Marcus" w:date="2017-01-31T14:52:00Z">
        <w:r w:rsidR="00910D26" w:rsidRPr="00997053" w:rsidDel="007A57A1">
          <w:rPr>
            <w:rFonts w:ascii="Times New Roman" w:hAnsi="Times New Roman"/>
          </w:rPr>
          <w:delText>)</w:delText>
        </w:r>
      </w:del>
      <w:r w:rsidR="00910D26" w:rsidRPr="00997053">
        <w:rPr>
          <w:rFonts w:ascii="Times New Roman" w:hAnsi="Times New Roman"/>
        </w:rPr>
        <w:t xml:space="preserve">. </w:t>
      </w:r>
      <w:ins w:id="11" w:author="Beck, Marcus" w:date="2017-01-31T14:52:00Z">
        <w:r w:rsidR="007A57A1" w:rsidRPr="009374F5">
          <w:rPr>
            <w:rFonts w:ascii="Times New Roman" w:hAnsi="Times New Roman"/>
            <w:color w:val="5B9BD5" w:themeColor="accent1"/>
          </w:rPr>
          <w:t xml:space="preserve">The chosen radius depends on the information desired about a location.  </w:t>
        </w:r>
      </w:ins>
      <w:del w:id="12" w:author="Beck, Marcus" w:date="2017-01-31T14:52:00Z">
        <w:r w:rsidR="008C223C" w:rsidDel="007A57A1">
          <w:rPr>
            <w:rFonts w:ascii="Times New Roman" w:hAnsi="Times New Roman"/>
          </w:rPr>
          <w:delText>T</w:delText>
        </w:r>
        <w:r w:rsidR="008C223C" w:rsidRPr="00997053" w:rsidDel="007A57A1">
          <w:rPr>
            <w:rFonts w:ascii="Times New Roman" w:hAnsi="Times New Roman"/>
          </w:rPr>
          <w:delText xml:space="preserve">he </w:delText>
        </w:r>
        <w:r w:rsidR="00910D26" w:rsidRPr="00997053" w:rsidDel="007A57A1">
          <w:rPr>
            <w:rFonts w:ascii="Times New Roman" w:hAnsi="Times New Roman"/>
          </w:rPr>
          <w:delText xml:space="preserve">radius for selecting data </w:delText>
        </w:r>
        <w:r w:rsidR="00A23AD4" w:rsidDel="007A57A1">
          <w:rPr>
            <w:rFonts w:ascii="Times New Roman" w:hAnsi="Times New Roman"/>
          </w:rPr>
          <w:delText xml:space="preserve">was made large enough to encompass both </w:delText>
        </w:r>
        <w:r w:rsidR="00910D26" w:rsidRPr="00997053" w:rsidDel="007A57A1">
          <w:rPr>
            <w:rFonts w:ascii="Times New Roman" w:hAnsi="Times New Roman"/>
          </w:rPr>
          <w:delText xml:space="preserve">a sufficient number of </w:delText>
        </w:r>
        <w:r w:rsidR="00A23AD4" w:rsidDel="007A57A1">
          <w:rPr>
            <w:rFonts w:ascii="Times New Roman" w:hAnsi="Times New Roman"/>
          </w:rPr>
          <w:delText xml:space="preserve">data </w:delText>
        </w:r>
        <w:r w:rsidR="00910D26" w:rsidRPr="00997053" w:rsidDel="007A57A1">
          <w:rPr>
            <w:rFonts w:ascii="Times New Roman" w:hAnsi="Times New Roman"/>
          </w:rPr>
          <w:delText xml:space="preserve">points </w:delText>
        </w:r>
        <w:r w:rsidR="005E1AEB" w:rsidDel="007A57A1">
          <w:rPr>
            <w:rFonts w:ascii="Times New Roman" w:hAnsi="Times New Roman"/>
          </w:rPr>
          <w:delText>and a gradient in</w:delText>
        </w:r>
        <w:r w:rsidR="0090372D" w:rsidDel="007A57A1">
          <w:rPr>
            <w:rFonts w:ascii="Times New Roman" w:hAnsi="Times New Roman"/>
          </w:rPr>
          <w:delText xml:space="preserve"> seagrass coverage with respect to</w:delText>
        </w:r>
        <w:r w:rsidR="005E1AEB" w:rsidDel="007A57A1">
          <w:rPr>
            <w:rFonts w:ascii="Times New Roman" w:hAnsi="Times New Roman"/>
          </w:rPr>
          <w:delText xml:space="preserve"> water depth</w:delText>
        </w:r>
        <w:r w:rsidR="00A23AD4" w:rsidDel="007A57A1">
          <w:rPr>
            <w:rFonts w:ascii="Times New Roman" w:hAnsi="Times New Roman"/>
          </w:rPr>
          <w:delText>, but small enough to resolve spatial patterns.</w:delText>
        </w:r>
        <w:r w:rsidR="00910D26" w:rsidRPr="00997053" w:rsidDel="007A57A1">
          <w:rPr>
            <w:rFonts w:ascii="Times New Roman" w:hAnsi="Times New Roman"/>
          </w:rPr>
          <w:delText xml:space="preserve"> </w:delText>
        </w:r>
        <w:r w:rsidR="0090372D" w:rsidDel="007A57A1">
          <w:rPr>
            <w:rFonts w:ascii="Times New Roman" w:hAnsi="Times New Roman"/>
          </w:rPr>
          <w:delText xml:space="preserve">An </w:delText>
        </w:r>
        <w:r w:rsidR="0090372D" w:rsidDel="007A57A1">
          <w:rPr>
            <w:rFonts w:ascii="Times New Roman" w:hAnsi="Times New Roman"/>
          </w:rPr>
          <w:lastRenderedPageBreak/>
          <w:delText xml:space="preserve">overly large radius will decrease the spatial resolution of the resulting estimates and </w:delText>
        </w:r>
        <w:r w:rsidR="00A23AD4" w:rsidDel="007A57A1">
          <w:rPr>
            <w:rFonts w:ascii="Times New Roman" w:hAnsi="Times New Roman"/>
          </w:rPr>
          <w:delText xml:space="preserve">could </w:delText>
        </w:r>
        <w:r w:rsidR="0090372D" w:rsidDel="007A57A1">
          <w:rPr>
            <w:rFonts w:ascii="Times New Roman" w:hAnsi="Times New Roman"/>
          </w:rPr>
          <w:delText>encompass areas with differences in the depth distribution of seagrass</w:delText>
        </w:r>
      </w:del>
      <w:r w:rsidR="0090372D">
        <w:rPr>
          <w:rFonts w:ascii="Times New Roman" w:hAnsi="Times New Roman"/>
        </w:rPr>
        <w:t xml:space="preserve">.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ins w:id="13" w:author="Beck, Marcus" w:date="2017-01-31T14:52:00Z">
        <w:r w:rsidR="007A57A1">
          <w:rPr>
            <w:rFonts w:ascii="Times New Roman" w:hAnsi="Times New Roman"/>
          </w:rPr>
          <w:t xml:space="preserve"> </w:t>
        </w:r>
        <w:r w:rsidR="007A57A1" w:rsidRPr="009374F5">
          <w:rPr>
            <w:rFonts w:ascii="Times New Roman" w:hAnsi="Times New Roman"/>
            <w:color w:val="5B9BD5" w:themeColor="accent1"/>
          </w:rPr>
          <w:t xml:space="preserve">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9374F5">
          <w:rPr>
            <w:rFonts w:ascii="Times New Roman" w:hAnsi="Times New Roman"/>
            <w:color w:val="5B9BD5" w:themeColor="accent1"/>
          </w:rPr>
          <w:t>Steinhatchee</w:t>
        </w:r>
        <w:proofErr w:type="spellEnd"/>
        <w:r w:rsidR="007A57A1" w:rsidRPr="009374F5">
          <w:rPr>
            <w:rFonts w:ascii="Times New Roman" w:hAnsi="Times New Roman"/>
            <w:color w:val="5B9BD5" w:themeColor="accent1"/>
          </w:rPr>
          <w:t xml:space="preserve"> River in Fig. 1 should be large enough to describe variation in growth as affected by local conditions, while small enough to not over-sample beyond the expected influence of the river.  In the latter, an appropriate radius will provide complete coverage of the grid while minimizing redundancy of information through overlap of the sampled area by each point</w:t>
        </w:r>
        <w:r w:rsidR="007A57A1">
          <w:rPr>
            <w:rFonts w:ascii="Times New Roman" w:hAnsi="Times New Roman"/>
            <w:color w:val="5B9BD5" w:themeColor="accent1"/>
          </w:rPr>
          <w: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7381905"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6D37C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6D37C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6D37CE"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w:t>
      </w:r>
      <w:r>
        <w:rPr>
          <w:rFonts w:ascii="Times New Roman" w:hAnsi="Times New Roman"/>
        </w:rPr>
        <w:lastRenderedPageBreak/>
        <w:t xml:space="preserve">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6D37C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6D37C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6D37CE"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3BF3EDC5"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 (</w:t>
      </w:r>
      <w:r w:rsidR="004536FC">
        <w:rPr>
          <w:rFonts w:ascii="Times New Roman" w:hAnsi="Times New Roman"/>
        </w:rPr>
        <w:t>Fig.</w:t>
      </w:r>
      <w:r w:rsidR="0069701D">
        <w:rPr>
          <w:rFonts w:ascii="Times New Roman" w:hAnsi="Times New Roman"/>
        </w:rPr>
        <w:t xml:space="preserve"> </w:t>
      </w:r>
      <w:r>
        <w:rPr>
          <w:rFonts w:ascii="Times New Roman" w:hAnsi="Times New Roman"/>
        </w:rPr>
        <w:t>4</w:t>
      </w:r>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w:t>
      </w:r>
      <w:r w:rsidR="00654970">
        <w:rPr>
          <w:rFonts w:ascii="Times New Roman" w:hAnsi="Times New Roman"/>
        </w:rPr>
        <w:lastRenderedPageBreak/>
        <w:t>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p>
    <w:p w14:paraId="2D871329" w14:textId="77777777" w:rsidR="00AA0D77" w:rsidRDefault="00AA0D77">
      <w:pPr>
        <w:spacing w:before="0" w:after="0"/>
        <w:rPr>
          <w:rFonts w:ascii="Times New Roman" w:hAnsi="Times New Roman"/>
        </w:rPr>
      </w:pPr>
      <w:bookmarkStart w:id="14" w:name="relating-depth-of-colonization-and-water"/>
      <w:r>
        <w:rPr>
          <w:rFonts w:ascii="Times New Roman" w:hAnsi="Times New Roman"/>
        </w:rPr>
        <w:br w:type="page"/>
      </w:r>
    </w:p>
    <w:p w14:paraId="0B8BFB27" w14:textId="7B0FF06A" w:rsidR="00270510" w:rsidRPr="0069309F" w:rsidRDefault="008803F4" w:rsidP="001A66BE">
      <w:pPr>
        <w:spacing w:before="0" w:after="0" w:line="360" w:lineRule="auto"/>
        <w:rPr>
          <w:rFonts w:ascii="Times New Roman" w:hAnsi="Times New Roman"/>
          <w:i/>
        </w:rPr>
      </w:pPr>
      <w:r>
        <w:rPr>
          <w:rFonts w:ascii="Times New Roman" w:hAnsi="Times New Roman"/>
          <w:i/>
        </w:rPr>
        <w:lastRenderedPageBreak/>
        <w:t>Seagrass Light Requirements</w:t>
      </w:r>
    </w:p>
    <w:bookmarkEnd w:id="14"/>
    <w:p w14:paraId="142EC549" w14:textId="01057836"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water clarity were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selected to maximize the number of matches between depth of colonization and water clarity 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water clarity 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7381906"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E823CBE"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 was computed from a remote sensing-derived estimate of </w:t>
      </w:r>
      <w:proofErr w:type="spellStart"/>
      <w:r w:rsidR="008767B1">
        <w:rPr>
          <w:rFonts w:ascii="Times New Roman" w:hAnsi="Times New Roman"/>
        </w:rPr>
        <w:t>Secchi</w:t>
      </w:r>
      <w:proofErr w:type="spellEnd"/>
      <w:r>
        <w:rPr>
          <w:rFonts w:ascii="Times New Roman" w:hAnsi="Times New Roman"/>
        </w:rPr>
        <w:t xml:space="preserve"> depth (Tampa Bay),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7381907"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6D94009F" w:rsidR="008803F4" w:rsidRDefault="008803F4" w:rsidP="005F158F">
      <w:pPr>
        <w:spacing w:before="0" w:after="0" w:line="360" w:lineRule="auto"/>
        <w:ind w:firstLine="720"/>
        <w:rPr>
          <w:rFonts w:ascii="Times New Roman" w:hAnsi="Times New Roman"/>
        </w:rPr>
      </w:pPr>
      <w:r>
        <w:rPr>
          <w:rFonts w:ascii="Times New Roman" w:hAnsi="Times New Roman"/>
        </w:rPr>
        <w:t xml:space="preserve">Segment means and standard errors for light requirements were computed from the spatially-correlated gridded estimates using an intercept-only spatial mixed model, as for depth of colonization.  Tests for differences in mean light requirements among estuaries </w:t>
      </w:r>
      <w:r w:rsidR="0052374B">
        <w:rPr>
          <w:rFonts w:ascii="Times New Roman" w:hAnsi="Times New Roman"/>
        </w:rPr>
        <w:t xml:space="preserve">and estuary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(estuary</w:t>
      </w:r>
      <w:r w:rsidR="0052374B">
        <w:rPr>
          <w:rFonts w:ascii="Times New Roman" w:hAnsi="Times New Roman"/>
        </w:rPr>
        <w:t xml:space="preserve"> or 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15"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16" w:name="segment-characteristics-and-seagrass-dep"/>
      <w:bookmarkEnd w:id="15"/>
      <w:r w:rsidRPr="0069309F">
        <w:rPr>
          <w:rFonts w:ascii="Times New Roman" w:hAnsi="Times New Roman"/>
          <w:i/>
        </w:rPr>
        <w:t>Segment characteristics and seagrass depth estimates</w:t>
      </w:r>
    </w:p>
    <w:bookmarkEnd w:id="16"/>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lastRenderedPageBreak/>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17"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7A45014B"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36FE6C00"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provided further information on the distribution of seagrasses in each segment (</w:t>
      </w:r>
      <w:r>
        <w:rPr>
          <w:rFonts w:ascii="Times New Roman" w:hAnsi="Times New Roman"/>
        </w:rPr>
        <w:t xml:space="preserve">Table 3; </w:t>
      </w:r>
      <w:r w:rsidR="004536FC">
        <w:rPr>
          <w:rFonts w:ascii="Times New Roman" w:hAnsi="Times New Roman"/>
        </w:rPr>
        <w:t>Fig.</w:t>
      </w:r>
      <w:r w:rsidR="00A451DF">
        <w:rPr>
          <w:rFonts w:ascii="Times New Roman" w:hAnsi="Times New Roman"/>
        </w:rPr>
        <w:t xml:space="preserve"> 4</w:t>
      </w:r>
      <w:r w:rsidR="00910D26" w:rsidRPr="00997053">
        <w:rPr>
          <w:rFonts w:ascii="Times New Roman" w:hAnsi="Times New Roman"/>
        </w:rPr>
        <w:t>)</w:t>
      </w:r>
      <w:r>
        <w:rPr>
          <w:rFonts w:ascii="Times New Roman" w:hAnsi="Times New Roman"/>
        </w:rPr>
        <w:t xml:space="preserve"> and on the average depth of colonization in the entire estuary</w:t>
      </w:r>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for 25</w:t>
      </w:r>
      <w:r>
        <w:rPr>
          <w:rFonts w:ascii="Times New Roman" w:hAnsi="Times New Roman"/>
        </w:rPr>
        <w:t>5</w:t>
      </w:r>
      <w:r w:rsidRPr="00997053">
        <w:rPr>
          <w:rFonts w:ascii="Times New Roman" w:hAnsi="Times New Roman"/>
        </w:rPr>
        <w:t xml:space="preserve"> locations in Choctawhatchee Bay, </w:t>
      </w:r>
      <w:r w:rsidR="005226FE">
        <w:rPr>
          <w:rFonts w:ascii="Times New Roman" w:hAnsi="Times New Roman"/>
        </w:rPr>
        <w:t>218</w:t>
      </w:r>
      <w:r w:rsidRPr="00997053">
        <w:rPr>
          <w:rFonts w:ascii="Times New Roman" w:hAnsi="Times New Roman"/>
        </w:rPr>
        <w:t xml:space="preserve"> locations in Tampa Bay, and </w:t>
      </w:r>
      <w:r>
        <w:rPr>
          <w:rFonts w:ascii="Times New Roman" w:hAnsi="Times New Roman"/>
        </w:rPr>
        <w:t>45</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Pr="00997053">
        <w:rPr>
          <w:rFonts w:ascii="Times New Roman" w:hAnsi="Times New Roman"/>
        </w:rPr>
        <w:t>2.</w:t>
      </w:r>
      <w:r>
        <w:rPr>
          <w:rFonts w:ascii="Times New Roman" w:hAnsi="Times New Roman"/>
        </w:rPr>
        <w:t>0</w:t>
      </w:r>
      <w:r w:rsidR="005226FE">
        <w:rPr>
          <w:rFonts w:ascii="Times New Roman" w:hAnsi="Times New Roman"/>
        </w:rPr>
        <w:t>3</w:t>
      </w:r>
      <w:r>
        <w:rPr>
          <w:rFonts w:ascii="Times New Roman" w:hAnsi="Times New Roman"/>
        </w:rPr>
        <w:t>±0.1</w:t>
      </w:r>
      <w:r w:rsidR="005226FE">
        <w:rPr>
          <w:rFonts w:ascii="Times New Roman" w:hAnsi="Times New Roman"/>
        </w:rPr>
        <w:t>2</w:t>
      </w:r>
      <w:r w:rsidRPr="00997053">
        <w:rPr>
          <w:rFonts w:ascii="Times New Roman" w:hAnsi="Times New Roman"/>
        </w:rPr>
        <w:t>, 1.</w:t>
      </w:r>
      <w:r>
        <w:rPr>
          <w:rFonts w:ascii="Times New Roman" w:hAnsi="Times New Roman"/>
        </w:rPr>
        <w:t>16±0.</w:t>
      </w:r>
      <w:r w:rsidR="005226FE">
        <w:rPr>
          <w:rFonts w:ascii="Times New Roman" w:hAnsi="Times New Roman"/>
        </w:rPr>
        <w:t>10</w:t>
      </w:r>
      <w:r w:rsidRPr="00997053">
        <w:rPr>
          <w:rFonts w:ascii="Times New Roman" w:hAnsi="Times New Roman"/>
        </w:rPr>
        <w:t>, and 1.</w:t>
      </w:r>
      <w:r>
        <w:rPr>
          <w:rFonts w:ascii="Times New Roman" w:hAnsi="Times New Roman"/>
        </w:rPr>
        <w:t>1</w:t>
      </w:r>
      <w:r w:rsidR="005226FE">
        <w:rPr>
          <w:rFonts w:ascii="Times New Roman" w:hAnsi="Times New Roman"/>
        </w:rPr>
        <w:t>0</w:t>
      </w:r>
      <w:r>
        <w:rPr>
          <w:rFonts w:ascii="Times New Roman" w:hAnsi="Times New Roman"/>
        </w:rPr>
        <w:t>±0.1</w:t>
      </w:r>
      <w:r w:rsidR="005226FE">
        <w:rPr>
          <w:rFonts w:ascii="Times New Roman" w:hAnsi="Times New Roman"/>
        </w:rPr>
        <w:t>1</w:t>
      </w:r>
      <w:r w:rsidRPr="00997053">
        <w:rPr>
          <w:rFonts w:ascii="Times New Roman" w:hAnsi="Times New Roman"/>
        </w:rPr>
        <w:t xml:space="preserve"> m for Choctawhatchee Bay, Tampa Bay, and </w:t>
      </w:r>
      <w:r w:rsidRPr="00997053">
        <w:rPr>
          <w:rFonts w:ascii="Times New Roman" w:hAnsi="Times New Roman"/>
        </w:rPr>
        <w:lastRenderedPageBreak/>
        <w:t>Indian River Lagoon</w:t>
      </w:r>
      <w:r w:rsidR="008B4336">
        <w:rPr>
          <w:rFonts w:ascii="Times New Roman" w:hAnsi="Times New Roman"/>
        </w:rPr>
        <w:t>, respectively</w:t>
      </w:r>
      <w:r>
        <w:rPr>
          <w:rFonts w:ascii="Times New Roman" w:hAnsi="Times New Roman"/>
        </w:rPr>
        <w:t xml:space="preserve">.  Mean </w:t>
      </w:r>
      <w:proofErr w:type="spellStart"/>
      <w:r w:rsidRPr="00765D8B">
        <w:rPr>
          <w:rFonts w:ascii="Times New Roman" w:hAnsi="Times New Roman"/>
          <w:i/>
        </w:rPr>
        <w:t>Z</w:t>
      </w:r>
      <w:r w:rsidR="00097AD1">
        <w:rPr>
          <w:rFonts w:ascii="Times New Roman" w:hAnsi="Times New Roman"/>
          <w:i/>
          <w:vertAlign w:val="subscript"/>
        </w:rPr>
        <w:t>c,</w:t>
      </w:r>
      <w:r w:rsidRPr="00765D8B">
        <w:rPr>
          <w:rFonts w:ascii="Times New Roman" w:hAnsi="Times New Roman"/>
          <w:i/>
          <w:vertAlign w:val="subscript"/>
        </w:rPr>
        <w:t>med</w:t>
      </w:r>
      <w:proofErr w:type="spellEnd"/>
      <w:r>
        <w:rPr>
          <w:rFonts w:ascii="Times New Roman" w:hAnsi="Times New Roman"/>
        </w:rPr>
        <w:t xml:space="preserve"> for Tampa Bay and Indian River Lagoon were not significantly different, while </w:t>
      </w:r>
      <w:proofErr w:type="spellStart"/>
      <w:r w:rsidRPr="00765D8B">
        <w:rPr>
          <w:rFonts w:ascii="Times New Roman" w:hAnsi="Times New Roman"/>
          <w:i/>
        </w:rPr>
        <w:t>Z</w:t>
      </w:r>
      <w:r w:rsidRPr="00765D8B">
        <w:rPr>
          <w:rFonts w:ascii="Times New Roman" w:hAnsi="Times New Roman"/>
          <w:i/>
          <w:vertAlign w:val="subscript"/>
        </w:rPr>
        <w:t>c,med</w:t>
      </w:r>
      <w:proofErr w:type="spellEnd"/>
      <w:r>
        <w:rPr>
          <w:rFonts w:ascii="Times New Roman" w:hAnsi="Times New Roman"/>
        </w:rPr>
        <w:t xml:space="preserve"> was significantly higher in Choctawhatchee Bay than either other bay </w:t>
      </w:r>
      <w:r w:rsidRPr="007C5E51">
        <w:rPr>
          <w:rFonts w:ascii="Times New Roman" w:hAnsi="Times New Roman"/>
        </w:rPr>
        <w:t>(</w:t>
      </w:r>
      <w:r w:rsidRPr="0007438C">
        <w:rPr>
          <w:rFonts w:ascii="Times New Roman" w:hAnsi="Times New Roman"/>
        </w:rPr>
        <w:t>p&lt;0.01</w:t>
      </w:r>
      <w:r w:rsidR="00961088">
        <w:rPr>
          <w:rFonts w:ascii="Times New Roman" w:hAnsi="Times New Roman"/>
        </w:rPr>
        <w:t>; Table 3</w:t>
      </w:r>
      <w:r w:rsidRPr="007C5E51">
        <w:rPr>
          <w:rFonts w:ascii="Times New Roman" w:hAnsi="Times New Roman"/>
        </w:rPr>
        <w:t>)</w:t>
      </w:r>
      <w:r>
        <w:rPr>
          <w:rFonts w:ascii="Times New Roman" w:hAnsi="Times New Roman"/>
        </w:rPr>
        <w:t xml:space="preserve">. </w:t>
      </w:r>
    </w:p>
    <w:p w14:paraId="75E36D55" w14:textId="50BF800A"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closest to Destin Pass, where regular tidal exchange with Gulf of Mexico waters maintains increased water clarity</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18"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p>
    <w:p w14:paraId="04E3FE75" w14:textId="18118B1B" w:rsidR="00B8145A" w:rsidRPr="00997053" w:rsidRDefault="00B8145A">
      <w:pPr>
        <w:spacing w:before="0" w:after="0" w:line="360" w:lineRule="auto"/>
        <w:ind w:firstLine="720"/>
        <w:rPr>
          <w:rFonts w:ascii="Times New Roman" w:hAnsi="Times New Roman"/>
        </w:rPr>
      </w:pPr>
      <w:r>
        <w:rPr>
          <w:rFonts w:ascii="Times New Roman" w:hAnsi="Times New Roman"/>
        </w:rPr>
        <w:t xml:space="preserve">Despite apparent gradients in depth of colonization </w:t>
      </w:r>
      <w:r w:rsidR="00D71474">
        <w:rPr>
          <w:rFonts w:ascii="Times New Roman" w:hAnsi="Times New Roman"/>
        </w:rPr>
        <w:t xml:space="preserve">aligned with the major axis of each estuary </w:t>
      </w:r>
      <w:r>
        <w:rPr>
          <w:rFonts w:ascii="Times New Roman" w:hAnsi="Times New Roman"/>
        </w:rPr>
        <w:t>(</w:t>
      </w:r>
      <w:r w:rsidR="004536FC">
        <w:rPr>
          <w:rFonts w:ascii="Times New Roman" w:hAnsi="Times New Roman"/>
        </w:rPr>
        <w:t>Fig.</w:t>
      </w:r>
      <w:r>
        <w:rPr>
          <w:rFonts w:ascii="Times New Roman" w:hAnsi="Times New Roman"/>
        </w:rPr>
        <w:t xml:space="preserve"> 4, 7, 8, 9), segment means for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were mostly not statistically different</w:t>
      </w:r>
      <w:r w:rsidR="00961088">
        <w:rPr>
          <w:rFonts w:ascii="Times New Roman" w:hAnsi="Times New Roman"/>
        </w:rPr>
        <w:t xml:space="preserve"> (Table 3</w:t>
      </w:r>
      <w:r w:rsidR="00E6377F">
        <w:rPr>
          <w:rFonts w:ascii="Times New Roman" w:hAnsi="Times New Roman"/>
        </w:rPr>
        <w:t>)</w:t>
      </w:r>
      <w:r>
        <w:rPr>
          <w:rFonts w:ascii="Times New Roman" w:hAnsi="Times New Roman"/>
        </w:rPr>
        <w:t xml:space="preserve">.  In Tampa Bay,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was ~0.5 m less </w:t>
      </w:r>
      <w:r w:rsidR="006A33ED">
        <w:rPr>
          <w:rFonts w:ascii="Times New Roman" w:hAnsi="Times New Roman"/>
        </w:rPr>
        <w:t xml:space="preserve">(p&lt;0.05) </w:t>
      </w:r>
      <w:r>
        <w:rPr>
          <w:rFonts w:ascii="Times New Roman" w:hAnsi="Times New Roman"/>
        </w:rPr>
        <w:t xml:space="preserve">in Old Tampa Bay than in the Lower or Middle Tampa Bay </w:t>
      </w:r>
      <w:r w:rsidR="006A33ED">
        <w:rPr>
          <w:rFonts w:ascii="Times New Roman" w:hAnsi="Times New Roman"/>
        </w:rPr>
        <w:t xml:space="preserve">(p&lt;0.05) </w:t>
      </w:r>
      <w:r>
        <w:rPr>
          <w:rFonts w:ascii="Times New Roman" w:hAnsi="Times New Roman"/>
        </w:rPr>
        <w:t xml:space="preserve">segments.  Differences among the other segments were not statistically significant.  For Choctawhatchee Bay, </w:t>
      </w:r>
      <w:proofErr w:type="spellStart"/>
      <w:proofErr w:type="gramStart"/>
      <w:r w:rsidRPr="00097AD1">
        <w:rPr>
          <w:rFonts w:ascii="Times New Roman" w:hAnsi="Times New Roman"/>
          <w:i/>
        </w:rPr>
        <w:t>Z</w:t>
      </w:r>
      <w:r w:rsidR="00097AD1">
        <w:rPr>
          <w:rFonts w:ascii="Times New Roman" w:hAnsi="Times New Roman"/>
          <w:i/>
          <w:vertAlign w:val="subscript"/>
        </w:rPr>
        <w:t>c,</w:t>
      </w:r>
      <w:r w:rsidRPr="00097AD1">
        <w:rPr>
          <w:rFonts w:ascii="Times New Roman" w:hAnsi="Times New Roman"/>
          <w:i/>
          <w:vertAlign w:val="subscript"/>
        </w:rPr>
        <w:t>med</w:t>
      </w:r>
      <w:proofErr w:type="spellEnd"/>
      <w:proofErr w:type="gramEnd"/>
      <w:r>
        <w:rPr>
          <w:rFonts w:ascii="Times New Roman" w:hAnsi="Times New Roman"/>
        </w:rPr>
        <w:t xml:space="preserve"> in the eastern segment was 1.1 m and 1.5 m less than in the central and western bay, respectively.  </w:t>
      </w:r>
      <w:r w:rsidR="00DF654C">
        <w:rPr>
          <w:rFonts w:ascii="Times New Roman" w:hAnsi="Times New Roman"/>
        </w:rPr>
        <w:t xml:space="preserve">Similarly, the apparent differences in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in lower Indian River Lagoon vs. elsewhere in the lagoon (</w:t>
      </w:r>
      <w:r w:rsidR="004536FC">
        <w:rPr>
          <w:rFonts w:ascii="Times New Roman" w:hAnsi="Times New Roman"/>
        </w:rPr>
        <w:t>Fig.</w:t>
      </w:r>
      <w:r w:rsidR="00DF654C">
        <w:rPr>
          <w:rFonts w:ascii="Times New Roman" w:hAnsi="Times New Roman"/>
        </w:rPr>
        <w:t xml:space="preserve"> 9) were also not statistically significant.</w:t>
      </w:r>
    </w:p>
    <w:p w14:paraId="40113B6F" w14:textId="77777777" w:rsidR="001B2DEC" w:rsidRPr="00BE50A3" w:rsidRDefault="001B2DEC" w:rsidP="001A66BE">
      <w:pPr>
        <w:spacing w:before="0" w:after="0" w:line="360" w:lineRule="auto"/>
        <w:rPr>
          <w:rFonts w:ascii="Times New Roman" w:hAnsi="Times New Roman"/>
        </w:rPr>
      </w:pPr>
      <w:bookmarkStart w:id="1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19"/>
    <w:p w14:paraId="18A62748" w14:textId="77777777"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water clarity, seagrass depth </w:t>
      </w:r>
      <w:r w:rsidR="00DA3D9E">
        <w:rPr>
          <w:rFonts w:ascii="Times New Roman" w:hAnsi="Times New Roman"/>
        </w:rPr>
        <w:t>of colonization</w:t>
      </w:r>
      <w:r w:rsidRPr="00997053">
        <w:rPr>
          <w:rFonts w:ascii="Times New Roman" w:hAnsi="Times New Roman"/>
        </w:rPr>
        <w:t>, and corresponding light requirements for all locations in Choctawhatchee Bay, Tampa Bay, and the Indian River Lagoon indicated substantial variation, both between and within the different bays. Satellite-derived estimates of light attenuation for Choctawhatchee Bay (as</w:t>
      </w:r>
      <w:r w:rsidR="00B52463">
        <w:rPr>
          <w:rFonts w:ascii="Times New Roman" w:hAnsi="Times New Roman"/>
        </w:rPr>
        <w:t xml:space="preserve">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Pr="00997053">
        <w:rPr>
          <w:rFonts w:ascii="Times New Roman" w:hAnsi="Times New Roman"/>
        </w:rPr>
        <w:t xml:space="preserve">) and Tampa Bay (as clarity) </w:t>
      </w:r>
      <w:r w:rsidR="00E75B75">
        <w:rPr>
          <w:rFonts w:ascii="Times New Roman" w:hAnsi="Times New Roman"/>
        </w:rPr>
        <w:t xml:space="preserve">resolved </w:t>
      </w:r>
      <w:r w:rsidR="00E75B75">
        <w:rPr>
          <w:rFonts w:ascii="Times New Roman" w:hAnsi="Times New Roman"/>
        </w:rPr>
        <w:lastRenderedPageBreak/>
        <w:t xml:space="preserve">spatial </w:t>
      </w:r>
      <w:r w:rsidRPr="00997053">
        <w:rPr>
          <w:rFonts w:ascii="Times New Roman" w:hAnsi="Times New Roman"/>
        </w:rPr>
        <w:t xml:space="preserve">variation </w:t>
      </w:r>
      <w:r w:rsidR="00E75B75">
        <w:rPr>
          <w:rFonts w:ascii="Times New Roman" w:hAnsi="Times New Roman"/>
        </w:rPr>
        <w:t>in average water clarity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water c</w:t>
      </w:r>
      <w:r w:rsidRPr="00997053">
        <w:rPr>
          <w:rFonts w:ascii="Times New Roman" w:hAnsi="Times New Roman"/>
        </w:rPr>
        <w:t xml:space="preserve">larity </w:t>
      </w:r>
      <w:r w:rsidR="00483B80">
        <w:rPr>
          <w:rFonts w:ascii="Times New Roman" w:hAnsi="Times New Roman"/>
        </w:rPr>
        <w:t xml:space="preserve">decreased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Although it would most likely not affect the seagrass distribution near shore, water clarity was also greater 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FAA353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50</w:t>
      </w:r>
      <w:r w:rsidR="00882551">
        <w:rPr>
          <w:rFonts w:ascii="Times New Roman" w:hAnsi="Times New Roman"/>
        </w:rPr>
        <w:t>±</w:t>
      </w:r>
      <w:r w:rsidR="00BC4ECA">
        <w:rPr>
          <w:rFonts w:ascii="Times New Roman" w:hAnsi="Times New Roman"/>
        </w:rPr>
        <w:t>3.0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41</w:t>
      </w:r>
      <w:r w:rsidR="00882551">
        <w:rPr>
          <w:rFonts w:ascii="Times New Roman" w:hAnsi="Times New Roman"/>
        </w:rPr>
        <w:t>±</w:t>
      </w:r>
      <w:r w:rsidR="00BC4ECA">
        <w:rPr>
          <w:rFonts w:ascii="Times New Roman" w:hAnsi="Times New Roman"/>
        </w:rPr>
        <w:t>2.</w:t>
      </w:r>
      <w:r w:rsidR="007F5576">
        <w:rPr>
          <w:rFonts w:ascii="Times New Roman" w:hAnsi="Times New Roman"/>
        </w:rPr>
        <w:t>5</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18±2.</w:t>
      </w:r>
      <w:r w:rsidR="007F5576">
        <w:rPr>
          <w:rFonts w:ascii="Times New Roman" w:hAnsi="Times New Roman"/>
        </w:rPr>
        <w:t>9</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BC4ECA">
        <w:rPr>
          <w:rFonts w:ascii="Times New Roman" w:hAnsi="Times New Roman"/>
        </w:rPr>
        <w:t xml:space="preserve"> light requirements for </w:t>
      </w:r>
      <w:r w:rsidR="00E75B75">
        <w:rPr>
          <w:rFonts w:ascii="Times New Roman" w:hAnsi="Times New Roman"/>
        </w:rPr>
        <w:t xml:space="preserve">seagrass in </w:t>
      </w:r>
      <w:r w:rsidR="00BC4ECA">
        <w:rPr>
          <w:rFonts w:ascii="Times New Roman" w:hAnsi="Times New Roman"/>
        </w:rPr>
        <w:t xml:space="preserve">Indian River Lagoon were </w:t>
      </w:r>
      <w:r w:rsidR="00E75B75">
        <w:rPr>
          <w:rFonts w:ascii="Times New Roman" w:hAnsi="Times New Roman"/>
        </w:rPr>
        <w:t xml:space="preserve">lower </w:t>
      </w:r>
      <w:r w:rsidR="00BC4ECA">
        <w:rPr>
          <w:rFonts w:ascii="Times New Roman" w:hAnsi="Times New Roman"/>
        </w:rPr>
        <w:t xml:space="preserve">(p&lt;0.01) than </w:t>
      </w:r>
      <w:r>
        <w:rPr>
          <w:rFonts w:ascii="Times New Roman" w:hAnsi="Times New Roman"/>
        </w:rPr>
        <w:t xml:space="preserve">for </w:t>
      </w:r>
      <w:r w:rsidR="00BC4ECA">
        <w:rPr>
          <w:rFonts w:ascii="Times New Roman" w:hAnsi="Times New Roman"/>
        </w:rPr>
        <w:t>either of the other estu</w:t>
      </w:r>
      <w:r w:rsidR="005C03DD">
        <w:rPr>
          <w:rFonts w:ascii="Times New Roman" w:hAnsi="Times New Roman"/>
        </w:rPr>
        <w:t>aries</w:t>
      </w:r>
      <w:r w:rsidR="00385EFF">
        <w:rPr>
          <w:rFonts w:ascii="Times New Roman" w:hAnsi="Times New Roman"/>
        </w:rPr>
        <w:t xml:space="preserve">, whereas </w:t>
      </w:r>
      <w:r w:rsidR="005C03DD">
        <w:rPr>
          <w:rFonts w:ascii="Times New Roman" w:hAnsi="Times New Roman"/>
        </w:rPr>
        <w:t xml:space="preserve">Choctawhatchee </w:t>
      </w:r>
      <w:r>
        <w:rPr>
          <w:rFonts w:ascii="Times New Roman" w:hAnsi="Times New Roman"/>
        </w:rPr>
        <w:t xml:space="preserve">Bay </w:t>
      </w:r>
      <w:r w:rsidR="00E75B75">
        <w:rPr>
          <w:rFonts w:ascii="Times New Roman" w:hAnsi="Times New Roman"/>
        </w:rPr>
        <w:t xml:space="preserve">and Tampa </w:t>
      </w:r>
      <w:r w:rsidR="005C03DD">
        <w:rPr>
          <w:rFonts w:ascii="Times New Roman" w:hAnsi="Times New Roman"/>
        </w:rPr>
        <w:t>Bay</w:t>
      </w:r>
      <w:r>
        <w:rPr>
          <w:rFonts w:ascii="Times New Roman" w:hAnsi="Times New Roman"/>
        </w:rPr>
        <w:t xml:space="preserve"> </w:t>
      </w:r>
      <w:r w:rsidR="00385EFF">
        <w:rPr>
          <w:rFonts w:ascii="Times New Roman" w:hAnsi="Times New Roman"/>
        </w:rPr>
        <w:t xml:space="preserve">light requirements </w:t>
      </w:r>
      <w:r>
        <w:rPr>
          <w:rFonts w:ascii="Times New Roman" w:hAnsi="Times New Roman"/>
        </w:rPr>
        <w:t xml:space="preserve">were </w:t>
      </w:r>
      <w:r w:rsidR="005338CA">
        <w:rPr>
          <w:rFonts w:ascii="Times New Roman" w:hAnsi="Times New Roman"/>
        </w:rPr>
        <w:t>similar</w:t>
      </w:r>
      <w:r w:rsidR="005568F9">
        <w:rPr>
          <w:rFonts w:ascii="Times New Roman" w:hAnsi="Times New Roman"/>
        </w:rPr>
        <w:t xml:space="preserve"> (Table </w:t>
      </w:r>
      <w:r w:rsidR="00961088">
        <w:rPr>
          <w:rFonts w:ascii="Times New Roman" w:hAnsi="Times New Roman"/>
        </w:rPr>
        <w:t>3</w:t>
      </w:r>
      <w:r w:rsidR="005568F9">
        <w:rPr>
          <w:rFonts w:ascii="Times New Roman" w:hAnsi="Times New Roman"/>
        </w:rPr>
        <w:t>)</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no significant differences were found among seg</w:t>
      </w:r>
      <w:r w:rsidR="003C265A">
        <w:rPr>
          <w:rFonts w:ascii="Times New Roman" w:hAnsi="Times New Roman"/>
        </w:rPr>
        <w:t xml:space="preserve">ments within a single estuary.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34±</w:t>
      </w:r>
      <w:r w:rsidR="00961088">
        <w:rPr>
          <w:rFonts w:ascii="Times New Roman" w:hAnsi="Times New Roman"/>
        </w:rPr>
        <w:t>11</w:t>
      </w:r>
      <w:r w:rsidR="009E3AE1">
        <w:rPr>
          <w:rFonts w:ascii="Times New Roman" w:hAnsi="Times New Roman"/>
        </w:rPr>
        <w:t>.</w:t>
      </w:r>
      <w:r w:rsidR="00961088">
        <w:rPr>
          <w:rFonts w:ascii="Times New Roman" w:hAnsi="Times New Roman"/>
        </w:rPr>
        <w:t>2</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961088">
        <w:rPr>
          <w:rFonts w:ascii="Times New Roman" w:hAnsi="Times New Roman"/>
        </w:rPr>
        <w:t>8</w:t>
      </w:r>
      <w:r w:rsidR="009E3AE1">
        <w:rPr>
          <w:rFonts w:ascii="Times New Roman" w:hAnsi="Times New Roman"/>
        </w:rPr>
        <w:t>.</w:t>
      </w:r>
      <w:r w:rsidR="00961088">
        <w:rPr>
          <w:rFonts w:ascii="Times New Roman" w:hAnsi="Times New Roman"/>
        </w:rPr>
        <w:t>7</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64±</w:t>
      </w:r>
      <w:r w:rsidR="00961088">
        <w:rPr>
          <w:rFonts w:ascii="Times New Roman" w:hAnsi="Times New Roman"/>
        </w:rPr>
        <w:t>8.9</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A larger range was o</w:t>
      </w:r>
      <w:r w:rsidR="00DA1AA0">
        <w:rPr>
          <w:rFonts w:ascii="Times New Roman" w:hAnsi="Times New Roman"/>
        </w:rPr>
        <w:t>bserved for Indian River Lagoon:</w:t>
      </w:r>
      <w:r w:rsidR="00E5142B">
        <w:rPr>
          <w:rFonts w:ascii="Times New Roman" w:hAnsi="Times New Roman"/>
        </w:rPr>
        <w:t xml:space="preserve"> 9</w:t>
      </w:r>
      <w:r w:rsidR="00DA1AA0">
        <w:rPr>
          <w:rFonts w:ascii="Times New Roman" w:hAnsi="Times New Roman"/>
        </w:rPr>
        <w:t>.2</w:t>
      </w:r>
      <w:r w:rsidR="00E5142B">
        <w:rPr>
          <w:rFonts w:ascii="Times New Roman" w:hAnsi="Times New Roman"/>
        </w:rPr>
        <w:t>±</w:t>
      </w:r>
      <w:r w:rsidR="00DA1AA0">
        <w:rPr>
          <w:rFonts w:ascii="Times New Roman" w:hAnsi="Times New Roman"/>
        </w:rPr>
        <w:t>2.8</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DA1AA0">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20"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20"/>
    <w:p w14:paraId="0DA4B4A3" w14:textId="2472E978"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an important measure of the status and condition of seagrass communities in estuaries because it relates to water clarity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21" w:author="Beck, Marcus" w:date="2017-01-31T15:32:00Z">
        <w:r w:rsidR="001A7F45">
          <w:rPr>
            <w:rFonts w:ascii="Times New Roman" w:hAnsi="Times New Roman"/>
          </w:rPr>
          <w:t>;</w:t>
        </w:r>
      </w:ins>
      <w:bookmarkStart w:id="22" w:name="_GoBack"/>
      <w:bookmarkEnd w:id="22"/>
      <w:del w:id="23"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w:t>
      </w:r>
      <w:r w:rsidR="00933973">
        <w:rPr>
          <w:rFonts w:ascii="Times New Roman" w:hAnsi="Times New Roman"/>
        </w:rPr>
        <w:lastRenderedPageBreak/>
        <w:t xml:space="preserve">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DC742FF"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water clarity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lastRenderedPageBreak/>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0E92E2CF"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w:t>
      </w:r>
      <w:r w:rsidR="00FF6492">
        <w:rPr>
          <w:rFonts w:ascii="Times New Roman" w:hAnsi="Times New Roman"/>
        </w:rPr>
        <w:lastRenderedPageBreak/>
        <w:t>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Water clarity 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34D634DF"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Pr>
          <w:rFonts w:ascii="Times New Roman" w:hAnsi="Times New Roman"/>
        </w:rPr>
        <w:t xml:space="preserve">water clarity,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~1.4 to 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w:t>
      </w:r>
      <w:r w:rsidR="00743206">
        <w:rPr>
          <w:rFonts w:ascii="Times New Roman" w:hAnsi="Times New Roman"/>
        </w:rPr>
        <w:lastRenderedPageBreak/>
        <w:t xml:space="preserve">resuspension </w:t>
      </w:r>
      <w:r w:rsidR="008115BA">
        <w:rPr>
          <w:rFonts w:ascii="Times New Roman" w:hAnsi="Times New Roman"/>
        </w:rPr>
        <w:t xml:space="preserve">is above average.  </w:t>
      </w:r>
      <w:r w:rsidR="000073FF">
        <w:rPr>
          <w:rFonts w:ascii="Times New Roman" w:hAnsi="Times New Roman"/>
        </w:rPr>
        <w:t>Quantifying water clarity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Water clarity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33A20C04"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617ECB">
        <w:rPr>
          <w:rFonts w:ascii="Times New Roman" w:hAnsi="Times New Roman"/>
        </w:rPr>
        <w:t xml:space="preserve">water clarity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66F5E70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water clarity may not be </w:t>
      </w:r>
      <w:r>
        <w:rPr>
          <w:rFonts w:ascii="Times New Roman" w:hAnsi="Times New Roman"/>
        </w:rPr>
        <w:lastRenderedPageBreak/>
        <w:t xml:space="preserve">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seagrasses are affected by factors other than water clarity,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decreased water clarity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lastRenderedPageBreak/>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lastRenderedPageBreak/>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00FBC884"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lastRenderedPageBreak/>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6E15F832" w14:textId="04850CEA"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lastRenderedPageBreak/>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0E09DBEE"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  Estimates in </w:t>
      </w:r>
      <w:r>
        <w:rPr>
          <w:rFonts w:ascii="Times New Roman" w:hAnsi="Times New Roman" w:cs="Times New Roman"/>
          <w:sz w:val="24"/>
          <w:szCs w:val="24"/>
        </w:rPr>
        <w:t>Fig.</w:t>
      </w:r>
      <w:r w:rsidR="00357882" w:rsidRPr="00FF6E3F">
        <w:rPr>
          <w:rFonts w:ascii="Times New Roman" w:hAnsi="Times New Roman" w:cs="Times New Roman"/>
          <w:sz w:val="24"/>
          <w:szCs w:val="24"/>
        </w:rPr>
        <w:t xml:space="preserve"> 3 were obtained from the test location in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5FD46AF4"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water clarity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6F066FBF"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00357882"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00357882" w:rsidRPr="00FF6E3F">
        <w:rPr>
          <w:rFonts w:ascii="Times New Roman" w:hAnsi="Times New Roman" w:cs="Times New Roman"/>
          <w:sz w:val="24"/>
          <w:szCs w:val="24"/>
        </w:rPr>
        <w:t xml:space="preserve">Estimates summarized by bay segment </w:t>
      </w:r>
      <w:r w:rsidR="00357882">
        <w:rPr>
          <w:rFonts w:ascii="Times New Roman" w:hAnsi="Times New Roman" w:cs="Times New Roman"/>
          <w:sz w:val="24"/>
          <w:szCs w:val="24"/>
        </w:rPr>
        <w:t>w</w:t>
      </w:r>
      <w:r w:rsidR="00357882" w:rsidRPr="00FF6E3F">
        <w:rPr>
          <w:rFonts w:ascii="Times New Roman" w:hAnsi="Times New Roman" w:cs="Times New Roman"/>
          <w:sz w:val="24"/>
          <w:szCs w:val="24"/>
        </w:rPr>
        <w:t xml:space="preserve">here the dimensions are the 25th percentile, median, and 75th percentile.  Whiskers extend </w:t>
      </w:r>
      <w:r w:rsidR="00D13E9D">
        <w:rPr>
          <w:rFonts w:ascii="Times New Roman" w:hAnsi="Times New Roman" w:cs="Times New Roman"/>
          <w:sz w:val="24"/>
          <w:szCs w:val="24"/>
        </w:rPr>
        <w:t>to the 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and 95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1F246C2E"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2838B4B2" w14:textId="7D01935B"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Pr="00FF6E3F">
        <w:rPr>
          <w:rFonts w:ascii="Times New Roman" w:hAnsi="Times New Roman" w:cs="Times New Roman"/>
          <w:sz w:val="24"/>
          <w:szCs w:val="24"/>
        </w:rPr>
        <w:t xml:space="preserve">Estimates summarized by bay segment </w:t>
      </w:r>
      <w:r>
        <w:rPr>
          <w:rFonts w:ascii="Times New Roman" w:hAnsi="Times New Roman" w:cs="Times New Roman"/>
          <w:sz w:val="24"/>
          <w:szCs w:val="24"/>
        </w:rPr>
        <w:t>w</w:t>
      </w:r>
      <w:r w:rsidRPr="00FF6E3F">
        <w:rPr>
          <w:rFonts w:ascii="Times New Roman" w:hAnsi="Times New Roman" w:cs="Times New Roman"/>
          <w:sz w:val="24"/>
          <w:szCs w:val="24"/>
        </w:rPr>
        <w:t xml:space="preserve">here the dimensions are the 25th percentile, median, and 75th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Pr="00FF6E3F">
        <w:rPr>
          <w:rFonts w:ascii="Times New Roman" w:hAnsi="Times New Roman" w:cs="Times New Roman"/>
          <w:sz w:val="24"/>
          <w:szCs w:val="24"/>
        </w:rPr>
        <w:t>. CCB: Central Choctawhatchee Bay, ECB: East Choctawhatchee Bay, WCB: West Choctawhatchee Bay</w:t>
      </w:r>
    </w:p>
    <w:p w14:paraId="4BCCF38D" w14:textId="77777777" w:rsidR="005563C7" w:rsidRDefault="005563C7" w:rsidP="00DA3F10">
      <w:pPr>
        <w:pStyle w:val="NoSpacing"/>
        <w:rPr>
          <w:rFonts w:ascii="Times New Roman" w:hAnsi="Times New Roman" w:cs="Times New Roman"/>
          <w:sz w:val="24"/>
          <w:szCs w:val="24"/>
        </w:rPr>
      </w:pPr>
    </w:p>
    <w:p w14:paraId="2278DBBF" w14:textId="636EECE2"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r>
        <w:rPr>
          <w:rFonts w:ascii="Times New Roman" w:hAnsi="Times New Roman" w:cs="Times New Roman"/>
          <w:i/>
          <w:sz w:val="24"/>
          <w:szCs w:val="24"/>
          <w:vertAlign w:val="subscript"/>
        </w:rPr>
        <w:t>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1192E204" w14:textId="77777777" w:rsidR="00DA3F10" w:rsidRDefault="00DA3F10" w:rsidP="00DA3F10">
      <w:pPr>
        <w:pStyle w:val="NoSpacing"/>
        <w:rPr>
          <w:rFonts w:ascii="Times New Roman" w:hAnsi="Times New Roman" w:cs="Times New Roman"/>
          <w:sz w:val="24"/>
          <w:szCs w:val="24"/>
        </w:rPr>
      </w:pPr>
    </w:p>
    <w:p w14:paraId="4AF56CB3" w14:textId="551B9ACA"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00DD4495">
        <w:rPr>
          <w:rFonts w:ascii="Times New Roman" w:hAnsi="Times New Roman" w:cs="Times New Roman"/>
          <w:sz w:val="24"/>
          <w:szCs w:val="24"/>
        </w:rPr>
        <w:t xml:space="preserve">. </w:t>
      </w:r>
      <w:r>
        <w:rPr>
          <w:rFonts w:ascii="Times New Roman" w:hAnsi="Times New Roman" w:cs="Times New Roman"/>
          <w:sz w:val="24"/>
          <w:szCs w:val="24"/>
        </w:rPr>
        <w:t>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9A2F20">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1"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9A2F20">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1"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9A2F20">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1"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9A2F20">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1"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9A2F20">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1"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9A2F20">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1"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9A2F20">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1"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9A2F20">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1"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9A2F20">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1"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9A2F20">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9A2F20">
        <w:trPr>
          <w:trHeight w:val="20"/>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F22029"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http://atoll.floridamarine.org/Data/metadata/SDE Current/seagrass </w:t>
            </w:r>
            <w:proofErr w:type="spellStart"/>
            <w:r w:rsidRPr="009A2F20">
              <w:rPr>
                <w:rFonts w:ascii="Times" w:eastAsia="Times New Roman" w:hAnsi="Times" w:cs="Times"/>
                <w:color w:val="000000"/>
              </w:rPr>
              <w:t>bigbend</w:t>
            </w:r>
            <w:proofErr w:type="spellEnd"/>
            <w:r w:rsidRPr="009A2F20">
              <w:rPr>
                <w:rFonts w:ascii="Times" w:eastAsia="Times New Roman" w:hAnsi="Times" w:cs="Times"/>
                <w:color w:val="000000"/>
              </w:rPr>
              <w:t xml:space="preserve"> 2006 poly.htm</w:t>
            </w:r>
          </w:p>
        </w:tc>
      </w:tr>
      <w:tr w:rsidR="00F22029"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OTB: http://www.swfwmd.state.fl.us/data/gis/layer library/category/swim</w:t>
            </w:r>
          </w:p>
        </w:tc>
      </w:tr>
      <w:tr w:rsidR="00F22029"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UIRL: http://www.sjrwmd.com/gisdevelopment/docs/themes.html</w:t>
            </w:r>
          </w:p>
        </w:tc>
      </w:tr>
      <w:tr w:rsidR="00F22029"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WCB: http://atoll.floridamarine.org/data/metadata/SDE Current/seagrass </w:t>
            </w:r>
            <w:proofErr w:type="spellStart"/>
            <w:r w:rsidRPr="009A2F20">
              <w:rPr>
                <w:rFonts w:ascii="Times" w:eastAsia="Times New Roman" w:hAnsi="Times" w:cs="Times"/>
                <w:color w:val="000000"/>
              </w:rPr>
              <w:t>chotawhatchee</w:t>
            </w:r>
            <w:proofErr w:type="spellEnd"/>
            <w:r w:rsidRPr="009A2F20">
              <w:rPr>
                <w:rFonts w:ascii="Times" w:eastAsia="Times New Roman" w:hAnsi="Times" w:cs="Times"/>
                <w:color w:val="000000"/>
              </w:rPr>
              <w:t xml:space="preserve"> 2007 poly.htm</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000" w:type="dxa"/>
        <w:tblLayout w:type="fixed"/>
        <w:tblLook w:val="04A0" w:firstRow="1" w:lastRow="0" w:firstColumn="1" w:lastColumn="0" w:noHBand="0" w:noVBand="1"/>
      </w:tblPr>
      <w:tblGrid>
        <w:gridCol w:w="2430"/>
        <w:gridCol w:w="630"/>
        <w:gridCol w:w="820"/>
        <w:gridCol w:w="820"/>
        <w:gridCol w:w="624"/>
        <w:gridCol w:w="656"/>
        <w:gridCol w:w="236"/>
        <w:gridCol w:w="763"/>
        <w:gridCol w:w="676"/>
        <w:gridCol w:w="636"/>
        <w:gridCol w:w="709"/>
      </w:tblGrid>
      <w:tr w:rsidR="008F151E" w:rsidRPr="008F151E" w14:paraId="39604680" w14:textId="77777777" w:rsidTr="008F151E">
        <w:trPr>
          <w:trHeight w:val="20"/>
        </w:trPr>
        <w:tc>
          <w:tcPr>
            <w:tcW w:w="9000" w:type="dxa"/>
            <w:gridSpan w:val="11"/>
            <w:tcBorders>
              <w:top w:val="nil"/>
              <w:left w:val="nil"/>
              <w:bottom w:val="single" w:sz="8" w:space="0" w:color="auto"/>
              <w:right w:val="nil"/>
            </w:tcBorders>
            <w:shd w:val="clear" w:color="auto" w:fill="auto"/>
            <w:hideMark/>
          </w:tcPr>
          <w:p w14:paraId="5C637D25" w14:textId="77777777" w:rsidR="008F151E" w:rsidRDefault="008F151E" w:rsidP="00BE7617">
            <w:pPr>
              <w:spacing w:before="0" w:after="0"/>
              <w:rPr>
                <w:rFonts w:ascii="Times New Roman" w:eastAsia="Times New Roman" w:hAnsi="Times New Roman"/>
                <w:color w:val="000000"/>
              </w:rPr>
            </w:pPr>
            <w:r w:rsidRPr="008F151E">
              <w:rPr>
                <w:rFonts w:ascii="Times New Roman" w:eastAsia="Times New Roman" w:hAnsi="Times New Roman"/>
                <w:b/>
                <w:bCs/>
                <w:color w:val="000000"/>
              </w:rPr>
              <w:lastRenderedPageBreak/>
              <w:t>Table 3</w:t>
            </w:r>
            <w:r w:rsidRPr="008F151E">
              <w:rPr>
                <w:rFonts w:ascii="Times New Roman" w:eastAsia="Times New Roman" w:hAnsi="Times New Roman"/>
                <w:color w:val="000000"/>
              </w:rPr>
              <w:t xml:space="preserve"> Summary of median depth of colonization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denote significant differences </w:t>
            </w:r>
            <w:r w:rsidR="00BE7617">
              <w:rPr>
                <w:rFonts w:ascii="Times New Roman" w:eastAsia="Times New Roman" w:hAnsi="Times New Roman"/>
                <w:color w:val="000000"/>
              </w:rPr>
              <w:t>among segments within estuaries (letters) or among estuaries (numbers)</w:t>
            </w:r>
            <w:r w:rsidRPr="008F151E">
              <w:rPr>
                <w:rFonts w:ascii="Times New Roman" w:eastAsia="Times New Roman" w:hAnsi="Times New Roman"/>
                <w:color w:val="000000"/>
              </w:rPr>
              <w:t>. See Figs. 7 to 9 for spatial distribution of the results</w:t>
            </w:r>
          </w:p>
          <w:p w14:paraId="0303870A" w14:textId="0544E9E6" w:rsidR="00482AF3" w:rsidRPr="008F151E" w:rsidRDefault="00482AF3" w:rsidP="00BE7617">
            <w:pPr>
              <w:spacing w:before="0" w:after="0"/>
              <w:rPr>
                <w:rFonts w:ascii="Times New Roman" w:eastAsia="Times New Roman" w:hAnsi="Times New Roman"/>
                <w:color w:val="000000"/>
              </w:rPr>
            </w:pPr>
          </w:p>
        </w:tc>
      </w:tr>
      <w:tr w:rsidR="008F151E" w:rsidRPr="008F151E" w14:paraId="5932308F" w14:textId="77777777" w:rsidTr="008F151E">
        <w:trPr>
          <w:trHeight w:val="20"/>
        </w:trPr>
        <w:tc>
          <w:tcPr>
            <w:tcW w:w="2430" w:type="dxa"/>
            <w:tcBorders>
              <w:top w:val="nil"/>
              <w:left w:val="nil"/>
              <w:bottom w:val="nil"/>
              <w:right w:val="nil"/>
            </w:tcBorders>
            <w:shd w:val="clear" w:color="auto" w:fill="auto"/>
            <w:noWrap/>
            <w:vAlign w:val="bottom"/>
            <w:hideMark/>
          </w:tcPr>
          <w:p w14:paraId="3D7D7B5D" w14:textId="77777777" w:rsidR="008F151E" w:rsidRPr="008F151E" w:rsidRDefault="008F151E" w:rsidP="008F151E">
            <w:pPr>
              <w:spacing w:before="0" w:after="0"/>
              <w:rPr>
                <w:rFonts w:ascii="Times New Roman" w:eastAsia="Times New Roman" w:hAnsi="Times New Roman"/>
                <w:b/>
                <w:color w:val="000000"/>
              </w:rPr>
            </w:pPr>
            <w:proofErr w:type="spellStart"/>
            <w:r w:rsidRPr="008F151E">
              <w:rPr>
                <w:rFonts w:ascii="Times New Roman" w:eastAsia="Times New Roman" w:hAnsi="Times New Roman"/>
                <w:b/>
                <w:color w:val="000000"/>
              </w:rPr>
              <w:t>Segment</w:t>
            </w:r>
            <w:r w:rsidRPr="008F151E">
              <w:rPr>
                <w:rFonts w:ascii="Times New Roman" w:eastAsia="Times New Roman" w:hAnsi="Times New Roman"/>
                <w:b/>
                <w:i/>
                <w:iCs/>
                <w:color w:val="000000"/>
                <w:vertAlign w:val="superscript"/>
              </w:rPr>
              <w:t>a</w:t>
            </w:r>
            <w:proofErr w:type="spellEnd"/>
          </w:p>
        </w:tc>
        <w:tc>
          <w:tcPr>
            <w:tcW w:w="630" w:type="dxa"/>
            <w:tcBorders>
              <w:top w:val="nil"/>
              <w:left w:val="nil"/>
              <w:bottom w:val="nil"/>
              <w:right w:val="nil"/>
            </w:tcBorders>
            <w:shd w:val="clear" w:color="auto" w:fill="auto"/>
            <w:noWrap/>
            <w:vAlign w:val="bottom"/>
            <w:hideMark/>
          </w:tcPr>
          <w:p w14:paraId="11F2679E" w14:textId="77777777" w:rsidR="008F151E" w:rsidRPr="008F151E" w:rsidRDefault="008F151E" w:rsidP="008F151E">
            <w:pPr>
              <w:spacing w:before="0" w:after="0"/>
              <w:rPr>
                <w:rFonts w:ascii="Times New Roman" w:eastAsia="Times New Roman" w:hAnsi="Times New Roman"/>
                <w:color w:val="000000"/>
              </w:rPr>
            </w:pPr>
          </w:p>
        </w:tc>
        <w:tc>
          <w:tcPr>
            <w:tcW w:w="2920" w:type="dxa"/>
            <w:gridSpan w:val="4"/>
            <w:tcBorders>
              <w:top w:val="nil"/>
              <w:left w:val="nil"/>
              <w:bottom w:val="single" w:sz="4" w:space="0" w:color="auto"/>
              <w:right w:val="nil"/>
            </w:tcBorders>
            <w:shd w:val="clear" w:color="auto" w:fill="auto"/>
            <w:noWrap/>
            <w:vAlign w:val="bottom"/>
            <w:hideMark/>
          </w:tcPr>
          <w:p w14:paraId="1B7DE128" w14:textId="77777777" w:rsidR="008F151E" w:rsidRPr="008F151E" w:rsidRDefault="008F151E" w:rsidP="008F151E">
            <w:pPr>
              <w:spacing w:before="0" w:after="0"/>
              <w:jc w:val="center"/>
              <w:rPr>
                <w:rFonts w:ascii="Times New Roman" w:eastAsia="Times New Roman" w:hAnsi="Times New Roman"/>
                <w:i/>
                <w:iCs/>
                <w:color w:val="000000"/>
              </w:rPr>
            </w:pP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
        </w:tc>
        <w:tc>
          <w:tcPr>
            <w:tcW w:w="236" w:type="dxa"/>
            <w:tcBorders>
              <w:top w:val="nil"/>
              <w:left w:val="nil"/>
              <w:bottom w:val="nil"/>
              <w:right w:val="nil"/>
            </w:tcBorders>
            <w:shd w:val="clear" w:color="auto" w:fill="auto"/>
            <w:noWrap/>
            <w:vAlign w:val="bottom"/>
            <w:hideMark/>
          </w:tcPr>
          <w:p w14:paraId="47337D51" w14:textId="77777777" w:rsidR="008F151E" w:rsidRPr="008F151E" w:rsidRDefault="008F151E" w:rsidP="008F151E">
            <w:pPr>
              <w:spacing w:before="0" w:after="0"/>
              <w:jc w:val="center"/>
              <w:rPr>
                <w:rFonts w:ascii="Times New Roman" w:eastAsia="Times New Roman" w:hAnsi="Times New Roman"/>
                <w:i/>
                <w:iCs/>
                <w:color w:val="000000"/>
              </w:rPr>
            </w:pPr>
          </w:p>
        </w:tc>
        <w:tc>
          <w:tcPr>
            <w:tcW w:w="2784" w:type="dxa"/>
            <w:gridSpan w:val="4"/>
            <w:tcBorders>
              <w:top w:val="nil"/>
              <w:left w:val="nil"/>
              <w:bottom w:val="single" w:sz="4" w:space="0" w:color="auto"/>
              <w:right w:val="nil"/>
            </w:tcBorders>
            <w:shd w:val="clear" w:color="auto" w:fill="auto"/>
            <w:noWrap/>
            <w:vAlign w:val="bottom"/>
            <w:hideMark/>
          </w:tcPr>
          <w:p w14:paraId="1D5B78B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Times New Roman" w:hAnsi="Times New Roman"/>
                <w:color w:val="000000"/>
              </w:rPr>
              <w:t>% light</w:t>
            </w:r>
          </w:p>
        </w:tc>
      </w:tr>
      <w:tr w:rsidR="008F151E" w:rsidRPr="008F151E" w14:paraId="663BF7F1"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57DCD5D" w14:textId="77777777" w:rsidR="008F151E" w:rsidRPr="008F151E" w:rsidRDefault="008F151E" w:rsidP="008F151E">
            <w:pPr>
              <w:spacing w:before="0" w:after="0"/>
              <w:rPr>
                <w:rFonts w:ascii="Times New Roman" w:eastAsia="Times New Roman" w:hAnsi="Times New Roman"/>
                <w:color w:val="000000"/>
              </w:rPr>
            </w:pPr>
            <w:r w:rsidRPr="008F151E">
              <w:rPr>
                <w:rFonts w:ascii="Times New Roman" w:eastAsia="Times New Roman" w:hAnsi="Times New Roman"/>
                <w:color w:val="000000"/>
              </w:rPr>
              <w:t> </w:t>
            </w:r>
          </w:p>
        </w:tc>
        <w:tc>
          <w:tcPr>
            <w:tcW w:w="630" w:type="dxa"/>
            <w:tcBorders>
              <w:top w:val="nil"/>
              <w:left w:val="nil"/>
              <w:bottom w:val="single" w:sz="4" w:space="0" w:color="auto"/>
              <w:right w:val="nil"/>
            </w:tcBorders>
            <w:shd w:val="clear" w:color="auto" w:fill="auto"/>
            <w:vAlign w:val="center"/>
            <w:hideMark/>
          </w:tcPr>
          <w:p w14:paraId="763C6CCE" w14:textId="77777777" w:rsidR="008F151E" w:rsidRPr="008F151E" w:rsidRDefault="008F151E" w:rsidP="008F151E">
            <w:pPr>
              <w:spacing w:before="0" w:after="0"/>
              <w:ind w:firstLineChars="100" w:firstLine="255"/>
              <w:rPr>
                <w:rFonts w:ascii="Times New Roman" w:eastAsia="Times New Roman" w:hAnsi="Times New Roman"/>
                <w:i/>
                <w:iCs/>
                <w:color w:val="000000"/>
              </w:rPr>
            </w:pPr>
            <w:r w:rsidRPr="008F151E">
              <w:rPr>
                <w:rFonts w:ascii="Times New Roman" w:eastAsia="Arial" w:hAnsi="Times New Roman"/>
                <w:i/>
                <w:iCs/>
                <w:color w:val="000000"/>
                <w:w w:val="107"/>
              </w:rPr>
              <w:t>n</w:t>
            </w:r>
          </w:p>
        </w:tc>
        <w:tc>
          <w:tcPr>
            <w:tcW w:w="820" w:type="dxa"/>
            <w:tcBorders>
              <w:top w:val="nil"/>
              <w:left w:val="nil"/>
              <w:bottom w:val="single" w:sz="4" w:space="0" w:color="auto"/>
              <w:right w:val="nil"/>
            </w:tcBorders>
            <w:shd w:val="clear" w:color="auto" w:fill="auto"/>
            <w:vAlign w:val="center"/>
            <w:hideMark/>
          </w:tcPr>
          <w:p w14:paraId="07271D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820" w:type="dxa"/>
            <w:tcBorders>
              <w:top w:val="nil"/>
              <w:left w:val="nil"/>
              <w:bottom w:val="single" w:sz="4" w:space="0" w:color="auto"/>
              <w:right w:val="nil"/>
            </w:tcBorders>
            <w:shd w:val="clear" w:color="auto" w:fill="auto"/>
            <w:vAlign w:val="center"/>
            <w:hideMark/>
          </w:tcPr>
          <w:p w14:paraId="02959CC3" w14:textId="070F8CAF"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Err</w:t>
            </w:r>
            <w:r w:rsidRPr="008F151E">
              <w:rPr>
                <w:rFonts w:ascii="Times New Roman" w:hAnsi="Times New Roman"/>
              </w:rPr>
              <w:t>.</w:t>
            </w:r>
          </w:p>
        </w:tc>
        <w:tc>
          <w:tcPr>
            <w:tcW w:w="624" w:type="dxa"/>
            <w:tcBorders>
              <w:top w:val="nil"/>
              <w:left w:val="nil"/>
              <w:bottom w:val="single" w:sz="4" w:space="0" w:color="auto"/>
              <w:right w:val="nil"/>
            </w:tcBorders>
            <w:shd w:val="clear" w:color="auto" w:fill="auto"/>
            <w:vAlign w:val="center"/>
            <w:hideMark/>
          </w:tcPr>
          <w:p w14:paraId="40AB9E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656" w:type="dxa"/>
            <w:tcBorders>
              <w:top w:val="nil"/>
              <w:left w:val="nil"/>
              <w:bottom w:val="single" w:sz="4" w:space="0" w:color="auto"/>
              <w:right w:val="nil"/>
            </w:tcBorders>
            <w:shd w:val="clear" w:color="auto" w:fill="auto"/>
            <w:vAlign w:val="center"/>
            <w:hideMark/>
          </w:tcPr>
          <w:p w14:paraId="12EDC2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c>
          <w:tcPr>
            <w:tcW w:w="236" w:type="dxa"/>
            <w:tcBorders>
              <w:top w:val="nil"/>
              <w:left w:val="nil"/>
              <w:bottom w:val="single" w:sz="4" w:space="0" w:color="auto"/>
              <w:right w:val="nil"/>
            </w:tcBorders>
            <w:shd w:val="clear" w:color="auto" w:fill="auto"/>
            <w:vAlign w:val="center"/>
            <w:hideMark/>
          </w:tcPr>
          <w:p w14:paraId="46465D66" w14:textId="1DD5EEA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479F65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676" w:type="dxa"/>
            <w:tcBorders>
              <w:top w:val="nil"/>
              <w:left w:val="nil"/>
              <w:bottom w:val="single" w:sz="4" w:space="0" w:color="auto"/>
              <w:right w:val="nil"/>
            </w:tcBorders>
            <w:shd w:val="clear" w:color="auto" w:fill="auto"/>
            <w:vAlign w:val="center"/>
            <w:hideMark/>
          </w:tcPr>
          <w:p w14:paraId="25EB0FE4" w14:textId="71FE7437"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w:t>
            </w:r>
            <w:r w:rsidR="00961088">
              <w:rPr>
                <w:rFonts w:ascii="Times New Roman" w:hAnsi="Times New Roman"/>
              </w:rPr>
              <w:t>rr.</w:t>
            </w:r>
          </w:p>
        </w:tc>
        <w:tc>
          <w:tcPr>
            <w:tcW w:w="636" w:type="dxa"/>
            <w:tcBorders>
              <w:top w:val="nil"/>
              <w:left w:val="nil"/>
              <w:bottom w:val="single" w:sz="4" w:space="0" w:color="auto"/>
              <w:right w:val="nil"/>
            </w:tcBorders>
            <w:shd w:val="clear" w:color="auto" w:fill="auto"/>
            <w:vAlign w:val="center"/>
            <w:hideMark/>
          </w:tcPr>
          <w:p w14:paraId="45CD537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709" w:type="dxa"/>
            <w:tcBorders>
              <w:top w:val="nil"/>
              <w:left w:val="nil"/>
              <w:bottom w:val="single" w:sz="4" w:space="0" w:color="auto"/>
              <w:right w:val="nil"/>
            </w:tcBorders>
            <w:shd w:val="clear" w:color="auto" w:fill="auto"/>
            <w:vAlign w:val="center"/>
            <w:hideMark/>
          </w:tcPr>
          <w:p w14:paraId="71084B4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r>
      <w:tr w:rsidR="008F151E" w:rsidRPr="008F151E" w14:paraId="7F3F4998" w14:textId="77777777" w:rsidTr="008F151E">
        <w:trPr>
          <w:trHeight w:val="20"/>
        </w:trPr>
        <w:tc>
          <w:tcPr>
            <w:tcW w:w="2430" w:type="dxa"/>
            <w:tcBorders>
              <w:top w:val="nil"/>
              <w:left w:val="nil"/>
              <w:bottom w:val="nil"/>
              <w:right w:val="nil"/>
            </w:tcBorders>
            <w:shd w:val="clear" w:color="auto" w:fill="auto"/>
            <w:noWrap/>
            <w:vAlign w:val="bottom"/>
            <w:hideMark/>
          </w:tcPr>
          <w:p w14:paraId="25A3D828" w14:textId="77777777" w:rsidR="008F151E" w:rsidRPr="003A11B1" w:rsidRDefault="008F151E" w:rsidP="008F151E">
            <w:pPr>
              <w:spacing w:before="0" w:after="0"/>
            </w:pPr>
            <w:r w:rsidRPr="003A11B1">
              <w:rPr>
                <w:rFonts w:ascii="Times New Roman" w:hAnsi="Times New Roman"/>
              </w:rPr>
              <w:t xml:space="preserve">Choctawhatchee </w:t>
            </w:r>
            <w:r w:rsidRPr="003A11B1">
              <w:t>Bay</w:t>
            </w:r>
          </w:p>
        </w:tc>
        <w:tc>
          <w:tcPr>
            <w:tcW w:w="630" w:type="dxa"/>
            <w:tcBorders>
              <w:top w:val="nil"/>
              <w:left w:val="nil"/>
              <w:bottom w:val="nil"/>
              <w:right w:val="nil"/>
            </w:tcBorders>
            <w:shd w:val="clear" w:color="auto" w:fill="auto"/>
            <w:vAlign w:val="center"/>
            <w:hideMark/>
          </w:tcPr>
          <w:p w14:paraId="19A836D3" w14:textId="34F33E57"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255</w:t>
            </w:r>
          </w:p>
        </w:tc>
        <w:tc>
          <w:tcPr>
            <w:tcW w:w="820" w:type="dxa"/>
            <w:tcBorders>
              <w:top w:val="nil"/>
              <w:left w:val="nil"/>
              <w:bottom w:val="nil"/>
              <w:right w:val="nil"/>
            </w:tcBorders>
            <w:shd w:val="clear" w:color="auto" w:fill="auto"/>
            <w:vAlign w:val="center"/>
            <w:hideMark/>
          </w:tcPr>
          <w:p w14:paraId="654BEA48" w14:textId="11128373" w:rsidR="008F151E" w:rsidRPr="00594B1D" w:rsidRDefault="00594B1D" w:rsidP="00594B1D">
            <w:pPr>
              <w:spacing w:before="0" w:after="0"/>
              <w:jc w:val="center"/>
              <w:rPr>
                <w:rFonts w:ascii="Times New Roman" w:eastAsia="Times New Roman" w:hAnsi="Times New Roman"/>
              </w:rPr>
            </w:pPr>
            <w:r>
              <w:rPr>
                <w:rFonts w:ascii="Times New Roman" w:eastAsia="Times New Roman" w:hAnsi="Times New Roman"/>
              </w:rPr>
              <w:t>2.0</w:t>
            </w:r>
            <w:r w:rsidRPr="00594B1D">
              <w:rPr>
                <w:rFonts w:ascii="Times New Roman" w:eastAsia="Times New Roman" w:hAnsi="Times New Roman"/>
                <w:vertAlign w:val="superscript"/>
              </w:rPr>
              <w:t>1</w:t>
            </w:r>
          </w:p>
        </w:tc>
        <w:tc>
          <w:tcPr>
            <w:tcW w:w="820" w:type="dxa"/>
            <w:tcBorders>
              <w:top w:val="nil"/>
              <w:left w:val="nil"/>
              <w:bottom w:val="nil"/>
              <w:right w:val="nil"/>
            </w:tcBorders>
            <w:shd w:val="clear" w:color="auto" w:fill="auto"/>
            <w:vAlign w:val="center"/>
            <w:hideMark/>
          </w:tcPr>
          <w:p w14:paraId="2C67BDC0" w14:textId="18355EBC"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2E73050" w14:textId="369F2FB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1A35446E" w14:textId="13F6841B"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2.8</w:t>
            </w:r>
          </w:p>
        </w:tc>
        <w:tc>
          <w:tcPr>
            <w:tcW w:w="236" w:type="dxa"/>
            <w:tcBorders>
              <w:top w:val="nil"/>
              <w:left w:val="nil"/>
              <w:bottom w:val="nil"/>
              <w:right w:val="nil"/>
            </w:tcBorders>
            <w:shd w:val="clear" w:color="auto" w:fill="auto"/>
            <w:vAlign w:val="center"/>
            <w:hideMark/>
          </w:tcPr>
          <w:p w14:paraId="088F01DC"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1471CDA" w14:textId="397704AD" w:rsidR="008F151E" w:rsidRPr="00A70566" w:rsidRDefault="00AC59E5" w:rsidP="008F151E">
            <w:pPr>
              <w:spacing w:before="0" w:after="0"/>
              <w:jc w:val="center"/>
              <w:rPr>
                <w:rFonts w:ascii="Times New Roman" w:eastAsia="Times New Roman" w:hAnsi="Times New Roman"/>
              </w:rPr>
            </w:pPr>
            <w:r>
              <w:rPr>
                <w:rFonts w:ascii="Times New Roman" w:eastAsia="Times New Roman" w:hAnsi="Times New Roman"/>
              </w:rPr>
              <w:t>50</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502ABF6B" w14:textId="68407D37" w:rsidR="008F151E" w:rsidRPr="00A70566" w:rsidRDefault="00A70566" w:rsidP="008F151E">
            <w:pPr>
              <w:spacing w:before="0" w:after="0"/>
              <w:jc w:val="center"/>
              <w:rPr>
                <w:rFonts w:ascii="Times New Roman" w:eastAsia="Times New Roman" w:hAnsi="Times New Roman"/>
              </w:rPr>
            </w:pPr>
            <w:r w:rsidRPr="00A70566">
              <w:rPr>
                <w:rFonts w:ascii="Times New Roman" w:eastAsia="Times New Roman" w:hAnsi="Times New Roman"/>
              </w:rPr>
              <w:t>3.0</w:t>
            </w:r>
          </w:p>
        </w:tc>
        <w:tc>
          <w:tcPr>
            <w:tcW w:w="636" w:type="dxa"/>
            <w:tcBorders>
              <w:top w:val="nil"/>
              <w:left w:val="nil"/>
              <w:bottom w:val="nil"/>
              <w:right w:val="nil"/>
            </w:tcBorders>
            <w:shd w:val="clear" w:color="auto" w:fill="auto"/>
            <w:vAlign w:val="center"/>
            <w:hideMark/>
          </w:tcPr>
          <w:p w14:paraId="12FE5F30" w14:textId="3D59FB9A"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20</w:t>
            </w:r>
          </w:p>
        </w:tc>
        <w:tc>
          <w:tcPr>
            <w:tcW w:w="709" w:type="dxa"/>
            <w:tcBorders>
              <w:top w:val="nil"/>
              <w:left w:val="nil"/>
              <w:bottom w:val="nil"/>
              <w:right w:val="nil"/>
            </w:tcBorders>
            <w:shd w:val="clear" w:color="auto" w:fill="auto"/>
            <w:vAlign w:val="center"/>
            <w:hideMark/>
          </w:tcPr>
          <w:p w14:paraId="43967CD1" w14:textId="2F636E5E"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87</w:t>
            </w:r>
          </w:p>
        </w:tc>
      </w:tr>
      <w:tr w:rsidR="008F151E" w:rsidRPr="008F151E" w14:paraId="000FEBBF" w14:textId="77777777" w:rsidTr="008F151E">
        <w:trPr>
          <w:trHeight w:val="20"/>
        </w:trPr>
        <w:tc>
          <w:tcPr>
            <w:tcW w:w="2430" w:type="dxa"/>
            <w:tcBorders>
              <w:top w:val="nil"/>
              <w:left w:val="nil"/>
              <w:bottom w:val="nil"/>
              <w:right w:val="nil"/>
            </w:tcBorders>
            <w:shd w:val="clear" w:color="auto" w:fill="auto"/>
            <w:vAlign w:val="center"/>
            <w:hideMark/>
          </w:tcPr>
          <w:p w14:paraId="39F74D1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CCB</w:t>
            </w:r>
          </w:p>
        </w:tc>
        <w:tc>
          <w:tcPr>
            <w:tcW w:w="630" w:type="dxa"/>
            <w:tcBorders>
              <w:top w:val="nil"/>
              <w:left w:val="nil"/>
              <w:bottom w:val="nil"/>
              <w:right w:val="nil"/>
            </w:tcBorders>
            <w:shd w:val="clear" w:color="auto" w:fill="auto"/>
            <w:vAlign w:val="center"/>
            <w:hideMark/>
          </w:tcPr>
          <w:p w14:paraId="5F557BB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111</w:t>
            </w:r>
          </w:p>
        </w:tc>
        <w:tc>
          <w:tcPr>
            <w:tcW w:w="820" w:type="dxa"/>
            <w:tcBorders>
              <w:top w:val="nil"/>
              <w:left w:val="nil"/>
              <w:bottom w:val="nil"/>
              <w:right w:val="nil"/>
            </w:tcBorders>
            <w:shd w:val="clear" w:color="auto" w:fill="auto"/>
            <w:vAlign w:val="center"/>
            <w:hideMark/>
          </w:tcPr>
          <w:p w14:paraId="6D7902A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5668EB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24" w:type="dxa"/>
            <w:tcBorders>
              <w:top w:val="nil"/>
              <w:left w:val="nil"/>
              <w:bottom w:val="nil"/>
              <w:right w:val="nil"/>
            </w:tcBorders>
            <w:shd w:val="clear" w:color="auto" w:fill="auto"/>
            <w:vAlign w:val="center"/>
            <w:hideMark/>
          </w:tcPr>
          <w:p w14:paraId="1220B94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nil"/>
              <w:right w:val="nil"/>
            </w:tcBorders>
            <w:shd w:val="clear" w:color="auto" w:fill="auto"/>
            <w:vAlign w:val="center"/>
            <w:hideMark/>
          </w:tcPr>
          <w:p w14:paraId="0C703F0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4.2</w:t>
            </w:r>
          </w:p>
        </w:tc>
        <w:tc>
          <w:tcPr>
            <w:tcW w:w="236" w:type="dxa"/>
            <w:tcBorders>
              <w:top w:val="nil"/>
              <w:left w:val="nil"/>
              <w:bottom w:val="nil"/>
              <w:right w:val="nil"/>
            </w:tcBorders>
            <w:shd w:val="clear" w:color="auto" w:fill="auto"/>
            <w:vAlign w:val="center"/>
            <w:hideMark/>
          </w:tcPr>
          <w:p w14:paraId="492E6A13"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4A82AC7" w14:textId="6CAA5B7D"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51</w:t>
            </w:r>
          </w:p>
        </w:tc>
        <w:tc>
          <w:tcPr>
            <w:tcW w:w="676" w:type="dxa"/>
            <w:tcBorders>
              <w:top w:val="nil"/>
              <w:left w:val="nil"/>
              <w:bottom w:val="nil"/>
              <w:right w:val="nil"/>
            </w:tcBorders>
            <w:shd w:val="clear" w:color="auto" w:fill="auto"/>
            <w:vAlign w:val="center"/>
            <w:hideMark/>
          </w:tcPr>
          <w:p w14:paraId="127DDFE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13.2</w:t>
            </w:r>
          </w:p>
        </w:tc>
        <w:tc>
          <w:tcPr>
            <w:tcW w:w="636" w:type="dxa"/>
            <w:tcBorders>
              <w:top w:val="nil"/>
              <w:left w:val="nil"/>
              <w:bottom w:val="nil"/>
              <w:right w:val="nil"/>
            </w:tcBorders>
            <w:shd w:val="clear" w:color="auto" w:fill="auto"/>
            <w:vAlign w:val="center"/>
            <w:hideMark/>
          </w:tcPr>
          <w:p w14:paraId="02033899" w14:textId="2B527D1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509F0858" w14:textId="22F38A20"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87</w:t>
            </w:r>
          </w:p>
        </w:tc>
      </w:tr>
      <w:tr w:rsidR="008F151E" w:rsidRPr="008F151E" w14:paraId="4C9B5B0F" w14:textId="77777777" w:rsidTr="008F151E">
        <w:trPr>
          <w:trHeight w:val="20"/>
        </w:trPr>
        <w:tc>
          <w:tcPr>
            <w:tcW w:w="2430" w:type="dxa"/>
            <w:tcBorders>
              <w:top w:val="nil"/>
              <w:left w:val="nil"/>
              <w:bottom w:val="nil"/>
              <w:right w:val="nil"/>
            </w:tcBorders>
            <w:shd w:val="clear" w:color="auto" w:fill="auto"/>
            <w:vAlign w:val="center"/>
            <w:hideMark/>
          </w:tcPr>
          <w:p w14:paraId="7DD3A55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ECB</w:t>
            </w:r>
          </w:p>
        </w:tc>
        <w:tc>
          <w:tcPr>
            <w:tcW w:w="630" w:type="dxa"/>
            <w:tcBorders>
              <w:top w:val="nil"/>
              <w:left w:val="nil"/>
              <w:bottom w:val="nil"/>
              <w:right w:val="nil"/>
            </w:tcBorders>
            <w:shd w:val="clear" w:color="auto" w:fill="auto"/>
            <w:vAlign w:val="center"/>
            <w:hideMark/>
          </w:tcPr>
          <w:p w14:paraId="3B7B328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004F56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EB1136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A41A2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0.7</w:t>
            </w:r>
          </w:p>
        </w:tc>
        <w:tc>
          <w:tcPr>
            <w:tcW w:w="656" w:type="dxa"/>
            <w:tcBorders>
              <w:top w:val="nil"/>
              <w:left w:val="nil"/>
              <w:bottom w:val="nil"/>
              <w:right w:val="nil"/>
            </w:tcBorders>
            <w:shd w:val="clear" w:color="auto" w:fill="auto"/>
            <w:vAlign w:val="center"/>
            <w:hideMark/>
          </w:tcPr>
          <w:p w14:paraId="7303A8C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236" w:type="dxa"/>
            <w:tcBorders>
              <w:top w:val="nil"/>
              <w:left w:val="nil"/>
              <w:bottom w:val="nil"/>
              <w:right w:val="nil"/>
            </w:tcBorders>
            <w:shd w:val="clear" w:color="auto" w:fill="auto"/>
            <w:vAlign w:val="center"/>
            <w:hideMark/>
          </w:tcPr>
          <w:p w14:paraId="6E6F5899"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0A6D24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76" w:type="dxa"/>
            <w:tcBorders>
              <w:top w:val="nil"/>
              <w:left w:val="nil"/>
              <w:bottom w:val="nil"/>
              <w:right w:val="nil"/>
            </w:tcBorders>
            <w:shd w:val="clear" w:color="auto" w:fill="auto"/>
            <w:vAlign w:val="center"/>
            <w:hideMark/>
          </w:tcPr>
          <w:p w14:paraId="5ADEC36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8.9</w:t>
            </w:r>
          </w:p>
        </w:tc>
        <w:tc>
          <w:tcPr>
            <w:tcW w:w="636" w:type="dxa"/>
            <w:tcBorders>
              <w:top w:val="nil"/>
              <w:left w:val="nil"/>
              <w:bottom w:val="nil"/>
              <w:right w:val="nil"/>
            </w:tcBorders>
            <w:shd w:val="clear" w:color="auto" w:fill="auto"/>
            <w:vAlign w:val="center"/>
            <w:hideMark/>
          </w:tcPr>
          <w:p w14:paraId="2EFAB0FD" w14:textId="78DEE2EA"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55</w:t>
            </w:r>
          </w:p>
        </w:tc>
        <w:tc>
          <w:tcPr>
            <w:tcW w:w="709" w:type="dxa"/>
            <w:tcBorders>
              <w:top w:val="nil"/>
              <w:left w:val="nil"/>
              <w:bottom w:val="nil"/>
              <w:right w:val="nil"/>
            </w:tcBorders>
            <w:shd w:val="clear" w:color="auto" w:fill="auto"/>
            <w:vAlign w:val="center"/>
            <w:hideMark/>
          </w:tcPr>
          <w:p w14:paraId="6264B5B2" w14:textId="42D1556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75</w:t>
            </w:r>
          </w:p>
        </w:tc>
      </w:tr>
      <w:tr w:rsidR="008F151E" w:rsidRPr="008F151E" w14:paraId="4F437372"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F012FC7"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WCB</w:t>
            </w:r>
          </w:p>
        </w:tc>
        <w:tc>
          <w:tcPr>
            <w:tcW w:w="630" w:type="dxa"/>
            <w:tcBorders>
              <w:top w:val="nil"/>
              <w:left w:val="nil"/>
              <w:bottom w:val="single" w:sz="4" w:space="0" w:color="auto"/>
              <w:right w:val="nil"/>
            </w:tcBorders>
            <w:shd w:val="clear" w:color="auto" w:fill="auto"/>
            <w:vAlign w:val="center"/>
            <w:hideMark/>
          </w:tcPr>
          <w:p w14:paraId="6B92E39F"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140</w:t>
            </w:r>
          </w:p>
        </w:tc>
        <w:tc>
          <w:tcPr>
            <w:tcW w:w="820" w:type="dxa"/>
            <w:tcBorders>
              <w:top w:val="nil"/>
              <w:left w:val="nil"/>
              <w:bottom w:val="single" w:sz="4" w:space="0" w:color="auto"/>
              <w:right w:val="nil"/>
            </w:tcBorders>
            <w:shd w:val="clear" w:color="auto" w:fill="auto"/>
            <w:vAlign w:val="center"/>
            <w:hideMark/>
          </w:tcPr>
          <w:p w14:paraId="7D332E3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2.3</w:t>
            </w:r>
            <w:r w:rsidRPr="008F151E">
              <w:rPr>
                <w:rFonts w:ascii="Times New Roman" w:eastAsia="Arial" w:hAnsi="Times New Roman"/>
                <w:color w:val="000000"/>
                <w:vertAlign w:val="superscript"/>
              </w:rPr>
              <w:t>b</w:t>
            </w:r>
          </w:p>
        </w:tc>
        <w:tc>
          <w:tcPr>
            <w:tcW w:w="820" w:type="dxa"/>
            <w:tcBorders>
              <w:top w:val="nil"/>
              <w:left w:val="nil"/>
              <w:bottom w:val="single" w:sz="4" w:space="0" w:color="auto"/>
              <w:right w:val="nil"/>
            </w:tcBorders>
            <w:shd w:val="clear" w:color="auto" w:fill="auto"/>
            <w:vAlign w:val="center"/>
            <w:hideMark/>
          </w:tcPr>
          <w:p w14:paraId="2F7FE9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single" w:sz="4" w:space="0" w:color="auto"/>
              <w:right w:val="nil"/>
            </w:tcBorders>
            <w:shd w:val="clear" w:color="auto" w:fill="auto"/>
            <w:vAlign w:val="center"/>
            <w:hideMark/>
          </w:tcPr>
          <w:p w14:paraId="591FCD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656" w:type="dxa"/>
            <w:tcBorders>
              <w:top w:val="nil"/>
              <w:left w:val="nil"/>
              <w:bottom w:val="single" w:sz="4" w:space="0" w:color="auto"/>
              <w:right w:val="nil"/>
            </w:tcBorders>
            <w:shd w:val="clear" w:color="auto" w:fill="auto"/>
            <w:vAlign w:val="center"/>
            <w:hideMark/>
          </w:tcPr>
          <w:p w14:paraId="3424A65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236" w:type="dxa"/>
            <w:tcBorders>
              <w:top w:val="nil"/>
              <w:left w:val="nil"/>
              <w:bottom w:val="single" w:sz="4" w:space="0" w:color="auto"/>
              <w:right w:val="nil"/>
            </w:tcBorders>
            <w:shd w:val="clear" w:color="auto" w:fill="auto"/>
            <w:vAlign w:val="center"/>
            <w:hideMark/>
          </w:tcPr>
          <w:p w14:paraId="7D0D8FBF" w14:textId="33313205"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0C508B2D" w14:textId="2791787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46</w:t>
            </w:r>
          </w:p>
        </w:tc>
        <w:tc>
          <w:tcPr>
            <w:tcW w:w="676" w:type="dxa"/>
            <w:tcBorders>
              <w:top w:val="nil"/>
              <w:left w:val="nil"/>
              <w:bottom w:val="single" w:sz="4" w:space="0" w:color="auto"/>
              <w:right w:val="nil"/>
            </w:tcBorders>
            <w:shd w:val="clear" w:color="auto" w:fill="auto"/>
            <w:vAlign w:val="center"/>
            <w:hideMark/>
          </w:tcPr>
          <w:p w14:paraId="08F7E9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29BF2D42"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709" w:type="dxa"/>
            <w:tcBorders>
              <w:top w:val="nil"/>
              <w:left w:val="nil"/>
              <w:bottom w:val="single" w:sz="4" w:space="0" w:color="auto"/>
              <w:right w:val="nil"/>
            </w:tcBorders>
            <w:shd w:val="clear" w:color="auto" w:fill="auto"/>
            <w:vAlign w:val="center"/>
            <w:hideMark/>
          </w:tcPr>
          <w:p w14:paraId="26380C7A"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70</w:t>
            </w:r>
          </w:p>
        </w:tc>
      </w:tr>
      <w:tr w:rsidR="008F151E" w:rsidRPr="008F151E" w14:paraId="1F582F72" w14:textId="77777777" w:rsidTr="008F151E">
        <w:trPr>
          <w:trHeight w:val="20"/>
        </w:trPr>
        <w:tc>
          <w:tcPr>
            <w:tcW w:w="2430" w:type="dxa"/>
            <w:tcBorders>
              <w:top w:val="nil"/>
              <w:left w:val="nil"/>
              <w:bottom w:val="nil"/>
              <w:right w:val="nil"/>
            </w:tcBorders>
            <w:shd w:val="clear" w:color="auto" w:fill="auto"/>
            <w:vAlign w:val="center"/>
            <w:hideMark/>
          </w:tcPr>
          <w:p w14:paraId="69B0AF0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Arial" w:hAnsi="Times New Roman"/>
                <w:bCs/>
                <w:color w:val="000000"/>
                <w:w w:val="94"/>
              </w:rPr>
              <w:t>Indian River Lagoon</w:t>
            </w:r>
          </w:p>
        </w:tc>
        <w:tc>
          <w:tcPr>
            <w:tcW w:w="630" w:type="dxa"/>
            <w:tcBorders>
              <w:top w:val="nil"/>
              <w:left w:val="nil"/>
              <w:bottom w:val="nil"/>
              <w:right w:val="nil"/>
            </w:tcBorders>
            <w:shd w:val="clear" w:color="auto" w:fill="auto"/>
            <w:vAlign w:val="center"/>
            <w:hideMark/>
          </w:tcPr>
          <w:p w14:paraId="3A38B9B3" w14:textId="476EEFC8"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45</w:t>
            </w:r>
          </w:p>
        </w:tc>
        <w:tc>
          <w:tcPr>
            <w:tcW w:w="820" w:type="dxa"/>
            <w:tcBorders>
              <w:top w:val="nil"/>
              <w:left w:val="nil"/>
              <w:bottom w:val="nil"/>
              <w:right w:val="nil"/>
            </w:tcBorders>
            <w:shd w:val="clear" w:color="auto" w:fill="auto"/>
            <w:vAlign w:val="center"/>
            <w:hideMark/>
          </w:tcPr>
          <w:p w14:paraId="2D38ED68" w14:textId="0E498D99" w:rsidR="008F151E" w:rsidRPr="00594B1D" w:rsidRDefault="00594B1D" w:rsidP="008F151E">
            <w:pPr>
              <w:spacing w:before="0" w:after="0"/>
              <w:jc w:val="center"/>
              <w:rPr>
                <w:rFonts w:ascii="Times New Roman" w:eastAsia="Times New Roman" w:hAnsi="Times New Roman"/>
              </w:rPr>
            </w:pPr>
            <w:r w:rsidRPr="00594B1D">
              <w:rPr>
                <w:rFonts w:ascii="Times New Roman" w:eastAsia="Times New Roman" w:hAnsi="Times New Roman"/>
              </w:rPr>
              <w:t>1.1</w:t>
            </w:r>
            <w:r w:rsidRPr="00594B1D">
              <w:rPr>
                <w:rFonts w:ascii="Times New Roman" w:eastAsia="Times New Roman" w:hAnsi="Times New Roman"/>
                <w:vertAlign w:val="superscript"/>
              </w:rPr>
              <w:t>2</w:t>
            </w:r>
          </w:p>
        </w:tc>
        <w:tc>
          <w:tcPr>
            <w:tcW w:w="820" w:type="dxa"/>
            <w:tcBorders>
              <w:top w:val="nil"/>
              <w:left w:val="nil"/>
              <w:bottom w:val="nil"/>
              <w:right w:val="nil"/>
            </w:tcBorders>
            <w:shd w:val="clear" w:color="auto" w:fill="auto"/>
            <w:vAlign w:val="center"/>
            <w:hideMark/>
          </w:tcPr>
          <w:p w14:paraId="7BF87F67" w14:textId="52801CC6"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073C7D58" w14:textId="108B38EA"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0.8</w:t>
            </w:r>
          </w:p>
        </w:tc>
        <w:tc>
          <w:tcPr>
            <w:tcW w:w="656" w:type="dxa"/>
            <w:tcBorders>
              <w:top w:val="nil"/>
              <w:left w:val="nil"/>
              <w:bottom w:val="nil"/>
              <w:right w:val="nil"/>
            </w:tcBorders>
            <w:shd w:val="clear" w:color="auto" w:fill="auto"/>
            <w:vAlign w:val="center"/>
            <w:hideMark/>
          </w:tcPr>
          <w:p w14:paraId="36A1543D" w14:textId="48132879"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662975A2"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F92C102" w14:textId="25FB2F73" w:rsidR="008F151E" w:rsidRPr="00AC59E5" w:rsidRDefault="00AC59E5" w:rsidP="008F151E">
            <w:pPr>
              <w:spacing w:before="0" w:after="0"/>
              <w:jc w:val="center"/>
              <w:rPr>
                <w:rFonts w:ascii="Times New Roman" w:eastAsia="Times New Roman" w:hAnsi="Times New Roman"/>
              </w:rPr>
            </w:pPr>
            <w:r w:rsidRPr="00AC59E5">
              <w:rPr>
                <w:rFonts w:ascii="Times New Roman" w:eastAsia="Times New Roman" w:hAnsi="Times New Roman"/>
              </w:rPr>
              <w:t>18</w:t>
            </w:r>
            <w:r w:rsidR="00FE28F3" w:rsidRPr="00FE28F3">
              <w:rPr>
                <w:rFonts w:ascii="Times New Roman" w:eastAsia="Times New Roman" w:hAnsi="Times New Roman"/>
                <w:vertAlign w:val="superscript"/>
              </w:rPr>
              <w:t>2</w:t>
            </w:r>
          </w:p>
        </w:tc>
        <w:tc>
          <w:tcPr>
            <w:tcW w:w="676" w:type="dxa"/>
            <w:tcBorders>
              <w:top w:val="nil"/>
              <w:left w:val="nil"/>
              <w:bottom w:val="nil"/>
              <w:right w:val="nil"/>
            </w:tcBorders>
            <w:shd w:val="clear" w:color="auto" w:fill="auto"/>
            <w:vAlign w:val="center"/>
            <w:hideMark/>
          </w:tcPr>
          <w:p w14:paraId="1C035EEB" w14:textId="721AE634" w:rsidR="008F151E" w:rsidRPr="00AC59E5" w:rsidRDefault="00AC59E5" w:rsidP="00AC59E5">
            <w:pPr>
              <w:spacing w:before="0" w:after="0"/>
              <w:jc w:val="center"/>
              <w:rPr>
                <w:rFonts w:ascii="Times New Roman" w:eastAsia="Times New Roman" w:hAnsi="Times New Roman"/>
              </w:rPr>
            </w:pPr>
            <w:r w:rsidRPr="00AC59E5">
              <w:rPr>
                <w:rFonts w:ascii="Times New Roman" w:eastAsia="Times New Roman" w:hAnsi="Times New Roman"/>
              </w:rPr>
              <w:t>2.9</w:t>
            </w:r>
          </w:p>
        </w:tc>
        <w:tc>
          <w:tcPr>
            <w:tcW w:w="636" w:type="dxa"/>
            <w:tcBorders>
              <w:top w:val="nil"/>
              <w:left w:val="nil"/>
              <w:bottom w:val="nil"/>
              <w:right w:val="nil"/>
            </w:tcBorders>
            <w:shd w:val="clear" w:color="auto" w:fill="auto"/>
            <w:vAlign w:val="center"/>
            <w:hideMark/>
          </w:tcPr>
          <w:p w14:paraId="485D1425" w14:textId="694D85F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7.5</w:t>
            </w:r>
          </w:p>
        </w:tc>
        <w:tc>
          <w:tcPr>
            <w:tcW w:w="709" w:type="dxa"/>
            <w:tcBorders>
              <w:top w:val="nil"/>
              <w:left w:val="nil"/>
              <w:bottom w:val="nil"/>
              <w:right w:val="nil"/>
            </w:tcBorders>
            <w:shd w:val="clear" w:color="auto" w:fill="auto"/>
            <w:vAlign w:val="center"/>
            <w:hideMark/>
          </w:tcPr>
          <w:p w14:paraId="35DAA0D1" w14:textId="5E19E46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31</w:t>
            </w:r>
          </w:p>
        </w:tc>
      </w:tr>
      <w:tr w:rsidR="008F151E" w:rsidRPr="008F151E" w14:paraId="40982CED" w14:textId="77777777" w:rsidTr="008F151E">
        <w:trPr>
          <w:trHeight w:val="20"/>
        </w:trPr>
        <w:tc>
          <w:tcPr>
            <w:tcW w:w="2430" w:type="dxa"/>
            <w:tcBorders>
              <w:top w:val="nil"/>
              <w:left w:val="nil"/>
              <w:bottom w:val="nil"/>
              <w:right w:val="nil"/>
            </w:tcBorders>
            <w:shd w:val="clear" w:color="auto" w:fill="auto"/>
            <w:vAlign w:val="center"/>
            <w:hideMark/>
          </w:tcPr>
          <w:p w14:paraId="1520E0C3"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BR</w:t>
            </w:r>
          </w:p>
        </w:tc>
        <w:tc>
          <w:tcPr>
            <w:tcW w:w="630" w:type="dxa"/>
            <w:tcBorders>
              <w:top w:val="nil"/>
              <w:left w:val="nil"/>
              <w:bottom w:val="nil"/>
              <w:right w:val="nil"/>
            </w:tcBorders>
            <w:shd w:val="clear" w:color="auto" w:fill="auto"/>
            <w:vAlign w:val="center"/>
            <w:hideMark/>
          </w:tcPr>
          <w:p w14:paraId="295B6318"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w:t>
            </w:r>
          </w:p>
        </w:tc>
        <w:tc>
          <w:tcPr>
            <w:tcW w:w="820" w:type="dxa"/>
            <w:tcBorders>
              <w:top w:val="nil"/>
              <w:left w:val="nil"/>
              <w:bottom w:val="nil"/>
              <w:right w:val="nil"/>
            </w:tcBorders>
            <w:shd w:val="clear" w:color="auto" w:fill="auto"/>
            <w:vAlign w:val="center"/>
            <w:hideMark/>
          </w:tcPr>
          <w:p w14:paraId="31F569C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EE8043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15F73ED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4931F40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1C6A8B8E"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E787B1C" w14:textId="5D77CC2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c>
          <w:tcPr>
            <w:tcW w:w="676" w:type="dxa"/>
            <w:tcBorders>
              <w:top w:val="nil"/>
              <w:left w:val="nil"/>
              <w:bottom w:val="nil"/>
              <w:right w:val="nil"/>
            </w:tcBorders>
            <w:shd w:val="clear" w:color="auto" w:fill="auto"/>
            <w:vAlign w:val="center"/>
            <w:hideMark/>
          </w:tcPr>
          <w:p w14:paraId="2F17C7A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36" w:type="dxa"/>
            <w:tcBorders>
              <w:top w:val="nil"/>
              <w:left w:val="nil"/>
              <w:bottom w:val="nil"/>
              <w:right w:val="nil"/>
            </w:tcBorders>
            <w:shd w:val="clear" w:color="auto" w:fill="auto"/>
            <w:vAlign w:val="center"/>
            <w:hideMark/>
          </w:tcPr>
          <w:p w14:paraId="3E53FDE8" w14:textId="43231504"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374080C1" w14:textId="66FFD0B2"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r>
      <w:tr w:rsidR="008F151E" w:rsidRPr="008F151E" w14:paraId="37414364" w14:textId="77777777" w:rsidTr="008F151E">
        <w:trPr>
          <w:trHeight w:val="20"/>
        </w:trPr>
        <w:tc>
          <w:tcPr>
            <w:tcW w:w="2430" w:type="dxa"/>
            <w:tcBorders>
              <w:top w:val="nil"/>
              <w:left w:val="nil"/>
              <w:bottom w:val="nil"/>
              <w:right w:val="nil"/>
            </w:tcBorders>
            <w:shd w:val="clear" w:color="auto" w:fill="auto"/>
            <w:vAlign w:val="center"/>
            <w:hideMark/>
          </w:tcPr>
          <w:p w14:paraId="29005E8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LCIRL</w:t>
            </w:r>
          </w:p>
        </w:tc>
        <w:tc>
          <w:tcPr>
            <w:tcW w:w="630" w:type="dxa"/>
            <w:tcBorders>
              <w:top w:val="nil"/>
              <w:left w:val="nil"/>
              <w:bottom w:val="nil"/>
              <w:right w:val="nil"/>
            </w:tcBorders>
            <w:shd w:val="clear" w:color="auto" w:fill="auto"/>
            <w:vAlign w:val="center"/>
            <w:hideMark/>
          </w:tcPr>
          <w:p w14:paraId="0E3675F9"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w:t>
            </w:r>
          </w:p>
        </w:tc>
        <w:tc>
          <w:tcPr>
            <w:tcW w:w="820" w:type="dxa"/>
            <w:tcBorders>
              <w:top w:val="nil"/>
              <w:left w:val="nil"/>
              <w:bottom w:val="nil"/>
              <w:right w:val="nil"/>
            </w:tcBorders>
            <w:shd w:val="clear" w:color="auto" w:fill="auto"/>
            <w:vAlign w:val="center"/>
            <w:hideMark/>
          </w:tcPr>
          <w:p w14:paraId="5A5895A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1.2</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37199A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nil"/>
              <w:right w:val="nil"/>
            </w:tcBorders>
            <w:shd w:val="clear" w:color="auto" w:fill="auto"/>
            <w:vAlign w:val="center"/>
            <w:hideMark/>
          </w:tcPr>
          <w:p w14:paraId="08209D2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656" w:type="dxa"/>
            <w:tcBorders>
              <w:top w:val="nil"/>
              <w:left w:val="nil"/>
              <w:bottom w:val="nil"/>
              <w:right w:val="nil"/>
            </w:tcBorders>
            <w:shd w:val="clear" w:color="auto" w:fill="auto"/>
            <w:vAlign w:val="center"/>
            <w:hideMark/>
          </w:tcPr>
          <w:p w14:paraId="663969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43909A1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D74D268" w14:textId="36B9DE7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14</w:t>
            </w:r>
          </w:p>
        </w:tc>
        <w:tc>
          <w:tcPr>
            <w:tcW w:w="676" w:type="dxa"/>
            <w:tcBorders>
              <w:top w:val="nil"/>
              <w:left w:val="nil"/>
              <w:bottom w:val="nil"/>
              <w:right w:val="nil"/>
            </w:tcBorders>
            <w:shd w:val="clear" w:color="auto" w:fill="auto"/>
            <w:vAlign w:val="center"/>
            <w:hideMark/>
          </w:tcPr>
          <w:p w14:paraId="25B8960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6.3</w:t>
            </w:r>
          </w:p>
        </w:tc>
        <w:tc>
          <w:tcPr>
            <w:tcW w:w="636" w:type="dxa"/>
            <w:tcBorders>
              <w:top w:val="nil"/>
              <w:left w:val="nil"/>
              <w:bottom w:val="nil"/>
              <w:right w:val="nil"/>
            </w:tcBorders>
            <w:shd w:val="clear" w:color="auto" w:fill="auto"/>
            <w:vAlign w:val="center"/>
            <w:hideMark/>
          </w:tcPr>
          <w:p w14:paraId="356077D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5.8</w:t>
            </w:r>
          </w:p>
        </w:tc>
        <w:tc>
          <w:tcPr>
            <w:tcW w:w="709" w:type="dxa"/>
            <w:tcBorders>
              <w:top w:val="nil"/>
              <w:left w:val="nil"/>
              <w:bottom w:val="nil"/>
              <w:right w:val="nil"/>
            </w:tcBorders>
            <w:shd w:val="clear" w:color="auto" w:fill="auto"/>
            <w:vAlign w:val="center"/>
            <w:hideMark/>
          </w:tcPr>
          <w:p w14:paraId="50E333A6" w14:textId="543D9C45"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25</w:t>
            </w:r>
          </w:p>
        </w:tc>
      </w:tr>
      <w:tr w:rsidR="008F151E" w:rsidRPr="008F151E" w14:paraId="44D79675" w14:textId="77777777" w:rsidTr="008F151E">
        <w:trPr>
          <w:trHeight w:val="20"/>
        </w:trPr>
        <w:tc>
          <w:tcPr>
            <w:tcW w:w="2430" w:type="dxa"/>
            <w:tcBorders>
              <w:top w:val="nil"/>
              <w:left w:val="nil"/>
              <w:bottom w:val="nil"/>
              <w:right w:val="nil"/>
            </w:tcBorders>
            <w:shd w:val="clear" w:color="auto" w:fill="auto"/>
            <w:vAlign w:val="center"/>
            <w:hideMark/>
          </w:tcPr>
          <w:p w14:paraId="5DC3363B"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LIRL</w:t>
            </w:r>
          </w:p>
        </w:tc>
        <w:tc>
          <w:tcPr>
            <w:tcW w:w="630" w:type="dxa"/>
            <w:tcBorders>
              <w:top w:val="nil"/>
              <w:left w:val="nil"/>
              <w:bottom w:val="nil"/>
              <w:right w:val="nil"/>
            </w:tcBorders>
            <w:shd w:val="clear" w:color="auto" w:fill="auto"/>
            <w:vAlign w:val="center"/>
            <w:hideMark/>
          </w:tcPr>
          <w:p w14:paraId="25046CA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3</w:t>
            </w:r>
          </w:p>
        </w:tc>
        <w:tc>
          <w:tcPr>
            <w:tcW w:w="820" w:type="dxa"/>
            <w:tcBorders>
              <w:top w:val="nil"/>
              <w:left w:val="nil"/>
              <w:bottom w:val="nil"/>
              <w:right w:val="nil"/>
            </w:tcBorders>
            <w:shd w:val="clear" w:color="auto" w:fill="auto"/>
            <w:vAlign w:val="center"/>
            <w:hideMark/>
          </w:tcPr>
          <w:p w14:paraId="35C8CF6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1.5</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3C99DF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8BE47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656" w:type="dxa"/>
            <w:tcBorders>
              <w:top w:val="nil"/>
              <w:left w:val="nil"/>
              <w:bottom w:val="nil"/>
              <w:right w:val="nil"/>
            </w:tcBorders>
            <w:shd w:val="clear" w:color="auto" w:fill="auto"/>
            <w:vAlign w:val="center"/>
            <w:hideMark/>
          </w:tcPr>
          <w:p w14:paraId="56C7F9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50BB3422"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8CBE2A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9.2</w:t>
            </w:r>
          </w:p>
        </w:tc>
        <w:tc>
          <w:tcPr>
            <w:tcW w:w="676" w:type="dxa"/>
            <w:tcBorders>
              <w:top w:val="nil"/>
              <w:left w:val="nil"/>
              <w:bottom w:val="nil"/>
              <w:right w:val="nil"/>
            </w:tcBorders>
            <w:shd w:val="clear" w:color="auto" w:fill="auto"/>
            <w:vAlign w:val="center"/>
            <w:hideMark/>
          </w:tcPr>
          <w:p w14:paraId="00C2120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636" w:type="dxa"/>
            <w:tcBorders>
              <w:top w:val="nil"/>
              <w:left w:val="nil"/>
              <w:bottom w:val="nil"/>
              <w:right w:val="nil"/>
            </w:tcBorders>
            <w:shd w:val="clear" w:color="auto" w:fill="auto"/>
            <w:vAlign w:val="center"/>
            <w:hideMark/>
          </w:tcPr>
          <w:p w14:paraId="30399033" w14:textId="33EA1831"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w:t>
            </w:r>
            <w:r w:rsidR="00190E25">
              <w:rPr>
                <w:rFonts w:ascii="Times New Roman" w:eastAsia="Arial" w:hAnsi="Times New Roman"/>
                <w:color w:val="000000"/>
              </w:rPr>
              <w:t>.0</w:t>
            </w:r>
          </w:p>
        </w:tc>
        <w:tc>
          <w:tcPr>
            <w:tcW w:w="709" w:type="dxa"/>
            <w:tcBorders>
              <w:top w:val="nil"/>
              <w:left w:val="nil"/>
              <w:bottom w:val="nil"/>
              <w:right w:val="nil"/>
            </w:tcBorders>
            <w:shd w:val="clear" w:color="auto" w:fill="auto"/>
            <w:vAlign w:val="center"/>
            <w:hideMark/>
          </w:tcPr>
          <w:p w14:paraId="2B5DB438" w14:textId="6360D660"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11</w:t>
            </w:r>
          </w:p>
        </w:tc>
      </w:tr>
      <w:tr w:rsidR="008F151E" w:rsidRPr="008F151E" w14:paraId="2FCF8562" w14:textId="77777777" w:rsidTr="008F151E">
        <w:trPr>
          <w:trHeight w:val="20"/>
        </w:trPr>
        <w:tc>
          <w:tcPr>
            <w:tcW w:w="2430" w:type="dxa"/>
            <w:tcBorders>
              <w:top w:val="nil"/>
              <w:left w:val="nil"/>
              <w:bottom w:val="nil"/>
              <w:right w:val="nil"/>
            </w:tcBorders>
            <w:shd w:val="clear" w:color="auto" w:fill="auto"/>
            <w:vAlign w:val="center"/>
            <w:hideMark/>
          </w:tcPr>
          <w:p w14:paraId="1DB3DAFD" w14:textId="77777777" w:rsidR="008F151E" w:rsidRPr="008F151E" w:rsidRDefault="008F151E" w:rsidP="008F151E">
            <w:pPr>
              <w:spacing w:before="0" w:after="0"/>
              <w:ind w:firstLineChars="100" w:firstLine="255"/>
              <w:rPr>
                <w:rFonts w:ascii="Times New Roman" w:eastAsia="Times New Roman" w:hAnsi="Times New Roman"/>
                <w:color w:val="000000"/>
              </w:rPr>
            </w:pPr>
            <w:r w:rsidRPr="008F151E">
              <w:rPr>
                <w:rFonts w:ascii="Times New Roman" w:eastAsia="Arial" w:hAnsi="Times New Roman"/>
                <w:color w:val="000000"/>
                <w:w w:val="107"/>
              </w:rPr>
              <w:t>LML</w:t>
            </w:r>
          </w:p>
        </w:tc>
        <w:tc>
          <w:tcPr>
            <w:tcW w:w="630" w:type="dxa"/>
            <w:tcBorders>
              <w:top w:val="nil"/>
              <w:left w:val="nil"/>
              <w:bottom w:val="nil"/>
              <w:right w:val="nil"/>
            </w:tcBorders>
            <w:shd w:val="clear" w:color="auto" w:fill="auto"/>
            <w:vAlign w:val="center"/>
            <w:hideMark/>
          </w:tcPr>
          <w:p w14:paraId="17E4DADA"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41ACA6D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789C1E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ADF8F8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0D932AF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61E4A457"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B81908C" w14:textId="39B2EB5F"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22</w:t>
            </w:r>
          </w:p>
        </w:tc>
        <w:tc>
          <w:tcPr>
            <w:tcW w:w="676" w:type="dxa"/>
            <w:tcBorders>
              <w:top w:val="nil"/>
              <w:left w:val="nil"/>
              <w:bottom w:val="nil"/>
              <w:right w:val="nil"/>
            </w:tcBorders>
            <w:shd w:val="clear" w:color="auto" w:fill="auto"/>
            <w:vAlign w:val="center"/>
            <w:hideMark/>
          </w:tcPr>
          <w:p w14:paraId="549316C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636" w:type="dxa"/>
            <w:tcBorders>
              <w:top w:val="nil"/>
              <w:left w:val="nil"/>
              <w:bottom w:val="nil"/>
              <w:right w:val="nil"/>
            </w:tcBorders>
            <w:shd w:val="clear" w:color="auto" w:fill="auto"/>
            <w:vAlign w:val="center"/>
            <w:hideMark/>
          </w:tcPr>
          <w:p w14:paraId="29DD10C1" w14:textId="6ADC5D13"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19</w:t>
            </w:r>
          </w:p>
        </w:tc>
        <w:tc>
          <w:tcPr>
            <w:tcW w:w="709" w:type="dxa"/>
            <w:tcBorders>
              <w:top w:val="nil"/>
              <w:left w:val="nil"/>
              <w:bottom w:val="nil"/>
              <w:right w:val="nil"/>
            </w:tcBorders>
            <w:shd w:val="clear" w:color="auto" w:fill="auto"/>
            <w:vAlign w:val="center"/>
            <w:hideMark/>
          </w:tcPr>
          <w:p w14:paraId="20D894C1" w14:textId="01C972A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7A81A9F0" w14:textId="77777777" w:rsidTr="008F151E">
        <w:trPr>
          <w:trHeight w:val="20"/>
        </w:trPr>
        <w:tc>
          <w:tcPr>
            <w:tcW w:w="2430" w:type="dxa"/>
            <w:tcBorders>
              <w:top w:val="nil"/>
              <w:left w:val="nil"/>
              <w:bottom w:val="nil"/>
              <w:right w:val="nil"/>
            </w:tcBorders>
            <w:shd w:val="clear" w:color="auto" w:fill="auto"/>
            <w:vAlign w:val="center"/>
            <w:hideMark/>
          </w:tcPr>
          <w:p w14:paraId="473CCF3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UCIRL</w:t>
            </w:r>
          </w:p>
        </w:tc>
        <w:tc>
          <w:tcPr>
            <w:tcW w:w="630" w:type="dxa"/>
            <w:tcBorders>
              <w:top w:val="nil"/>
              <w:left w:val="nil"/>
              <w:bottom w:val="nil"/>
              <w:right w:val="nil"/>
            </w:tcBorders>
            <w:shd w:val="clear" w:color="auto" w:fill="auto"/>
            <w:vAlign w:val="center"/>
            <w:hideMark/>
          </w:tcPr>
          <w:p w14:paraId="02E5C620"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17</w:t>
            </w:r>
          </w:p>
        </w:tc>
        <w:tc>
          <w:tcPr>
            <w:tcW w:w="820" w:type="dxa"/>
            <w:tcBorders>
              <w:top w:val="nil"/>
              <w:left w:val="nil"/>
              <w:bottom w:val="nil"/>
              <w:right w:val="nil"/>
            </w:tcBorders>
            <w:shd w:val="clear" w:color="auto" w:fill="auto"/>
            <w:vAlign w:val="center"/>
            <w:hideMark/>
          </w:tcPr>
          <w:p w14:paraId="43EE70F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D71C96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0148019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42726F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3B3D928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42BDEE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p>
        </w:tc>
        <w:tc>
          <w:tcPr>
            <w:tcW w:w="676" w:type="dxa"/>
            <w:tcBorders>
              <w:top w:val="nil"/>
              <w:left w:val="nil"/>
              <w:bottom w:val="nil"/>
              <w:right w:val="nil"/>
            </w:tcBorders>
            <w:shd w:val="clear" w:color="auto" w:fill="auto"/>
            <w:vAlign w:val="center"/>
            <w:hideMark/>
          </w:tcPr>
          <w:p w14:paraId="6213EA4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w:t>
            </w:r>
          </w:p>
        </w:tc>
        <w:tc>
          <w:tcPr>
            <w:tcW w:w="636" w:type="dxa"/>
            <w:tcBorders>
              <w:top w:val="nil"/>
              <w:left w:val="nil"/>
              <w:bottom w:val="nil"/>
              <w:right w:val="nil"/>
            </w:tcBorders>
            <w:shd w:val="clear" w:color="auto" w:fill="auto"/>
            <w:vAlign w:val="center"/>
            <w:hideMark/>
          </w:tcPr>
          <w:p w14:paraId="3110CC17"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709" w:type="dxa"/>
            <w:tcBorders>
              <w:top w:val="nil"/>
              <w:left w:val="nil"/>
              <w:bottom w:val="nil"/>
              <w:right w:val="nil"/>
            </w:tcBorders>
            <w:shd w:val="clear" w:color="auto" w:fill="auto"/>
            <w:vAlign w:val="center"/>
            <w:hideMark/>
          </w:tcPr>
          <w:p w14:paraId="6C725DB4" w14:textId="2208CC0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31</w:t>
            </w:r>
          </w:p>
        </w:tc>
      </w:tr>
      <w:tr w:rsidR="008F151E" w:rsidRPr="008F151E" w14:paraId="2B9D0ADF" w14:textId="77777777" w:rsidTr="008F151E">
        <w:trPr>
          <w:trHeight w:val="20"/>
        </w:trPr>
        <w:tc>
          <w:tcPr>
            <w:tcW w:w="2430" w:type="dxa"/>
            <w:tcBorders>
              <w:top w:val="nil"/>
              <w:left w:val="nil"/>
              <w:bottom w:val="nil"/>
              <w:right w:val="nil"/>
            </w:tcBorders>
            <w:shd w:val="clear" w:color="auto" w:fill="auto"/>
            <w:vAlign w:val="center"/>
            <w:hideMark/>
          </w:tcPr>
          <w:p w14:paraId="5B615D96"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UIRL</w:t>
            </w:r>
          </w:p>
        </w:tc>
        <w:tc>
          <w:tcPr>
            <w:tcW w:w="630" w:type="dxa"/>
            <w:tcBorders>
              <w:top w:val="nil"/>
              <w:left w:val="nil"/>
              <w:bottom w:val="nil"/>
              <w:right w:val="nil"/>
            </w:tcBorders>
            <w:shd w:val="clear" w:color="auto" w:fill="auto"/>
            <w:vAlign w:val="center"/>
            <w:hideMark/>
          </w:tcPr>
          <w:p w14:paraId="41503802"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w:t>
            </w:r>
          </w:p>
        </w:tc>
        <w:tc>
          <w:tcPr>
            <w:tcW w:w="820" w:type="dxa"/>
            <w:tcBorders>
              <w:top w:val="nil"/>
              <w:left w:val="nil"/>
              <w:bottom w:val="nil"/>
              <w:right w:val="nil"/>
            </w:tcBorders>
            <w:shd w:val="clear" w:color="auto" w:fill="auto"/>
            <w:vAlign w:val="center"/>
            <w:hideMark/>
          </w:tcPr>
          <w:p w14:paraId="3D81698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8B996B1" w14:textId="0BC73FC6"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24" w:type="dxa"/>
            <w:tcBorders>
              <w:top w:val="nil"/>
              <w:left w:val="nil"/>
              <w:bottom w:val="nil"/>
              <w:right w:val="nil"/>
            </w:tcBorders>
            <w:shd w:val="clear" w:color="auto" w:fill="auto"/>
            <w:vAlign w:val="center"/>
            <w:hideMark/>
          </w:tcPr>
          <w:p w14:paraId="72D6BE7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3354F37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5D0C9376"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6820C67" w14:textId="32A4D593"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nil"/>
              <w:right w:val="nil"/>
            </w:tcBorders>
            <w:shd w:val="clear" w:color="auto" w:fill="auto"/>
            <w:vAlign w:val="center"/>
            <w:hideMark/>
          </w:tcPr>
          <w:p w14:paraId="0622B2E6" w14:textId="1BCDF5A1"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36" w:type="dxa"/>
            <w:tcBorders>
              <w:top w:val="nil"/>
              <w:left w:val="nil"/>
              <w:bottom w:val="nil"/>
              <w:right w:val="nil"/>
            </w:tcBorders>
            <w:shd w:val="clear" w:color="auto" w:fill="auto"/>
            <w:vAlign w:val="center"/>
            <w:hideMark/>
          </w:tcPr>
          <w:p w14:paraId="7C35CF1C" w14:textId="4024CC1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709" w:type="dxa"/>
            <w:tcBorders>
              <w:top w:val="nil"/>
              <w:left w:val="nil"/>
              <w:bottom w:val="nil"/>
              <w:right w:val="nil"/>
            </w:tcBorders>
            <w:shd w:val="clear" w:color="auto" w:fill="auto"/>
            <w:vAlign w:val="center"/>
            <w:hideMark/>
          </w:tcPr>
          <w:p w14:paraId="37574FCC" w14:textId="19CB0AF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60AA54DD"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42B6C49C"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UML</w:t>
            </w:r>
          </w:p>
        </w:tc>
        <w:tc>
          <w:tcPr>
            <w:tcW w:w="630" w:type="dxa"/>
            <w:tcBorders>
              <w:top w:val="nil"/>
              <w:left w:val="nil"/>
              <w:bottom w:val="single" w:sz="4" w:space="0" w:color="auto"/>
              <w:right w:val="nil"/>
            </w:tcBorders>
            <w:shd w:val="clear" w:color="auto" w:fill="auto"/>
            <w:vAlign w:val="center"/>
            <w:hideMark/>
          </w:tcPr>
          <w:p w14:paraId="78A165F7"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single" w:sz="4" w:space="0" w:color="auto"/>
              <w:right w:val="nil"/>
            </w:tcBorders>
            <w:shd w:val="clear" w:color="auto" w:fill="auto"/>
            <w:vAlign w:val="center"/>
            <w:hideMark/>
          </w:tcPr>
          <w:p w14:paraId="62D1B80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4" w:space="0" w:color="auto"/>
              <w:right w:val="nil"/>
            </w:tcBorders>
            <w:shd w:val="clear" w:color="auto" w:fill="auto"/>
            <w:vAlign w:val="center"/>
            <w:hideMark/>
          </w:tcPr>
          <w:p w14:paraId="228CE13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single" w:sz="4" w:space="0" w:color="auto"/>
              <w:right w:val="nil"/>
            </w:tcBorders>
            <w:shd w:val="clear" w:color="auto" w:fill="auto"/>
            <w:vAlign w:val="center"/>
            <w:hideMark/>
          </w:tcPr>
          <w:p w14:paraId="11A8050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single" w:sz="4" w:space="0" w:color="auto"/>
              <w:right w:val="nil"/>
            </w:tcBorders>
            <w:shd w:val="clear" w:color="auto" w:fill="auto"/>
            <w:vAlign w:val="center"/>
            <w:hideMark/>
          </w:tcPr>
          <w:p w14:paraId="75D654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single" w:sz="4" w:space="0" w:color="auto"/>
              <w:right w:val="nil"/>
            </w:tcBorders>
            <w:shd w:val="clear" w:color="auto" w:fill="auto"/>
            <w:vAlign w:val="center"/>
            <w:hideMark/>
          </w:tcPr>
          <w:p w14:paraId="3A77ACF3" w14:textId="0158A9E2"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C32B16F" w14:textId="04A8CCA1"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single" w:sz="4" w:space="0" w:color="auto"/>
              <w:right w:val="nil"/>
            </w:tcBorders>
            <w:shd w:val="clear" w:color="auto" w:fill="auto"/>
            <w:vAlign w:val="center"/>
            <w:hideMark/>
          </w:tcPr>
          <w:p w14:paraId="5FCDA9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6FFC77DB" w14:textId="2BAB50A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15</w:t>
            </w:r>
          </w:p>
        </w:tc>
        <w:tc>
          <w:tcPr>
            <w:tcW w:w="709" w:type="dxa"/>
            <w:tcBorders>
              <w:top w:val="nil"/>
              <w:left w:val="nil"/>
              <w:bottom w:val="single" w:sz="4" w:space="0" w:color="auto"/>
              <w:right w:val="nil"/>
            </w:tcBorders>
            <w:shd w:val="clear" w:color="auto" w:fill="auto"/>
            <w:vAlign w:val="center"/>
            <w:hideMark/>
          </w:tcPr>
          <w:p w14:paraId="438F0472" w14:textId="4F19855D"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3</w:t>
            </w:r>
            <w:r w:rsidR="00190E25">
              <w:rPr>
                <w:rFonts w:ascii="Times New Roman" w:eastAsia="Arial" w:hAnsi="Times New Roman"/>
                <w:color w:val="000000"/>
              </w:rPr>
              <w:t>1</w:t>
            </w:r>
          </w:p>
        </w:tc>
      </w:tr>
      <w:tr w:rsidR="008F151E" w:rsidRPr="008F151E" w14:paraId="430ADB92" w14:textId="77777777" w:rsidTr="008F151E">
        <w:trPr>
          <w:trHeight w:val="20"/>
        </w:trPr>
        <w:tc>
          <w:tcPr>
            <w:tcW w:w="2430" w:type="dxa"/>
            <w:tcBorders>
              <w:top w:val="nil"/>
              <w:left w:val="nil"/>
              <w:bottom w:val="nil"/>
              <w:right w:val="nil"/>
            </w:tcBorders>
            <w:shd w:val="clear" w:color="auto" w:fill="auto"/>
            <w:vAlign w:val="center"/>
            <w:hideMark/>
          </w:tcPr>
          <w:p w14:paraId="01869F1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Times New Roman" w:hAnsi="Times New Roman"/>
                <w:bCs/>
                <w:color w:val="000000"/>
              </w:rPr>
              <w:t>Tampa Bay</w:t>
            </w:r>
          </w:p>
        </w:tc>
        <w:tc>
          <w:tcPr>
            <w:tcW w:w="630" w:type="dxa"/>
            <w:tcBorders>
              <w:top w:val="nil"/>
              <w:left w:val="nil"/>
              <w:bottom w:val="nil"/>
              <w:right w:val="nil"/>
            </w:tcBorders>
            <w:shd w:val="clear" w:color="auto" w:fill="auto"/>
            <w:vAlign w:val="center"/>
            <w:hideMark/>
          </w:tcPr>
          <w:p w14:paraId="24930CE7" w14:textId="65025765"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218</w:t>
            </w:r>
          </w:p>
        </w:tc>
        <w:tc>
          <w:tcPr>
            <w:tcW w:w="820" w:type="dxa"/>
            <w:tcBorders>
              <w:top w:val="nil"/>
              <w:left w:val="nil"/>
              <w:bottom w:val="nil"/>
              <w:right w:val="nil"/>
            </w:tcBorders>
            <w:shd w:val="clear" w:color="auto" w:fill="auto"/>
            <w:vAlign w:val="center"/>
            <w:hideMark/>
          </w:tcPr>
          <w:p w14:paraId="3862CCF1" w14:textId="36C9F09D" w:rsidR="008F151E" w:rsidRPr="008F151E" w:rsidRDefault="00594B1D" w:rsidP="008F151E">
            <w:pPr>
              <w:spacing w:before="0" w:after="0"/>
              <w:jc w:val="center"/>
              <w:rPr>
                <w:rFonts w:ascii="Times New Roman" w:eastAsia="Times New Roman" w:hAnsi="Times New Roman"/>
                <w:sz w:val="20"/>
                <w:szCs w:val="20"/>
              </w:rPr>
            </w:pPr>
            <w:r w:rsidRPr="00594B1D">
              <w:rPr>
                <w:rFonts w:ascii="Times New Roman" w:eastAsia="Arial" w:hAnsi="Times New Roman"/>
                <w:color w:val="000000"/>
              </w:rPr>
              <w:t>1.2</w:t>
            </w:r>
            <w:r w:rsidRPr="00594B1D">
              <w:rPr>
                <w:rFonts w:ascii="Times New Roman" w:eastAsia="Arial" w:hAnsi="Times New Roman"/>
                <w:color w:val="000000"/>
                <w:vertAlign w:val="superscript"/>
              </w:rPr>
              <w:t>2</w:t>
            </w:r>
          </w:p>
        </w:tc>
        <w:tc>
          <w:tcPr>
            <w:tcW w:w="820" w:type="dxa"/>
            <w:tcBorders>
              <w:top w:val="nil"/>
              <w:left w:val="nil"/>
              <w:bottom w:val="nil"/>
              <w:right w:val="nil"/>
            </w:tcBorders>
            <w:shd w:val="clear" w:color="auto" w:fill="auto"/>
            <w:vAlign w:val="center"/>
            <w:hideMark/>
          </w:tcPr>
          <w:p w14:paraId="415D026B" w14:textId="17DCC6E7"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832A255" w14:textId="18996E3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398A5A17" w14:textId="51261383"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0BAEFB93"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2F5FA5D" w14:textId="30581702" w:rsidR="008F151E" w:rsidRPr="00FB3DD8" w:rsidRDefault="00AC59E5" w:rsidP="008F151E">
            <w:pPr>
              <w:spacing w:before="0" w:after="0"/>
              <w:jc w:val="center"/>
              <w:rPr>
                <w:rFonts w:ascii="Times New Roman" w:eastAsia="Times New Roman" w:hAnsi="Times New Roman"/>
              </w:rPr>
            </w:pPr>
            <w:r>
              <w:rPr>
                <w:rFonts w:ascii="Times New Roman" w:eastAsia="Times New Roman" w:hAnsi="Times New Roman"/>
              </w:rPr>
              <w:t>41</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419291F5" w14:textId="2301E622" w:rsidR="008F151E" w:rsidRPr="00FB3DD8" w:rsidRDefault="00FB3DD8" w:rsidP="008F151E">
            <w:pPr>
              <w:spacing w:before="0" w:after="0"/>
              <w:jc w:val="center"/>
              <w:rPr>
                <w:rFonts w:ascii="Times New Roman" w:eastAsia="Times New Roman" w:hAnsi="Times New Roman"/>
              </w:rPr>
            </w:pPr>
            <w:r w:rsidRPr="00FB3DD8">
              <w:rPr>
                <w:rFonts w:ascii="Times New Roman" w:eastAsia="Times New Roman" w:hAnsi="Times New Roman"/>
              </w:rPr>
              <w:t>2.5</w:t>
            </w:r>
          </w:p>
        </w:tc>
        <w:tc>
          <w:tcPr>
            <w:tcW w:w="636" w:type="dxa"/>
            <w:tcBorders>
              <w:top w:val="nil"/>
              <w:left w:val="nil"/>
              <w:bottom w:val="nil"/>
              <w:right w:val="nil"/>
            </w:tcBorders>
            <w:shd w:val="clear" w:color="auto" w:fill="auto"/>
            <w:vAlign w:val="center"/>
            <w:hideMark/>
          </w:tcPr>
          <w:p w14:paraId="2EF64B7B" w14:textId="33ABAE30" w:rsidR="008F151E" w:rsidRPr="00FB3DD8" w:rsidRDefault="00FB3DD8" w:rsidP="00FB3DD8">
            <w:pPr>
              <w:spacing w:before="0" w:after="0"/>
              <w:jc w:val="center"/>
              <w:rPr>
                <w:rFonts w:ascii="Times New Roman" w:eastAsia="Times New Roman" w:hAnsi="Times New Roman"/>
              </w:rPr>
            </w:pPr>
            <w:r>
              <w:rPr>
                <w:rFonts w:ascii="Times New Roman" w:eastAsia="Times New Roman" w:hAnsi="Times New Roman"/>
              </w:rPr>
              <w:t>13</w:t>
            </w:r>
          </w:p>
        </w:tc>
        <w:tc>
          <w:tcPr>
            <w:tcW w:w="709" w:type="dxa"/>
            <w:tcBorders>
              <w:top w:val="nil"/>
              <w:left w:val="nil"/>
              <w:bottom w:val="nil"/>
              <w:right w:val="nil"/>
            </w:tcBorders>
            <w:shd w:val="clear" w:color="auto" w:fill="auto"/>
            <w:vAlign w:val="center"/>
            <w:hideMark/>
          </w:tcPr>
          <w:p w14:paraId="39BA819B" w14:textId="0D688E4C" w:rsidR="008F151E" w:rsidRPr="00FB3DD8" w:rsidRDefault="00FB3DD8" w:rsidP="008F151E">
            <w:pPr>
              <w:spacing w:before="0" w:after="0"/>
              <w:jc w:val="center"/>
              <w:rPr>
                <w:rFonts w:ascii="Times New Roman" w:eastAsia="Times New Roman" w:hAnsi="Times New Roman"/>
              </w:rPr>
            </w:pPr>
            <w:r>
              <w:rPr>
                <w:rFonts w:ascii="Times New Roman" w:eastAsia="Times New Roman" w:hAnsi="Times New Roman"/>
              </w:rPr>
              <w:t>66</w:t>
            </w:r>
          </w:p>
        </w:tc>
      </w:tr>
      <w:tr w:rsidR="008F151E" w:rsidRPr="008F151E" w14:paraId="64FDC1CD" w14:textId="77777777" w:rsidTr="008F151E">
        <w:trPr>
          <w:trHeight w:val="20"/>
        </w:trPr>
        <w:tc>
          <w:tcPr>
            <w:tcW w:w="2430" w:type="dxa"/>
            <w:tcBorders>
              <w:top w:val="nil"/>
              <w:left w:val="nil"/>
              <w:bottom w:val="nil"/>
              <w:right w:val="nil"/>
            </w:tcBorders>
            <w:shd w:val="clear" w:color="auto" w:fill="auto"/>
            <w:vAlign w:val="center"/>
            <w:hideMark/>
          </w:tcPr>
          <w:p w14:paraId="129635BA"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HB</w:t>
            </w:r>
          </w:p>
        </w:tc>
        <w:tc>
          <w:tcPr>
            <w:tcW w:w="630" w:type="dxa"/>
            <w:tcBorders>
              <w:top w:val="nil"/>
              <w:left w:val="nil"/>
              <w:bottom w:val="nil"/>
              <w:right w:val="nil"/>
            </w:tcBorders>
            <w:shd w:val="clear" w:color="auto" w:fill="auto"/>
            <w:vAlign w:val="center"/>
            <w:hideMark/>
          </w:tcPr>
          <w:p w14:paraId="2797D133"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20</w:t>
            </w:r>
          </w:p>
        </w:tc>
        <w:tc>
          <w:tcPr>
            <w:tcW w:w="820" w:type="dxa"/>
            <w:tcBorders>
              <w:top w:val="nil"/>
              <w:left w:val="nil"/>
              <w:bottom w:val="nil"/>
              <w:right w:val="nil"/>
            </w:tcBorders>
            <w:shd w:val="clear" w:color="auto" w:fill="auto"/>
            <w:vAlign w:val="center"/>
            <w:hideMark/>
          </w:tcPr>
          <w:p w14:paraId="064166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r w:rsidRPr="008F151E">
              <w:rPr>
                <w:rFonts w:ascii="Times New Roman" w:eastAsia="Arial" w:hAnsi="Times New Roman"/>
                <w:color w:val="000000"/>
                <w:vertAlign w:val="superscript"/>
              </w:rPr>
              <w:t>ab</w:t>
            </w:r>
          </w:p>
        </w:tc>
        <w:tc>
          <w:tcPr>
            <w:tcW w:w="820" w:type="dxa"/>
            <w:tcBorders>
              <w:top w:val="nil"/>
              <w:left w:val="nil"/>
              <w:bottom w:val="nil"/>
              <w:right w:val="nil"/>
            </w:tcBorders>
            <w:shd w:val="clear" w:color="auto" w:fill="auto"/>
            <w:vAlign w:val="center"/>
            <w:hideMark/>
          </w:tcPr>
          <w:p w14:paraId="16172E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nil"/>
              <w:right w:val="nil"/>
            </w:tcBorders>
            <w:shd w:val="clear" w:color="auto" w:fill="auto"/>
            <w:vAlign w:val="center"/>
            <w:hideMark/>
          </w:tcPr>
          <w:p w14:paraId="125DD82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3539487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p>
        </w:tc>
        <w:tc>
          <w:tcPr>
            <w:tcW w:w="236" w:type="dxa"/>
            <w:tcBorders>
              <w:top w:val="nil"/>
              <w:left w:val="nil"/>
              <w:bottom w:val="nil"/>
              <w:right w:val="nil"/>
            </w:tcBorders>
            <w:shd w:val="clear" w:color="auto" w:fill="auto"/>
            <w:vAlign w:val="center"/>
            <w:hideMark/>
          </w:tcPr>
          <w:p w14:paraId="719E25A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5B17F78C" w14:textId="65EC277A"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34</w:t>
            </w:r>
          </w:p>
        </w:tc>
        <w:tc>
          <w:tcPr>
            <w:tcW w:w="676" w:type="dxa"/>
            <w:tcBorders>
              <w:top w:val="nil"/>
              <w:left w:val="nil"/>
              <w:bottom w:val="nil"/>
              <w:right w:val="nil"/>
            </w:tcBorders>
            <w:shd w:val="clear" w:color="auto" w:fill="auto"/>
            <w:vAlign w:val="center"/>
            <w:hideMark/>
          </w:tcPr>
          <w:p w14:paraId="41809B6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11.2</w:t>
            </w:r>
          </w:p>
        </w:tc>
        <w:tc>
          <w:tcPr>
            <w:tcW w:w="636" w:type="dxa"/>
            <w:tcBorders>
              <w:top w:val="nil"/>
              <w:left w:val="nil"/>
              <w:bottom w:val="nil"/>
              <w:right w:val="nil"/>
            </w:tcBorders>
            <w:shd w:val="clear" w:color="auto" w:fill="auto"/>
            <w:vAlign w:val="center"/>
            <w:hideMark/>
          </w:tcPr>
          <w:p w14:paraId="7DD60385" w14:textId="0A9FBC5F"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r w:rsidR="00FB3DD8">
              <w:rPr>
                <w:rFonts w:ascii="Times New Roman" w:eastAsia="Arial" w:hAnsi="Times New Roman"/>
                <w:color w:val="000000"/>
              </w:rPr>
              <w:t>3</w:t>
            </w:r>
          </w:p>
        </w:tc>
        <w:tc>
          <w:tcPr>
            <w:tcW w:w="709" w:type="dxa"/>
            <w:tcBorders>
              <w:top w:val="nil"/>
              <w:left w:val="nil"/>
              <w:bottom w:val="nil"/>
              <w:right w:val="nil"/>
            </w:tcBorders>
            <w:shd w:val="clear" w:color="auto" w:fill="auto"/>
            <w:vAlign w:val="center"/>
            <w:hideMark/>
          </w:tcPr>
          <w:p w14:paraId="16520E5D" w14:textId="5AFAF88F"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401683A8" w14:textId="77777777" w:rsidTr="008F151E">
        <w:trPr>
          <w:trHeight w:val="20"/>
        </w:trPr>
        <w:tc>
          <w:tcPr>
            <w:tcW w:w="2430" w:type="dxa"/>
            <w:tcBorders>
              <w:top w:val="nil"/>
              <w:left w:val="nil"/>
              <w:bottom w:val="nil"/>
              <w:right w:val="nil"/>
            </w:tcBorders>
            <w:shd w:val="clear" w:color="auto" w:fill="auto"/>
            <w:vAlign w:val="center"/>
            <w:hideMark/>
          </w:tcPr>
          <w:p w14:paraId="7600C24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Times New Roman" w:hAnsi="Times New Roman"/>
                <w:color w:val="000000"/>
              </w:rPr>
              <w:t>LTB</w:t>
            </w:r>
          </w:p>
        </w:tc>
        <w:tc>
          <w:tcPr>
            <w:tcW w:w="630" w:type="dxa"/>
            <w:tcBorders>
              <w:top w:val="nil"/>
              <w:left w:val="nil"/>
              <w:bottom w:val="nil"/>
              <w:right w:val="nil"/>
            </w:tcBorders>
            <w:shd w:val="clear" w:color="auto" w:fill="auto"/>
            <w:vAlign w:val="center"/>
            <w:hideMark/>
          </w:tcPr>
          <w:p w14:paraId="1629A10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60</w:t>
            </w:r>
          </w:p>
        </w:tc>
        <w:tc>
          <w:tcPr>
            <w:tcW w:w="820" w:type="dxa"/>
            <w:tcBorders>
              <w:top w:val="nil"/>
              <w:left w:val="nil"/>
              <w:bottom w:val="nil"/>
              <w:right w:val="nil"/>
            </w:tcBorders>
            <w:shd w:val="clear" w:color="auto" w:fill="auto"/>
            <w:vAlign w:val="center"/>
            <w:hideMark/>
          </w:tcPr>
          <w:p w14:paraId="5612E91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2E854B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4AA7E14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579719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236" w:type="dxa"/>
            <w:tcBorders>
              <w:top w:val="nil"/>
              <w:left w:val="nil"/>
              <w:bottom w:val="nil"/>
              <w:right w:val="nil"/>
            </w:tcBorders>
            <w:shd w:val="clear" w:color="auto" w:fill="auto"/>
            <w:vAlign w:val="center"/>
            <w:hideMark/>
          </w:tcPr>
          <w:p w14:paraId="3F07E581"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2CFC676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40</w:t>
            </w:r>
          </w:p>
        </w:tc>
        <w:tc>
          <w:tcPr>
            <w:tcW w:w="676" w:type="dxa"/>
            <w:tcBorders>
              <w:top w:val="nil"/>
              <w:left w:val="nil"/>
              <w:bottom w:val="nil"/>
              <w:right w:val="nil"/>
            </w:tcBorders>
            <w:shd w:val="clear" w:color="auto" w:fill="auto"/>
            <w:vAlign w:val="center"/>
            <w:hideMark/>
          </w:tcPr>
          <w:p w14:paraId="6A1860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636" w:type="dxa"/>
            <w:tcBorders>
              <w:top w:val="nil"/>
              <w:left w:val="nil"/>
              <w:bottom w:val="nil"/>
              <w:right w:val="nil"/>
            </w:tcBorders>
            <w:shd w:val="clear" w:color="auto" w:fill="auto"/>
            <w:vAlign w:val="center"/>
            <w:hideMark/>
          </w:tcPr>
          <w:p w14:paraId="44442FF1" w14:textId="7B7B784A"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2</w:t>
            </w:r>
            <w:r w:rsidR="00FB3DD8">
              <w:rPr>
                <w:rFonts w:ascii="Times New Roman" w:eastAsia="Arial" w:hAnsi="Times New Roman"/>
                <w:color w:val="000000"/>
              </w:rPr>
              <w:t>4</w:t>
            </w:r>
          </w:p>
        </w:tc>
        <w:tc>
          <w:tcPr>
            <w:tcW w:w="709" w:type="dxa"/>
            <w:tcBorders>
              <w:top w:val="nil"/>
              <w:left w:val="nil"/>
              <w:bottom w:val="nil"/>
              <w:right w:val="nil"/>
            </w:tcBorders>
            <w:shd w:val="clear" w:color="auto" w:fill="auto"/>
            <w:vAlign w:val="center"/>
            <w:hideMark/>
          </w:tcPr>
          <w:p w14:paraId="06EFFF01" w14:textId="55B34A33"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322836FB" w14:textId="77777777" w:rsidTr="008F151E">
        <w:trPr>
          <w:trHeight w:val="20"/>
        </w:trPr>
        <w:tc>
          <w:tcPr>
            <w:tcW w:w="2430" w:type="dxa"/>
            <w:tcBorders>
              <w:top w:val="nil"/>
              <w:left w:val="nil"/>
              <w:bottom w:val="nil"/>
              <w:right w:val="nil"/>
            </w:tcBorders>
            <w:shd w:val="clear" w:color="auto" w:fill="auto"/>
            <w:vAlign w:val="center"/>
            <w:hideMark/>
          </w:tcPr>
          <w:p w14:paraId="3AC5AA0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MTB</w:t>
            </w:r>
          </w:p>
        </w:tc>
        <w:tc>
          <w:tcPr>
            <w:tcW w:w="630" w:type="dxa"/>
            <w:tcBorders>
              <w:top w:val="nil"/>
              <w:left w:val="nil"/>
              <w:bottom w:val="nil"/>
              <w:right w:val="nil"/>
            </w:tcBorders>
            <w:shd w:val="clear" w:color="auto" w:fill="auto"/>
            <w:vAlign w:val="center"/>
            <w:hideMark/>
          </w:tcPr>
          <w:p w14:paraId="4C17F0BB"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74</w:t>
            </w:r>
          </w:p>
        </w:tc>
        <w:tc>
          <w:tcPr>
            <w:tcW w:w="820" w:type="dxa"/>
            <w:tcBorders>
              <w:top w:val="nil"/>
              <w:left w:val="nil"/>
              <w:bottom w:val="nil"/>
              <w:right w:val="nil"/>
            </w:tcBorders>
            <w:shd w:val="clear" w:color="auto" w:fill="auto"/>
            <w:vAlign w:val="center"/>
            <w:hideMark/>
          </w:tcPr>
          <w:p w14:paraId="4D7B264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1.4</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087749C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357348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387374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15613C0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E495F3E" w14:textId="1138BACE"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36</w:t>
            </w:r>
          </w:p>
        </w:tc>
        <w:tc>
          <w:tcPr>
            <w:tcW w:w="676" w:type="dxa"/>
            <w:tcBorders>
              <w:top w:val="nil"/>
              <w:left w:val="nil"/>
              <w:bottom w:val="nil"/>
              <w:right w:val="nil"/>
            </w:tcBorders>
            <w:shd w:val="clear" w:color="auto" w:fill="auto"/>
            <w:vAlign w:val="center"/>
            <w:hideMark/>
          </w:tcPr>
          <w:p w14:paraId="6FD7A0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7.6</w:t>
            </w:r>
          </w:p>
        </w:tc>
        <w:tc>
          <w:tcPr>
            <w:tcW w:w="636" w:type="dxa"/>
            <w:tcBorders>
              <w:top w:val="nil"/>
              <w:left w:val="nil"/>
              <w:bottom w:val="nil"/>
              <w:right w:val="nil"/>
            </w:tcBorders>
            <w:shd w:val="clear" w:color="auto" w:fill="auto"/>
            <w:vAlign w:val="center"/>
            <w:hideMark/>
          </w:tcPr>
          <w:p w14:paraId="3E4537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709" w:type="dxa"/>
            <w:tcBorders>
              <w:top w:val="nil"/>
              <w:left w:val="nil"/>
              <w:bottom w:val="nil"/>
              <w:right w:val="nil"/>
            </w:tcBorders>
            <w:shd w:val="clear" w:color="auto" w:fill="auto"/>
            <w:vAlign w:val="center"/>
            <w:hideMark/>
          </w:tcPr>
          <w:p w14:paraId="00720B4D" w14:textId="0867DB52"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8</w:t>
            </w:r>
          </w:p>
        </w:tc>
      </w:tr>
      <w:tr w:rsidR="008F151E" w:rsidRPr="008F151E" w14:paraId="4BCD0FA4" w14:textId="77777777" w:rsidTr="008F151E">
        <w:trPr>
          <w:trHeight w:val="20"/>
        </w:trPr>
        <w:tc>
          <w:tcPr>
            <w:tcW w:w="2430" w:type="dxa"/>
            <w:tcBorders>
              <w:top w:val="nil"/>
              <w:left w:val="nil"/>
              <w:bottom w:val="single" w:sz="8" w:space="0" w:color="auto"/>
              <w:right w:val="nil"/>
            </w:tcBorders>
            <w:shd w:val="clear" w:color="auto" w:fill="auto"/>
            <w:vAlign w:val="center"/>
            <w:hideMark/>
          </w:tcPr>
          <w:p w14:paraId="4BD202E4" w14:textId="77777777" w:rsidR="008F151E" w:rsidRPr="008F151E" w:rsidRDefault="008F151E" w:rsidP="008F151E">
            <w:pPr>
              <w:spacing w:before="0" w:after="0"/>
              <w:ind w:firstLineChars="100" w:firstLine="231"/>
              <w:rPr>
                <w:rFonts w:ascii="Times New Roman" w:eastAsia="Times New Roman" w:hAnsi="Times New Roman"/>
                <w:color w:val="000000"/>
              </w:rPr>
            </w:pPr>
            <w:r w:rsidRPr="008F151E">
              <w:rPr>
                <w:rFonts w:ascii="Times New Roman" w:eastAsia="Arial" w:hAnsi="Times New Roman"/>
                <w:color w:val="000000"/>
                <w:spacing w:val="-9"/>
              </w:rPr>
              <w:t>OTB</w:t>
            </w:r>
          </w:p>
        </w:tc>
        <w:tc>
          <w:tcPr>
            <w:tcW w:w="630" w:type="dxa"/>
            <w:tcBorders>
              <w:top w:val="nil"/>
              <w:left w:val="nil"/>
              <w:bottom w:val="single" w:sz="8" w:space="0" w:color="auto"/>
              <w:right w:val="nil"/>
            </w:tcBorders>
            <w:shd w:val="clear" w:color="auto" w:fill="auto"/>
            <w:vAlign w:val="center"/>
            <w:hideMark/>
          </w:tcPr>
          <w:p w14:paraId="52C5C3A6"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64</w:t>
            </w:r>
          </w:p>
        </w:tc>
        <w:tc>
          <w:tcPr>
            <w:tcW w:w="820" w:type="dxa"/>
            <w:tcBorders>
              <w:top w:val="nil"/>
              <w:left w:val="nil"/>
              <w:bottom w:val="single" w:sz="8" w:space="0" w:color="auto"/>
              <w:right w:val="nil"/>
            </w:tcBorders>
            <w:shd w:val="clear" w:color="auto" w:fill="auto"/>
            <w:vAlign w:val="center"/>
            <w:hideMark/>
          </w:tcPr>
          <w:p w14:paraId="07EF9F2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8" w:space="0" w:color="auto"/>
              <w:right w:val="nil"/>
            </w:tcBorders>
            <w:shd w:val="clear" w:color="auto" w:fill="auto"/>
            <w:vAlign w:val="center"/>
            <w:hideMark/>
          </w:tcPr>
          <w:p w14:paraId="0EB991E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single" w:sz="8" w:space="0" w:color="auto"/>
              <w:right w:val="nil"/>
            </w:tcBorders>
            <w:shd w:val="clear" w:color="auto" w:fill="auto"/>
            <w:vAlign w:val="center"/>
            <w:hideMark/>
          </w:tcPr>
          <w:p w14:paraId="00202D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single" w:sz="8" w:space="0" w:color="auto"/>
              <w:right w:val="nil"/>
            </w:tcBorders>
            <w:shd w:val="clear" w:color="auto" w:fill="auto"/>
            <w:vAlign w:val="center"/>
            <w:hideMark/>
          </w:tcPr>
          <w:p w14:paraId="6D7D8F3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single" w:sz="8" w:space="0" w:color="auto"/>
              <w:right w:val="nil"/>
            </w:tcBorders>
            <w:shd w:val="clear" w:color="auto" w:fill="auto"/>
            <w:vAlign w:val="center"/>
            <w:hideMark/>
          </w:tcPr>
          <w:p w14:paraId="04ED02EA" w14:textId="417A0231"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8" w:space="0" w:color="auto"/>
              <w:right w:val="nil"/>
            </w:tcBorders>
            <w:shd w:val="clear" w:color="auto" w:fill="auto"/>
            <w:vAlign w:val="center"/>
            <w:hideMark/>
          </w:tcPr>
          <w:p w14:paraId="13956E27" w14:textId="1F60982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49</w:t>
            </w:r>
          </w:p>
        </w:tc>
        <w:tc>
          <w:tcPr>
            <w:tcW w:w="676" w:type="dxa"/>
            <w:tcBorders>
              <w:top w:val="nil"/>
              <w:left w:val="nil"/>
              <w:bottom w:val="single" w:sz="8" w:space="0" w:color="auto"/>
              <w:right w:val="nil"/>
            </w:tcBorders>
            <w:shd w:val="clear" w:color="auto" w:fill="auto"/>
            <w:vAlign w:val="center"/>
            <w:hideMark/>
          </w:tcPr>
          <w:p w14:paraId="66AF88E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8.7</w:t>
            </w:r>
          </w:p>
        </w:tc>
        <w:tc>
          <w:tcPr>
            <w:tcW w:w="636" w:type="dxa"/>
            <w:tcBorders>
              <w:top w:val="nil"/>
              <w:left w:val="nil"/>
              <w:bottom w:val="single" w:sz="8" w:space="0" w:color="auto"/>
              <w:right w:val="nil"/>
            </w:tcBorders>
            <w:shd w:val="clear" w:color="auto" w:fill="auto"/>
            <w:vAlign w:val="center"/>
            <w:hideMark/>
          </w:tcPr>
          <w:p w14:paraId="77243C11" w14:textId="235B1A0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30</w:t>
            </w:r>
          </w:p>
        </w:tc>
        <w:tc>
          <w:tcPr>
            <w:tcW w:w="709" w:type="dxa"/>
            <w:tcBorders>
              <w:top w:val="nil"/>
              <w:left w:val="nil"/>
              <w:bottom w:val="single" w:sz="8" w:space="0" w:color="auto"/>
              <w:right w:val="nil"/>
            </w:tcBorders>
            <w:shd w:val="clear" w:color="auto" w:fill="auto"/>
            <w:vAlign w:val="center"/>
            <w:hideMark/>
          </w:tcPr>
          <w:p w14:paraId="442147D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66</w:t>
            </w:r>
          </w:p>
        </w:tc>
      </w:tr>
      <w:tr w:rsidR="008F151E" w:rsidRPr="008F151E" w14:paraId="1F7E5478" w14:textId="77777777" w:rsidTr="008F151E">
        <w:trPr>
          <w:trHeight w:val="20"/>
        </w:trPr>
        <w:tc>
          <w:tcPr>
            <w:tcW w:w="9000" w:type="dxa"/>
            <w:gridSpan w:val="11"/>
            <w:tcBorders>
              <w:top w:val="single" w:sz="8" w:space="0" w:color="auto"/>
              <w:left w:val="nil"/>
              <w:bottom w:val="nil"/>
              <w:right w:val="nil"/>
            </w:tcBorders>
            <w:shd w:val="clear" w:color="auto" w:fill="auto"/>
            <w:hideMark/>
          </w:tcPr>
          <w:p w14:paraId="14DDE3F1" w14:textId="77777777" w:rsidR="008F151E" w:rsidRPr="008F151E" w:rsidRDefault="008F151E" w:rsidP="008F151E">
            <w:pPr>
              <w:spacing w:before="0" w:after="0"/>
              <w:rPr>
                <w:rFonts w:ascii="Times New Roman" w:eastAsia="Times New Roman" w:hAnsi="Times New Roman"/>
                <w:i/>
                <w:iCs/>
                <w:color w:val="000000"/>
                <w:sz w:val="20"/>
                <w:szCs w:val="20"/>
              </w:rPr>
            </w:pPr>
            <w:proofErr w:type="spellStart"/>
            <w:r w:rsidRPr="008F151E">
              <w:rPr>
                <w:rFonts w:ascii="Times New Roman" w:eastAsia="Times New Roman" w:hAnsi="Times New Roman"/>
                <w:i/>
                <w:iCs/>
                <w:color w:val="000000"/>
                <w:sz w:val="20"/>
                <w:szCs w:val="20"/>
                <w:vertAlign w:val="superscript"/>
              </w:rPr>
              <w:t>a</w:t>
            </w:r>
            <w:r w:rsidRPr="008F151E">
              <w:rPr>
                <w:rFonts w:ascii="Times New Roman" w:eastAsia="Times New Roman" w:hAnsi="Times New Roman"/>
                <w:color w:val="000000"/>
                <w:sz w:val="20"/>
                <w:szCs w:val="20"/>
              </w:rPr>
              <w:t>CCB</w:t>
            </w:r>
            <w:proofErr w:type="spellEnd"/>
            <w:r w:rsidRPr="008F151E">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07986210" w14:textId="373F69E5" w:rsidR="0083246C" w:rsidRDefault="0083246C" w:rsidP="000C7C95">
      <w:pPr>
        <w:pStyle w:val="NoSpacing"/>
        <w:rPr>
          <w:rFonts w:ascii="Times New Roman" w:hAnsi="Times New Roman" w:cs="Times New Roman"/>
          <w:sz w:val="24"/>
          <w:szCs w:val="24"/>
        </w:rPr>
      </w:pPr>
    </w:p>
    <w:p w14:paraId="32BA7C4D" w14:textId="52A6E73B"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6D37CE" w:rsidRDefault="006D37CE" w:rsidP="009C51DE">
      <w:pPr>
        <w:spacing w:before="0" w:after="0"/>
      </w:pPr>
      <w:r>
        <w:separator/>
      </w:r>
    </w:p>
  </w:endnote>
  <w:endnote w:type="continuationSeparator" w:id="0">
    <w:p w14:paraId="23DBE65E" w14:textId="77777777" w:rsidR="006D37CE" w:rsidRDefault="006D37CE"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63069CBF" w:rsidR="006D37CE" w:rsidRDefault="006D37CE">
        <w:pPr>
          <w:pStyle w:val="Footer"/>
          <w:jc w:val="center"/>
        </w:pPr>
        <w:r>
          <w:fldChar w:fldCharType="begin"/>
        </w:r>
        <w:r>
          <w:instrText xml:space="preserve"> PAGE   \* MERGEFORMAT </w:instrText>
        </w:r>
        <w:r>
          <w:fldChar w:fldCharType="separate"/>
        </w:r>
        <w:r w:rsidR="001A7F45">
          <w:rPr>
            <w:noProof/>
          </w:rPr>
          <w:t>25</w:t>
        </w:r>
        <w:r>
          <w:rPr>
            <w:noProof/>
          </w:rPr>
          <w:fldChar w:fldCharType="end"/>
        </w:r>
      </w:p>
    </w:sdtContent>
  </w:sdt>
  <w:p w14:paraId="20BBC532" w14:textId="77777777" w:rsidR="006D37CE" w:rsidRDefault="006D37CE">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5FC06FB4" w:rsidR="006D37CE" w:rsidRDefault="006D37CE">
        <w:pPr>
          <w:pStyle w:val="Footer"/>
          <w:jc w:val="center"/>
        </w:pPr>
        <w:r>
          <w:fldChar w:fldCharType="begin"/>
        </w:r>
        <w:r>
          <w:instrText xml:space="preserve"> PAGE   \* MERGEFORMAT </w:instrText>
        </w:r>
        <w:r>
          <w:fldChar w:fldCharType="separate"/>
        </w:r>
        <w:r w:rsidR="001A7F45">
          <w:rPr>
            <w:noProof/>
          </w:rPr>
          <w:t>29</w:t>
        </w:r>
        <w:r>
          <w:rPr>
            <w:noProof/>
          </w:rPr>
          <w:fldChar w:fldCharType="end"/>
        </w:r>
      </w:p>
    </w:sdtContent>
  </w:sdt>
  <w:p w14:paraId="08D72BB7" w14:textId="77777777" w:rsidR="006D37CE" w:rsidRDefault="006D3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6D37CE" w:rsidRDefault="006D37CE" w:rsidP="009C51DE">
      <w:pPr>
        <w:spacing w:before="0" w:after="0"/>
      </w:pPr>
      <w:r>
        <w:separator/>
      </w:r>
    </w:p>
  </w:footnote>
  <w:footnote w:type="continuationSeparator" w:id="0">
    <w:p w14:paraId="716E0A91" w14:textId="77777777" w:rsidR="006D37CE" w:rsidRDefault="006D37CE"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68E8"/>
    <w:rsid w:val="00097AD1"/>
    <w:rsid w:val="000A48A3"/>
    <w:rsid w:val="000A52ED"/>
    <w:rsid w:val="000A57EF"/>
    <w:rsid w:val="000B4492"/>
    <w:rsid w:val="000B4BF5"/>
    <w:rsid w:val="000B5C37"/>
    <w:rsid w:val="000C1DF2"/>
    <w:rsid w:val="000C2841"/>
    <w:rsid w:val="000C54C7"/>
    <w:rsid w:val="000C59A2"/>
    <w:rsid w:val="000C7C95"/>
    <w:rsid w:val="000C7CBB"/>
    <w:rsid w:val="000D3876"/>
    <w:rsid w:val="000E0698"/>
    <w:rsid w:val="000E1355"/>
    <w:rsid w:val="000E474E"/>
    <w:rsid w:val="000E58DC"/>
    <w:rsid w:val="000E66AA"/>
    <w:rsid w:val="000F009A"/>
    <w:rsid w:val="000F0E5E"/>
    <w:rsid w:val="000F5325"/>
    <w:rsid w:val="000F7122"/>
    <w:rsid w:val="00105DE9"/>
    <w:rsid w:val="00106880"/>
    <w:rsid w:val="00110200"/>
    <w:rsid w:val="00122BB9"/>
    <w:rsid w:val="001331C9"/>
    <w:rsid w:val="0013495A"/>
    <w:rsid w:val="0013724C"/>
    <w:rsid w:val="001402F4"/>
    <w:rsid w:val="00141FB0"/>
    <w:rsid w:val="00142D82"/>
    <w:rsid w:val="00145264"/>
    <w:rsid w:val="001455C6"/>
    <w:rsid w:val="00146FF2"/>
    <w:rsid w:val="00157CB7"/>
    <w:rsid w:val="00160C93"/>
    <w:rsid w:val="00160D3B"/>
    <w:rsid w:val="00164775"/>
    <w:rsid w:val="001662F4"/>
    <w:rsid w:val="001673EB"/>
    <w:rsid w:val="00177351"/>
    <w:rsid w:val="0018319C"/>
    <w:rsid w:val="00187507"/>
    <w:rsid w:val="00190E25"/>
    <w:rsid w:val="00191915"/>
    <w:rsid w:val="00194523"/>
    <w:rsid w:val="001A66BE"/>
    <w:rsid w:val="001A7F45"/>
    <w:rsid w:val="001B2DEC"/>
    <w:rsid w:val="001B6055"/>
    <w:rsid w:val="001C0DE0"/>
    <w:rsid w:val="001D082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103DB"/>
    <w:rsid w:val="00311673"/>
    <w:rsid w:val="00317EE4"/>
    <w:rsid w:val="003223BC"/>
    <w:rsid w:val="00323AE4"/>
    <w:rsid w:val="00324BCF"/>
    <w:rsid w:val="00334600"/>
    <w:rsid w:val="00336E5D"/>
    <w:rsid w:val="0034000A"/>
    <w:rsid w:val="00341DB5"/>
    <w:rsid w:val="00344818"/>
    <w:rsid w:val="00350E61"/>
    <w:rsid w:val="00354B22"/>
    <w:rsid w:val="00357882"/>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5005A6"/>
    <w:rsid w:val="00501019"/>
    <w:rsid w:val="005056D2"/>
    <w:rsid w:val="005066CA"/>
    <w:rsid w:val="0051129F"/>
    <w:rsid w:val="00512C6C"/>
    <w:rsid w:val="00512CBA"/>
    <w:rsid w:val="0051417A"/>
    <w:rsid w:val="00517C13"/>
    <w:rsid w:val="005226FE"/>
    <w:rsid w:val="0052374B"/>
    <w:rsid w:val="005310E5"/>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90D07"/>
    <w:rsid w:val="00594B1D"/>
    <w:rsid w:val="005A0B95"/>
    <w:rsid w:val="005B2C4D"/>
    <w:rsid w:val="005B42D5"/>
    <w:rsid w:val="005C03DD"/>
    <w:rsid w:val="005C4AB6"/>
    <w:rsid w:val="005C537F"/>
    <w:rsid w:val="005D6BCE"/>
    <w:rsid w:val="005D6CF5"/>
    <w:rsid w:val="005D7459"/>
    <w:rsid w:val="005D7F47"/>
    <w:rsid w:val="005E164D"/>
    <w:rsid w:val="005E1AEB"/>
    <w:rsid w:val="005E4409"/>
    <w:rsid w:val="005E4AE2"/>
    <w:rsid w:val="005E59F7"/>
    <w:rsid w:val="005F158F"/>
    <w:rsid w:val="005F17DE"/>
    <w:rsid w:val="005F2AC6"/>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C4C"/>
    <w:rsid w:val="007A3E63"/>
    <w:rsid w:val="007A408E"/>
    <w:rsid w:val="007A57A1"/>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72086"/>
    <w:rsid w:val="0097263F"/>
    <w:rsid w:val="00973CA2"/>
    <w:rsid w:val="0097655E"/>
    <w:rsid w:val="00977D24"/>
    <w:rsid w:val="00981B12"/>
    <w:rsid w:val="009859C4"/>
    <w:rsid w:val="009923A3"/>
    <w:rsid w:val="009933CD"/>
    <w:rsid w:val="00993DE2"/>
    <w:rsid w:val="00997053"/>
    <w:rsid w:val="009A2F20"/>
    <w:rsid w:val="009A3073"/>
    <w:rsid w:val="009A4C47"/>
    <w:rsid w:val="009B565B"/>
    <w:rsid w:val="009B743F"/>
    <w:rsid w:val="009C062D"/>
    <w:rsid w:val="009C2DE1"/>
    <w:rsid w:val="009C2E4B"/>
    <w:rsid w:val="009C3EB8"/>
    <w:rsid w:val="009C504B"/>
    <w:rsid w:val="009C51DE"/>
    <w:rsid w:val="009D04C2"/>
    <w:rsid w:val="009D32B9"/>
    <w:rsid w:val="009D4843"/>
    <w:rsid w:val="009E35AB"/>
    <w:rsid w:val="009E3AE1"/>
    <w:rsid w:val="009E4FF6"/>
    <w:rsid w:val="009E7AF2"/>
    <w:rsid w:val="009F33BE"/>
    <w:rsid w:val="00A01614"/>
    <w:rsid w:val="00A02AC0"/>
    <w:rsid w:val="00A11ACA"/>
    <w:rsid w:val="00A16AAB"/>
    <w:rsid w:val="00A21AA9"/>
    <w:rsid w:val="00A21AF4"/>
    <w:rsid w:val="00A23531"/>
    <w:rsid w:val="00A23AD4"/>
    <w:rsid w:val="00A23C7F"/>
    <w:rsid w:val="00A26E4C"/>
    <w:rsid w:val="00A2745F"/>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59E5"/>
    <w:rsid w:val="00AC5F13"/>
    <w:rsid w:val="00AD16C5"/>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742A"/>
    <w:rsid w:val="00B80882"/>
    <w:rsid w:val="00B8145A"/>
    <w:rsid w:val="00B86B75"/>
    <w:rsid w:val="00B871CC"/>
    <w:rsid w:val="00B943CE"/>
    <w:rsid w:val="00B9654C"/>
    <w:rsid w:val="00B973EA"/>
    <w:rsid w:val="00BB0F3D"/>
    <w:rsid w:val="00BB75EA"/>
    <w:rsid w:val="00BC0701"/>
    <w:rsid w:val="00BC48D5"/>
    <w:rsid w:val="00BC4ECA"/>
    <w:rsid w:val="00BC4F5A"/>
    <w:rsid w:val="00BC5813"/>
    <w:rsid w:val="00BD3036"/>
    <w:rsid w:val="00BE168A"/>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E1D"/>
    <w:rsid w:val="00DF6470"/>
    <w:rsid w:val="00DF654C"/>
    <w:rsid w:val="00E015B5"/>
    <w:rsid w:val="00E1132B"/>
    <w:rsid w:val="00E12722"/>
    <w:rsid w:val="00E13684"/>
    <w:rsid w:val="00E23629"/>
    <w:rsid w:val="00E23DC9"/>
    <w:rsid w:val="00E255A5"/>
    <w:rsid w:val="00E27DAF"/>
    <w:rsid w:val="00E315A3"/>
    <w:rsid w:val="00E41B26"/>
    <w:rsid w:val="00E426C4"/>
    <w:rsid w:val="00E437BA"/>
    <w:rsid w:val="00E47FB6"/>
    <w:rsid w:val="00E5142B"/>
    <w:rsid w:val="00E53B98"/>
    <w:rsid w:val="00E53D75"/>
    <w:rsid w:val="00E5653E"/>
    <w:rsid w:val="00E56F55"/>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59A2"/>
    <w:rsid w:val="00F76CBC"/>
    <w:rsid w:val="00F83F89"/>
    <w:rsid w:val="00F92FBE"/>
    <w:rsid w:val="00FA21C2"/>
    <w:rsid w:val="00FB3DD8"/>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9F25-8D1D-4F57-B3BF-E850B46D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29</Pages>
  <Words>10061</Words>
  <Characters>57350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67277</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27</cp:revision>
  <cp:lastPrinted>2016-07-15T18:56:00Z</cp:lastPrinted>
  <dcterms:created xsi:type="dcterms:W3CDTF">2016-07-15T21:31:00Z</dcterms:created>
  <dcterms:modified xsi:type="dcterms:W3CDTF">2017-01-31T21:32:00Z</dcterms:modified>
</cp:coreProperties>
</file>