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Цель: </w:t>
      </w:r>
      <w:r w:rsidDel="00000000" w:rsidR="00000000" w:rsidRPr="00000000">
        <w:rPr>
          <w:rtl w:val="0"/>
        </w:rPr>
        <w:t xml:space="preserve">проверить полноту ролевой модели — роли и выполняемые ими действия, взаимодействие с внешними системами, порядок выполнения действий.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Область рассмотрения:</w:t>
      </w:r>
      <w:r w:rsidDel="00000000" w:rsidR="00000000" w:rsidRPr="00000000">
        <w:rPr>
          <w:rtl w:val="0"/>
        </w:rPr>
        <w:t xml:space="preserve"> to be.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Действующие роли для диаграммы: </w:t>
      </w:r>
      <w:r w:rsidDel="00000000" w:rsidR="00000000" w:rsidRPr="00000000">
        <w:rPr>
          <w:rtl w:val="0"/>
        </w:rPr>
        <w:t xml:space="preserve">заинтересованные стороны.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-919162</wp:posOffset>
            </wp:positionH>
            <wp:positionV relativeFrom="paragraph">
              <wp:posOffset>200025</wp:posOffset>
            </wp:positionV>
            <wp:extent cx="7577138" cy="522898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7138" cy="5228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