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проверить полноту ролевой модели — роли и выполняемые ими действия, взаимодействие с внешними системами, порядок выполнения действий.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Область рассмотрения:</w:t>
      </w:r>
      <w:r w:rsidDel="00000000" w:rsidR="00000000" w:rsidRPr="00000000">
        <w:rPr>
          <w:rtl w:val="0"/>
        </w:rPr>
        <w:t xml:space="preserve"> to be.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Действующие роли для диаграммы: </w:t>
      </w:r>
      <w:r w:rsidDel="00000000" w:rsidR="00000000" w:rsidRPr="00000000">
        <w:rPr>
          <w:rtl w:val="0"/>
        </w:rPr>
        <w:t xml:space="preserve">заинтересованные стороны.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-919680</wp:posOffset>
            </wp:positionH>
            <wp:positionV relativeFrom="paragraph">
              <wp:posOffset>200025</wp:posOffset>
            </wp:positionV>
            <wp:extent cx="7583581" cy="209873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3581" cy="20987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