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проверить полноту ролевой модели — роли и выполняемые ими действия, взаимодействие с внешними системами, порядок выполнения действий.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2389367</wp:posOffset>
            </wp:positionV>
            <wp:extent cx="7548563" cy="272555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2725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Область рассмотрения:</w:t>
      </w:r>
      <w:r w:rsidDel="00000000" w:rsidR="00000000" w:rsidRPr="00000000">
        <w:rPr>
          <w:rtl w:val="0"/>
        </w:rPr>
        <w:t xml:space="preserve"> to be.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Действующие роли для диаграммы: </w:t>
      </w:r>
      <w:r w:rsidDel="00000000" w:rsidR="00000000" w:rsidRPr="00000000">
        <w:rPr>
          <w:rtl w:val="0"/>
        </w:rPr>
        <w:t xml:space="preserve">заинтересованные стороны.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