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 w:after="60"/>
      </w:pPr>
      <w:r>
        <w:rPr>
          <w:rFonts w:ascii="Calibri" w:hAnsi="Calibri"/>
          <w:b/>
          <w:i w:val="0"/>
          <w:color w:val="17324D"/>
          <w:sz w:val="54"/>
        </w:rPr>
        <w:t>ATLAS Engineering Playbook</w:t>
      </w:r>
    </w:p>
    <w:p>
      <w:pPr>
        <w:spacing w:after="180"/>
      </w:pPr>
      <w:r>
        <w:rPr>
          <w:rFonts w:ascii="Calibri" w:hAnsi="Calibri"/>
          <w:b w:val="0"/>
          <w:i/>
          <w:color w:val="5E6B78"/>
          <w:sz w:val="25"/>
        </w:rPr>
        <w:t>Foundational doctrine for a deterministic, multi-repository engineering ecosystem</w:t>
      </w:r>
    </w:p>
    <w:p>
      <w:pPr>
        <w:spacing w:after="200"/>
      </w:pPr>
      <w:r>
        <w:rPr>
          <w:rFonts w:ascii="Calibri" w:hAnsi="Calibri"/>
          <w:b/>
          <w:i w:val="0"/>
          <w:color w:val="5E6B78"/>
          <w:sz w:val="18"/>
        </w:rPr>
        <w:t>Edition 0.1  |  July 2026  |  Status: Expandable foundation</w:t>
      </w:r>
    </w:p>
    <w:p>
      <w:pPr>
        <w:keepLines/>
        <w:spacing w:before="60" w:after="100"/>
        <w:ind w:left="173" w:right="173"/>
        <w:shd w:fill="C3F4B9"/>
      </w:pPr>
      <w:r>
        <w:rPr>
          <w:rFonts w:ascii="Calibri" w:hAnsi="Calibri"/>
          <w:b/>
          <w:i w:val="0"/>
          <w:color w:val="17324D"/>
          <w:sz w:val="20"/>
        </w:rPr>
        <w:t xml:space="preserve">North Star — </w:t>
      </w:r>
      <w:r>
        <w:rPr>
          <w:rFonts w:ascii="Calibri" w:hAnsi="Calibri"/>
          <w:b w:val="0"/>
          <w:i w:val="0"/>
          <w:color w:val="17212B"/>
          <w:sz w:val="20"/>
        </w:rPr>
        <w:t>ATLAS coordinates verified work across long-lived products. It must reduce ambiguity, preserve owner-repository truth, and turn each completed packet into reusable capability rather than centralize implementation ownership.</w:t>
      </w:r>
    </w:p>
    <w:p>
      <w:pPr>
        <w:pStyle w:val="Heading1"/>
        <w:keepNext/>
      </w:pPr>
      <w:r>
        <w:t>1. Purpose and operating model</w:t>
      </w:r>
    </w:p>
    <w:p>
      <w:pPr>
        <w:keepLines/>
      </w:pPr>
      <w:r>
        <w:t>This playbook defines the durable rules shared by ATLAS, Playbook, Mazer, Fawxzzy Fitness, DiscordOS, and future owner repositories. It records architectural boundaries, repository contracts, delivery conventions, governance gates, and reusable discoveries. Product-specific details remain in their owner repositories and link back here only when they generalize.</w:t>
      </w:r>
    </w:p>
    <w:p>
      <w:pPr>
        <w:pStyle w:val="Heading1"/>
        <w:keepNext/>
      </w:pPr>
      <w:r>
        <w:t>2. Architectural principles</w:t>
      </w:r>
    </w:p>
    <w:p>
      <w:pPr>
        <w:pStyle w:val="ListBullet"/>
        <w:keepLines/>
      </w:pPr>
      <w:r>
        <w:rPr>
          <w:rFonts w:ascii="Calibri" w:hAnsi="Calibri"/>
          <w:b/>
          <w:i w:val="0"/>
          <w:color w:val="17324D"/>
          <w:sz w:val="20"/>
        </w:rPr>
        <w:t xml:space="preserve">Owner-repository truth. </w:t>
      </w:r>
      <w:r>
        <w:rPr>
          <w:rFonts w:ascii="Calibri" w:hAnsi="Calibri"/>
          <w:b w:val="0"/>
          <w:i w:val="0"/>
          <w:color w:val="17212B"/>
          <w:sz w:val="20"/>
        </w:rPr>
        <w:t>The repository that ships a system owns its implementation, tests, migrations, runtime contract, and release evidence. ATLAS coordinates; it does not flatten histories or duplicate canonical code.</w:t>
      </w:r>
    </w:p>
    <w:p>
      <w:pPr>
        <w:pStyle w:val="ListBullet"/>
        <w:keepLines/>
      </w:pPr>
      <w:r>
        <w:rPr>
          <w:rFonts w:ascii="Calibri" w:hAnsi="Calibri"/>
          <w:b/>
          <w:i w:val="0"/>
          <w:color w:val="17324D"/>
          <w:sz w:val="20"/>
        </w:rPr>
        <w:t xml:space="preserve">Determinism before autonomy. </w:t>
      </w:r>
      <w:r>
        <w:rPr>
          <w:rFonts w:ascii="Calibri" w:hAnsi="Calibri"/>
          <w:b w:val="0"/>
          <w:i w:val="0"/>
          <w:color w:val="17212B"/>
          <w:sz w:val="20"/>
        </w:rPr>
        <w:t>Prefer explicit inputs, pinned identities, reproducible commands, bounded outputs, and replayable decisions. Automation must fail closed when identity or evidence is uncertain.</w:t>
      </w:r>
    </w:p>
    <w:p>
      <w:pPr>
        <w:pStyle w:val="ListBullet"/>
        <w:keepLines/>
      </w:pPr>
      <w:r>
        <w:rPr>
          <w:rFonts w:ascii="Calibri" w:hAnsi="Calibri"/>
          <w:b/>
          <w:i w:val="0"/>
          <w:color w:val="17324D"/>
          <w:sz w:val="20"/>
        </w:rPr>
        <w:t xml:space="preserve">Proof before integration. </w:t>
      </w:r>
      <w:r>
        <w:rPr>
          <w:rFonts w:ascii="Calibri" w:hAnsi="Calibri"/>
          <w:b w:val="0"/>
          <w:i w:val="0"/>
          <w:color w:val="17212B"/>
          <w:sz w:val="20"/>
        </w:rPr>
        <w:t>Prove a capability inside its bounded owner surface before introducing adapters, orchestration, retrieval, or cross-project coupling.</w:t>
      </w:r>
    </w:p>
    <w:p>
      <w:pPr>
        <w:pStyle w:val="ListBullet"/>
        <w:keepLines/>
      </w:pPr>
      <w:r>
        <w:rPr>
          <w:rFonts w:ascii="Calibri" w:hAnsi="Calibri"/>
          <w:b/>
          <w:i w:val="0"/>
          <w:color w:val="17324D"/>
          <w:sz w:val="20"/>
        </w:rPr>
        <w:t xml:space="preserve">Contracts before mutation. </w:t>
      </w:r>
      <w:r>
        <w:rPr>
          <w:rFonts w:ascii="Calibri" w:hAnsi="Calibri"/>
          <w:b w:val="0"/>
          <w:i w:val="0"/>
          <w:color w:val="17212B"/>
          <w:sz w:val="20"/>
        </w:rPr>
        <w:t>Freeze ownership, allowed paths, unchanged paths, acceptance criteria, verification, and blocked-reporting rules before code crosses repository, provider, or runtime boundaries.</w:t>
      </w:r>
    </w:p>
    <w:p>
      <w:pPr>
        <w:pStyle w:val="ListBullet"/>
        <w:keepLines/>
      </w:pPr>
      <w:r>
        <w:rPr>
          <w:rFonts w:ascii="Calibri" w:hAnsi="Calibri"/>
          <w:b/>
          <w:i w:val="0"/>
          <w:color w:val="17324D"/>
          <w:sz w:val="20"/>
        </w:rPr>
        <w:t xml:space="preserve">Product-driven platform evolution. </w:t>
      </w:r>
      <w:r>
        <w:rPr>
          <w:rFonts w:ascii="Calibri" w:hAnsi="Calibri"/>
          <w:b w:val="0"/>
          <w:i w:val="0"/>
          <w:color w:val="17212B"/>
          <w:sz w:val="20"/>
        </w:rPr>
        <w:t>Add platform capability only when it solves a demonstrated operator, Fitness, Mazer, DiscordOS, or repository problem.</w:t>
      </w:r>
    </w:p>
    <w:p>
      <w:pPr>
        <w:pStyle w:val="ListBullet"/>
        <w:keepLines/>
      </w:pPr>
      <w:r>
        <w:rPr>
          <w:rFonts w:ascii="Calibri" w:hAnsi="Calibri"/>
          <w:b/>
          <w:i w:val="0"/>
          <w:color w:val="17324D"/>
          <w:sz w:val="20"/>
        </w:rPr>
        <w:t xml:space="preserve">Additive recovery. </w:t>
      </w:r>
      <w:r>
        <w:rPr>
          <w:rFonts w:ascii="Calibri" w:hAnsi="Calibri"/>
          <w:b w:val="0"/>
          <w:i w:val="0"/>
          <w:color w:val="17212B"/>
          <w:sz w:val="20"/>
        </w:rPr>
        <w:t>Preserve canonical source and raw evidence. Repair through explicit migrations, receipts, derived classifications, and reconciliation instead of destructive rewrites.</w:t>
      </w:r>
    </w:p>
    <w:p>
      <w:pPr>
        <w:pStyle w:val="Heading1"/>
        <w:keepNext/>
      </w:pPr>
      <w:r>
        <w:t>3. Ecosystem ownership map</w:t>
      </w:r>
    </w:p>
    <w:p>
      <w:pPr>
        <w:pStyle w:val="ListBullet"/>
        <w:keepLines/>
      </w:pPr>
      <w:r>
        <w:rPr>
          <w:rFonts w:ascii="Calibri" w:hAnsi="Calibri"/>
          <w:b/>
          <w:i w:val="0"/>
          <w:color w:val="17324D"/>
          <w:sz w:val="20"/>
        </w:rPr>
        <w:t xml:space="preserve">ATLAS — </w:t>
      </w:r>
      <w:r>
        <w:rPr>
          <w:rFonts w:ascii="Calibri" w:hAnsi="Calibri"/>
          <w:b w:val="0"/>
          <w:i w:val="0"/>
          <w:color w:val="17212B"/>
          <w:sz w:val="20"/>
        </w:rPr>
        <w:t>control plane for inventory, routing, markers, manifests, receipts, and cross-repository reconciliation.</w:t>
      </w:r>
    </w:p>
    <w:p>
      <w:pPr>
        <w:pStyle w:val="ListBullet"/>
        <w:keepLines/>
      </w:pPr>
      <w:r>
        <w:rPr>
          <w:rFonts w:ascii="Calibri" w:hAnsi="Calibri"/>
          <w:b/>
          <w:i w:val="0"/>
          <w:color w:val="17324D"/>
          <w:sz w:val="20"/>
        </w:rPr>
        <w:t xml:space="preserve">Owner repositories — </w:t>
      </w:r>
      <w:r>
        <w:rPr>
          <w:rFonts w:ascii="Calibri" w:hAnsi="Calibri"/>
          <w:b w:val="0"/>
          <w:i w:val="0"/>
          <w:color w:val="17212B"/>
          <w:sz w:val="20"/>
        </w:rPr>
        <w:t>canonical product code, tests, migrations, deployments, and operational truth.</w:t>
      </w:r>
    </w:p>
    <w:p>
      <w:pPr>
        <w:pStyle w:val="ListBullet"/>
        <w:keepLines/>
      </w:pPr>
      <w:r>
        <w:rPr>
          <w:rFonts w:ascii="Calibri" w:hAnsi="Calibri"/>
          <w:b/>
          <w:i w:val="0"/>
          <w:color w:val="17324D"/>
          <w:sz w:val="20"/>
        </w:rPr>
        <w:t xml:space="preserve">Playbook — </w:t>
      </w:r>
      <w:r>
        <w:rPr>
          <w:rFonts w:ascii="Calibri" w:hAnsi="Calibri"/>
          <w:b w:val="0"/>
          <w:i w:val="0"/>
          <w:color w:val="17212B"/>
          <w:sz w:val="20"/>
        </w:rPr>
        <w:t>reusable prompts, contracts, workflows, doctrine, and deterministic execution patterns.</w:t>
      </w:r>
    </w:p>
    <w:p>
      <w:pPr>
        <w:pStyle w:val="ListBullet"/>
        <w:keepLines/>
      </w:pPr>
      <w:r>
        <w:rPr>
          <w:rFonts w:ascii="Calibri" w:hAnsi="Calibri"/>
          <w:b/>
          <w:i w:val="0"/>
          <w:color w:val="17324D"/>
          <w:sz w:val="20"/>
        </w:rPr>
        <w:t xml:space="preserve">DiscordOS — </w:t>
      </w:r>
      <w:r>
        <w:rPr>
          <w:rFonts w:ascii="Calibri" w:hAnsi="Calibri"/>
          <w:b w:val="0"/>
          <w:i w:val="0"/>
          <w:color w:val="17212B"/>
          <w:sz w:val="20"/>
        </w:rPr>
        <w:t>project-board and operator coordination surface; cards do not equal implementation progress.</w:t>
      </w:r>
    </w:p>
    <w:p>
      <w:pPr>
        <w:pStyle w:val="ListBullet"/>
        <w:keepLines/>
      </w:pPr>
      <w:r>
        <w:rPr>
          <w:rFonts w:ascii="Calibri" w:hAnsi="Calibri"/>
          <w:b/>
          <w:i w:val="0"/>
          <w:color w:val="17324D"/>
          <w:sz w:val="20"/>
        </w:rPr>
        <w:t xml:space="preserve">Providers — </w:t>
      </w:r>
      <w:r>
        <w:rPr>
          <w:rFonts w:ascii="Calibri" w:hAnsi="Calibri"/>
          <w:b w:val="0"/>
          <w:i w:val="0"/>
          <w:color w:val="17212B"/>
          <w:sz w:val="20"/>
        </w:rPr>
        <w:t>Supabase, Vercel, GitHub, and other live systems; mutation requires explicit admission and proof.</w:t>
      </w:r>
    </w:p>
    <w:p>
      <w:r>
        <w:br w:type="page"/>
      </w:r>
    </w:p>
    <w:p>
      <w:pPr>
        <w:pStyle w:val="Heading1"/>
        <w:keepNext/>
      </w:pPr>
      <w:r>
        <w:t>4. Repository standards</w:t>
      </w:r>
    </w:p>
    <w:p>
      <w:pPr>
        <w:pStyle w:val="ListBullet"/>
        <w:keepLines/>
      </w:pPr>
      <w:r>
        <w:rPr>
          <w:rFonts w:ascii="Calibri" w:hAnsi="Calibri"/>
          <w:b/>
          <w:i w:val="0"/>
          <w:color w:val="17324D"/>
          <w:sz w:val="20"/>
        </w:rPr>
        <w:t xml:space="preserve">Identity — </w:t>
      </w:r>
      <w:r>
        <w:rPr>
          <w:rFonts w:ascii="Calibri" w:hAnsi="Calibri"/>
          <w:b w:val="0"/>
          <w:i w:val="0"/>
          <w:color w:val="17212B"/>
          <w:sz w:val="20"/>
        </w:rPr>
        <w:t>Pin repository, branch, remote, provider project, environment, and source-of-truth paths before execution.</w:t>
      </w:r>
    </w:p>
    <w:p>
      <w:pPr>
        <w:pStyle w:val="ListBullet"/>
        <w:keepLines/>
      </w:pPr>
      <w:r>
        <w:rPr>
          <w:rFonts w:ascii="Calibri" w:hAnsi="Calibri"/>
          <w:b/>
          <w:i w:val="0"/>
          <w:color w:val="17324D"/>
          <w:sz w:val="20"/>
        </w:rPr>
        <w:t xml:space="preserve">Boundaries — </w:t>
      </w:r>
      <w:r>
        <w:rPr>
          <w:rFonts w:ascii="Calibri" w:hAnsi="Calibri"/>
          <w:b w:val="0"/>
          <w:i w:val="0"/>
          <w:color w:val="17212B"/>
          <w:sz w:val="20"/>
        </w:rPr>
        <w:t>Keep ATLAS root coordination-only; commit owner changes in the child repository and preserve independent history.</w:t>
      </w:r>
    </w:p>
    <w:p>
      <w:pPr>
        <w:pStyle w:val="ListBullet"/>
        <w:keepLines/>
      </w:pPr>
      <w:r>
        <w:rPr>
          <w:rFonts w:ascii="Calibri" w:hAnsi="Calibri"/>
          <w:b/>
          <w:i w:val="0"/>
          <w:color w:val="17324D"/>
          <w:sz w:val="20"/>
        </w:rPr>
        <w:t xml:space="preserve">Structure — </w:t>
      </w:r>
      <w:r>
        <w:rPr>
          <w:rFonts w:ascii="Calibri" w:hAnsi="Calibri"/>
          <w:b w:val="0"/>
          <w:i w:val="0"/>
          <w:color w:val="17212B"/>
          <w:sz w:val="20"/>
        </w:rPr>
        <w:t>Prefer modular packages, explicit public seams, dependency direction checks, and architecture tests over informal conventions.</w:t>
      </w:r>
    </w:p>
    <w:p>
      <w:pPr>
        <w:pStyle w:val="ListBullet"/>
        <w:keepLines/>
      </w:pPr>
      <w:r>
        <w:rPr>
          <w:rFonts w:ascii="Calibri" w:hAnsi="Calibri"/>
          <w:b/>
          <w:i w:val="0"/>
          <w:color w:val="17324D"/>
          <w:sz w:val="20"/>
        </w:rPr>
        <w:t xml:space="preserve">Generated truth — </w:t>
      </w:r>
      <w:r>
        <w:rPr>
          <w:rFonts w:ascii="Calibri" w:hAnsi="Calibri"/>
          <w:b w:val="0"/>
          <w:i w:val="0"/>
          <w:color w:val="17212B"/>
          <w:sz w:val="20"/>
        </w:rPr>
        <w:t>Treat locks, manifests, inventories, markers, and generated indexes as governed outputs with drift checks.</w:t>
      </w:r>
    </w:p>
    <w:p>
      <w:pPr>
        <w:pStyle w:val="ListBullet"/>
        <w:keepLines/>
      </w:pPr>
      <w:r>
        <w:rPr>
          <w:rFonts w:ascii="Calibri" w:hAnsi="Calibri"/>
          <w:b/>
          <w:i w:val="0"/>
          <w:color w:val="17324D"/>
          <w:sz w:val="20"/>
        </w:rPr>
        <w:t xml:space="preserve">Change scope — </w:t>
      </w:r>
      <w:r>
        <w:rPr>
          <w:rFonts w:ascii="Calibri" w:hAnsi="Calibri"/>
          <w:b w:val="0"/>
          <w:i w:val="0"/>
          <w:color w:val="17212B"/>
          <w:sz w:val="20"/>
        </w:rPr>
        <w:t>Name expected changed and unchanged paths. Do not touch unrelated repositories, environments, or worktrees.</w:t>
      </w:r>
    </w:p>
    <w:p>
      <w:pPr>
        <w:pStyle w:val="ListBullet"/>
        <w:keepLines/>
      </w:pPr>
      <w:r>
        <w:rPr>
          <w:rFonts w:ascii="Calibri" w:hAnsi="Calibri"/>
          <w:b/>
          <w:i w:val="0"/>
          <w:color w:val="17324D"/>
          <w:sz w:val="20"/>
        </w:rPr>
        <w:t xml:space="preserve">Migration safety — </w:t>
      </w:r>
      <w:r>
        <w:rPr>
          <w:rFonts w:ascii="Calibri" w:hAnsi="Calibri"/>
          <w:b w:val="0"/>
          <w:i w:val="0"/>
          <w:color w:val="17212B"/>
          <w:sz w:val="20"/>
        </w:rPr>
        <w:t>Snapshot first; use forward-compatible, reversible migrations; preserve raw records and avoid synthetic backfill unless approved.</w:t>
      </w:r>
    </w:p>
    <w:p>
      <w:pPr>
        <w:pStyle w:val="ListBullet"/>
        <w:keepLines/>
      </w:pPr>
      <w:r>
        <w:rPr>
          <w:rFonts w:ascii="Calibri" w:hAnsi="Calibri"/>
          <w:b/>
          <w:i w:val="0"/>
          <w:color w:val="17324D"/>
          <w:sz w:val="20"/>
        </w:rPr>
        <w:t xml:space="preserve">Documentation — </w:t>
      </w:r>
      <w:r>
        <w:rPr>
          <w:rFonts w:ascii="Calibri" w:hAnsi="Calibri"/>
          <w:b w:val="0"/>
          <w:i w:val="0"/>
          <w:color w:val="17212B"/>
          <w:sz w:val="20"/>
        </w:rPr>
        <w:t>Update the operator surface, canonical plan, receipt, and reusable doctrine when behavior or ownership changes.</w:t>
      </w:r>
    </w:p>
    <w:p>
      <w:pPr>
        <w:pStyle w:val="Heading1"/>
        <w:keepNext/>
      </w:pPr>
      <w:r>
        <w:t>5. Standard delivery lifecycle</w:t>
      </w:r>
    </w:p>
    <w:p>
      <w:pPr>
        <w:numPr>
          <w:ilvl w:val="0"/>
          <w:numId w:val="77"/>
        </w:numPr>
        <w:keepLines/>
      </w:pPr>
      <w:r>
        <w:rPr>
          <w:rFonts w:ascii="Calibri" w:hAnsi="Calibri"/>
          <w:b/>
          <w:i w:val="0"/>
          <w:color w:val="17324D"/>
          <w:sz w:val="20"/>
        </w:rPr>
        <w:t xml:space="preserve">Preflight. </w:t>
      </w:r>
      <w:r>
        <w:rPr>
          <w:rFonts w:ascii="Calibri" w:hAnsi="Calibri"/>
          <w:b w:val="0"/>
          <w:i w:val="0"/>
          <w:color w:val="17212B"/>
          <w:sz w:val="20"/>
        </w:rPr>
        <w:t>Verify identity, cleanliness, current PR stop points, duplicate work, dependencies, permissions, and hard stops.</w:t>
      </w:r>
    </w:p>
    <w:p>
      <w:pPr>
        <w:numPr>
          <w:ilvl w:val="0"/>
          <w:numId w:val="77"/>
        </w:numPr>
        <w:keepLines/>
      </w:pPr>
      <w:r>
        <w:rPr>
          <w:rFonts w:ascii="Calibri" w:hAnsi="Calibri"/>
          <w:b/>
          <w:i w:val="0"/>
          <w:color w:val="17324D"/>
          <w:sz w:val="20"/>
        </w:rPr>
        <w:t xml:space="preserve">Select. </w:t>
      </w:r>
      <w:r>
        <w:rPr>
          <w:rFonts w:ascii="Calibri" w:hAnsi="Calibri"/>
          <w:b w:val="0"/>
          <w:i w:val="0"/>
          <w:color w:val="17212B"/>
          <w:sz w:val="20"/>
        </w:rPr>
        <w:t>Choose at most one honest safe-next candidate unless conflict-safe parallel lanes are explicitly requested.</w:t>
      </w:r>
    </w:p>
    <w:p>
      <w:pPr>
        <w:numPr>
          <w:ilvl w:val="0"/>
          <w:numId w:val="77"/>
        </w:numPr>
        <w:keepLines/>
      </w:pPr>
      <w:r>
        <w:rPr>
          <w:rFonts w:ascii="Calibri" w:hAnsi="Calibri"/>
          <w:b/>
          <w:i w:val="0"/>
          <w:color w:val="17324D"/>
          <w:sz w:val="20"/>
        </w:rPr>
        <w:t xml:space="preserve">Freeze. </w:t>
      </w:r>
      <w:r>
        <w:rPr>
          <w:rFonts w:ascii="Calibri" w:hAnsi="Calibri"/>
          <w:b w:val="0"/>
          <w:i w:val="0"/>
          <w:color w:val="17212B"/>
          <w:sz w:val="20"/>
        </w:rPr>
        <w:t>Write the readiness contract or docs-only receipt before risky, cross-boundary, or ambiguous implementation.</w:t>
      </w:r>
    </w:p>
    <w:p>
      <w:pPr>
        <w:numPr>
          <w:ilvl w:val="0"/>
          <w:numId w:val="77"/>
        </w:numPr>
        <w:keepLines/>
      </w:pPr>
      <w:r>
        <w:rPr>
          <w:rFonts w:ascii="Calibri" w:hAnsi="Calibri"/>
          <w:b/>
          <w:i w:val="0"/>
          <w:color w:val="17324D"/>
          <w:sz w:val="20"/>
        </w:rPr>
        <w:t xml:space="preserve">Execute. </w:t>
      </w:r>
      <w:r>
        <w:rPr>
          <w:rFonts w:ascii="Calibri" w:hAnsi="Calibri"/>
          <w:b w:val="0"/>
          <w:i w:val="0"/>
          <w:color w:val="17212B"/>
          <w:sz w:val="20"/>
        </w:rPr>
        <w:t>Implement the smallest bounded packet that changes project truth and preserves the established architecture.</w:t>
      </w:r>
    </w:p>
    <w:p>
      <w:pPr>
        <w:numPr>
          <w:ilvl w:val="0"/>
          <w:numId w:val="77"/>
        </w:numPr>
        <w:keepLines/>
      </w:pPr>
      <w:r>
        <w:rPr>
          <w:rFonts w:ascii="Calibri" w:hAnsi="Calibri"/>
          <w:b/>
          <w:i w:val="0"/>
          <w:color w:val="17324D"/>
          <w:sz w:val="20"/>
        </w:rPr>
        <w:t xml:space="preserve">Prove. </w:t>
      </w:r>
      <w:r>
        <w:rPr>
          <w:rFonts w:ascii="Calibri" w:hAnsi="Calibri"/>
          <w:b w:val="0"/>
          <w:i w:val="0"/>
          <w:color w:val="17212B"/>
          <w:sz w:val="20"/>
        </w:rPr>
        <w:t>Run targeted tests plus repository-wide validation proportionate to risk; capture diffs, runtime evidence, and limitations.</w:t>
      </w:r>
    </w:p>
    <w:p>
      <w:pPr>
        <w:numPr>
          <w:ilvl w:val="0"/>
          <w:numId w:val="77"/>
        </w:numPr>
        <w:keepLines/>
      </w:pPr>
      <w:r>
        <w:rPr>
          <w:rFonts w:ascii="Calibri" w:hAnsi="Calibri"/>
          <w:b/>
          <w:i w:val="0"/>
          <w:color w:val="17324D"/>
          <w:sz w:val="20"/>
        </w:rPr>
        <w:t xml:space="preserve">Reconcile. </w:t>
      </w:r>
      <w:r>
        <w:rPr>
          <w:rFonts w:ascii="Calibri" w:hAnsi="Calibri"/>
          <w:b w:val="0"/>
          <w:i w:val="0"/>
          <w:color w:val="17212B"/>
          <w:sz w:val="20"/>
        </w:rPr>
        <w:t>Align code, receipts, manifests, board cards, markers, and canonical plans; then commit, push, and confirm parity.</w:t>
      </w:r>
    </w:p>
    <w:p>
      <w:pPr>
        <w:numPr>
          <w:ilvl w:val="0"/>
          <w:numId w:val="77"/>
        </w:numPr>
        <w:keepLines/>
      </w:pPr>
      <w:r>
        <w:rPr>
          <w:rFonts w:ascii="Calibri" w:hAnsi="Calibri"/>
          <w:b/>
          <w:i w:val="0"/>
          <w:color w:val="17324D"/>
          <w:sz w:val="20"/>
        </w:rPr>
        <w:t xml:space="preserve">Ratchet or stop. </w:t>
      </w:r>
      <w:r>
        <w:rPr>
          <w:rFonts w:ascii="Calibri" w:hAnsi="Calibri"/>
          <w:b w:val="0"/>
          <w:i w:val="0"/>
          <w:color w:val="17212B"/>
          <w:sz w:val="20"/>
        </w:rPr>
        <w:t>Advance the milestone only when its evidence threshold is met. Otherwise hold the gate and name the missing proof.</w:t>
      </w:r>
    </w:p>
    <w:p>
      <w:pPr>
        <w:pStyle w:val="Heading1"/>
        <w:keepNext/>
      </w:pPr>
      <w:r>
        <w:t>6. Prioritization rules</w:t>
      </w:r>
    </w:p>
    <w:p>
      <w:pPr>
        <w:keepLines/>
      </w:pPr>
      <w:r>
        <w:t>Rank by constraint and dependency, not excitement: protect correctness, data, security, legal posture, and live systems; clear active merge/release stop points; repair identity or coordination drift; satisfy the nearest milestone gate; remove recurring toil; then polish or add new capability.</w:t>
      </w:r>
    </w:p>
    <w:p>
      <w:pPr>
        <w:keepLines/>
        <w:spacing w:before="60" w:after="100"/>
        <w:ind w:left="173" w:right="173"/>
        <w:shd w:fill="C3F4B9"/>
      </w:pPr>
      <w:r>
        <w:rPr>
          <w:rFonts w:ascii="Calibri" w:hAnsi="Calibri"/>
          <w:b/>
          <w:i w:val="0"/>
          <w:color w:val="17324D"/>
          <w:sz w:val="20"/>
        </w:rPr>
        <w:t xml:space="preserve">Decision rule — </w:t>
      </w:r>
      <w:r>
        <w:rPr>
          <w:rFonts w:ascii="Calibri" w:hAnsi="Calibri"/>
          <w:b w:val="0"/>
          <w:i w:val="0"/>
          <w:color w:val="17212B"/>
          <w:sz w:val="20"/>
        </w:rPr>
        <w:t>Prefer the candidate that unlocks the most downstream work, has observable acceptance criteria, touches the fewest unrelated boundaries, and leaves behind reusable tests, automation, documentation, or governance.</w:t>
      </w:r>
    </w:p>
    <w:p>
      <w:pPr>
        <w:pStyle w:val="Heading1"/>
        <w:keepNext/>
      </w:pPr>
      <w:r>
        <w:t>7. Execution packet contract</w:t>
      </w:r>
    </w:p>
    <w:p>
      <w:pPr>
        <w:keepLines/>
        <w:spacing w:before="60" w:after="100"/>
        <w:ind w:left="173" w:right="173"/>
        <w:shd w:fill="C3F4B9"/>
      </w:pPr>
      <w:r>
        <w:rPr>
          <w:rFonts w:ascii="Calibri" w:hAnsi="Calibri"/>
          <w:b/>
          <w:i w:val="0"/>
          <w:color w:val="17324D"/>
          <w:sz w:val="20"/>
        </w:rPr>
        <w:t xml:space="preserve">Required handoff — </w:t>
      </w:r>
      <w:r>
        <w:rPr>
          <w:rFonts w:ascii="Calibri" w:hAnsi="Calibri"/>
          <w:b w:val="0"/>
          <w:i w:val="0"/>
          <w:color w:val="17212B"/>
          <w:sz w:val="20"/>
        </w:rPr>
        <w:t>Objective and owner; verified current state; dependencies; expected changed and unchanged paths; excluded systems; implementation plan; tests and proof artifacts; documentation and reconciliation; hard stops; blocked/skipped reporting; acceptance criteria.</w:t>
      </w:r>
    </w:p>
    <w:p>
      <w:r>
        <w:br w:type="page"/>
      </w:r>
    </w:p>
    <w:p>
      <w:pPr>
        <w:pStyle w:val="Heading1"/>
        <w:keepNext/>
      </w:pPr>
      <w:r>
        <w:t>8. Governance and mutation gates</w:t>
      </w:r>
    </w:p>
    <w:tbl>
      <w:tblPr>
        <w:tblStyle w:val="TableGrid"/>
        <w:tblW w:type="dxa" w:w="9360"/>
        <w:jc w:val="left"/>
        <w:tblLayout w:type="fixed"/>
        <w:tblLook w:firstColumn="1" w:firstRow="1" w:lastColumn="0" w:lastRow="0" w:noHBand="0" w:noVBand="1" w:val="04A0"/>
        <w:tblInd w:w="120" w:type="dxa"/>
        <w:tblBorders>
          <w:top w:val="single" w:sz="6" w:space="0" w:color="D8E0E7"/>
          <w:left w:val="single" w:sz="6" w:space="0" w:color="D8E0E7"/>
          <w:bottom w:val="single" w:sz="6" w:space="0" w:color="D8E0E7"/>
          <w:right w:val="single" w:sz="6" w:space="0" w:color="D8E0E7"/>
          <w:insideH w:val="single" w:sz="6" w:space="0" w:color="D8E0E7"/>
          <w:insideV w:val="single" w:sz="6" w:space="0" w:color="D8E0E7"/>
        </w:tblBorders>
      </w:tblPr>
      <w:tblGrid>
        <w:gridCol w:w="2050"/>
        <w:gridCol w:w="2600"/>
        <w:gridCol w:w="4710"/>
      </w:tblGrid>
      <w:tr>
        <w:trPr>
          <w:tblHeader w:val="true"/>
        </w:trPr>
        <w:tc>
          <w:tcPr>
            <w:tcW w:type="dxa" w:w="2050"/>
            <w:shd w:fill="E8EEF5"/>
            <w:tcMar>
              <w:top w:w="80" w:type="dxa"/>
              <w:start w:w="120" w:type="dxa"/>
              <w:bottom w:w="80" w:type="dxa"/>
              <w:end w:w="120" w:type="dxa"/>
            </w:tcMar>
            <w:vAlign w:val="center"/>
          </w:tcPr>
          <w:p>
            <w:pPr>
              <w:spacing w:before="0" w:after="40" w:line="240" w:lineRule="auto"/>
            </w:pPr>
            <w:r>
              <w:rPr>
                <w:rFonts w:ascii="Calibri" w:hAnsi="Calibri"/>
                <w:b/>
                <w:i w:val="0"/>
                <w:color w:val="17324D"/>
                <w:sz w:val="17"/>
              </w:rPr>
              <w:t>Boundary</w:t>
            </w:r>
          </w:p>
        </w:tc>
        <w:tc>
          <w:tcPr>
            <w:tcW w:type="dxa" w:w="2600"/>
            <w:shd w:fill="E8EEF5"/>
            <w:tcMar>
              <w:top w:w="80" w:type="dxa"/>
              <w:start w:w="120" w:type="dxa"/>
              <w:bottom w:w="80" w:type="dxa"/>
              <w:end w:w="120" w:type="dxa"/>
            </w:tcMar>
            <w:vAlign w:val="center"/>
          </w:tcPr>
          <w:p>
            <w:pPr>
              <w:spacing w:before="0" w:after="40" w:line="240" w:lineRule="auto"/>
            </w:pPr>
            <w:r>
              <w:rPr>
                <w:rFonts w:ascii="Calibri" w:hAnsi="Calibri"/>
                <w:b/>
                <w:i w:val="0"/>
                <w:color w:val="17324D"/>
                <w:sz w:val="17"/>
              </w:rPr>
              <w:t>Default posture</w:t>
            </w:r>
          </w:p>
        </w:tc>
        <w:tc>
          <w:tcPr>
            <w:tcW w:type="dxa" w:w="4710"/>
            <w:shd w:fill="E8EEF5"/>
            <w:tcMar>
              <w:top w:w="80" w:type="dxa"/>
              <w:start w:w="120" w:type="dxa"/>
              <w:bottom w:w="80" w:type="dxa"/>
              <w:end w:w="120" w:type="dxa"/>
            </w:tcMar>
            <w:vAlign w:val="center"/>
          </w:tcPr>
          <w:p>
            <w:pPr>
              <w:spacing w:before="0" w:after="40" w:line="240" w:lineRule="auto"/>
            </w:pPr>
            <w:r>
              <w:rPr>
                <w:rFonts w:ascii="Calibri" w:hAnsi="Calibri"/>
                <w:b/>
                <w:i w:val="0"/>
                <w:color w:val="17324D"/>
                <w:sz w:val="17"/>
              </w:rPr>
              <w:t>Admission evidence</w:t>
            </w:r>
          </w:p>
        </w:tc>
      </w:tr>
      <w:tr>
        <w:tc>
          <w:tcPr>
            <w:tcW w:type="dxa" w:w="205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Owner-repo code</w:t>
            </w:r>
          </w:p>
        </w:tc>
        <w:tc>
          <w:tcPr>
            <w:tcW w:type="dxa" w:w="260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Allowed only in the named packet</w:t>
            </w:r>
          </w:p>
        </w:tc>
        <w:tc>
          <w:tcPr>
            <w:tcW w:type="dxa" w:w="471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Clean identity, scope contract, tests, owner-side proof</w:t>
            </w:r>
          </w:p>
        </w:tc>
      </w:tr>
      <w:tr>
        <w:tc>
          <w:tcPr>
            <w:tcW w:type="dxa" w:w="205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Cross-repo change</w:t>
            </w:r>
          </w:p>
        </w:tc>
        <w:tc>
          <w:tcPr>
            <w:tcW w:type="dxa" w:w="260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Freeze contract first</w:t>
            </w:r>
          </w:p>
        </w:tc>
        <w:tc>
          <w:tcPr>
            <w:tcW w:type="dxa" w:w="471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Dependency order, independent commits, reconciliation plan</w:t>
            </w:r>
          </w:p>
        </w:tc>
      </w:tr>
      <w:tr>
        <w:tc>
          <w:tcPr>
            <w:tcW w:type="dxa" w:w="205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Provider / deploy</w:t>
            </w:r>
          </w:p>
        </w:tc>
        <w:tc>
          <w:tcPr>
            <w:tcW w:type="dxa" w:w="260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Stop before mutation</w:t>
            </w:r>
          </w:p>
        </w:tc>
        <w:tc>
          <w:tcPr>
            <w:tcW w:type="dxa" w:w="471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Explicit approval, pinned target, rollback and live-check plan</w:t>
            </w:r>
          </w:p>
        </w:tc>
      </w:tr>
      <w:tr>
        <w:tc>
          <w:tcPr>
            <w:tcW w:type="dxa" w:w="205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Data / migration</w:t>
            </w:r>
          </w:p>
        </w:tc>
        <w:tc>
          <w:tcPr>
            <w:tcW w:type="dxa" w:w="260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Preserve and snapshot</w:t>
            </w:r>
          </w:p>
        </w:tc>
        <w:tc>
          <w:tcPr>
            <w:tcW w:type="dxa" w:w="471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Forward/reverse plan, policy checks, real-data proof</w:t>
            </w:r>
          </w:p>
        </w:tc>
      </w:tr>
      <w:tr>
        <w:tc>
          <w:tcPr>
            <w:tcW w:type="dxa" w:w="205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Legal / human decision</w:t>
            </w:r>
          </w:p>
        </w:tc>
        <w:tc>
          <w:tcPr>
            <w:tcW w:type="dxa" w:w="260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Blocked until decided</w:t>
            </w:r>
          </w:p>
        </w:tc>
        <w:tc>
          <w:tcPr>
            <w:tcW w:type="dxa" w:w="4710"/>
            <w:tcMar>
              <w:top w:w="80" w:type="dxa"/>
              <w:start w:w="120" w:type="dxa"/>
              <w:bottom w:w="80" w:type="dxa"/>
              <w:end w:w="120" w:type="dxa"/>
            </w:tcMar>
            <w:vAlign w:val="center"/>
          </w:tcPr>
          <w:p>
            <w:pPr>
              <w:spacing w:before="0" w:after="40" w:line="240" w:lineRule="auto"/>
            </w:pPr>
            <w:r>
              <w:rPr>
                <w:rFonts w:ascii="Calibri" w:hAnsi="Calibri"/>
                <w:b w:val="0"/>
                <w:i w:val="0"/>
                <w:color w:val="17212B"/>
                <w:sz w:val="17"/>
              </w:rPr>
              <w:t>Named decision owner and recorded posture</w:t>
            </w:r>
          </w:p>
        </w:tc>
      </w:tr>
    </w:tbl>
    <w:p>
      <w:pPr>
        <w:pStyle w:val="Heading1"/>
        <w:keepNext/>
      </w:pPr>
      <w:r>
        <w:t>9. Evidence, progress, and release truth</w:t>
      </w:r>
    </w:p>
    <w:p>
      <w:pPr>
        <w:pStyle w:val="ListBullet"/>
        <w:keepLines/>
      </w:pPr>
      <w:r>
        <w:rPr>
          <w:rFonts w:ascii="Calibri" w:hAnsi="Calibri"/>
          <w:b/>
          <w:i w:val="0"/>
          <w:color w:val="17324D"/>
          <w:sz w:val="20"/>
        </w:rPr>
        <w:t xml:space="preserve">Evidence hierarchy. </w:t>
      </w:r>
      <w:r>
        <w:rPr>
          <w:rFonts w:ascii="Calibri" w:hAnsi="Calibri"/>
          <w:b w:val="0"/>
          <w:i w:val="0"/>
          <w:color w:val="17212B"/>
          <w:sz w:val="20"/>
        </w:rPr>
        <w:t>Live/runtime checks and deployment proof outrank tests; tests outrank diffs; diffs outrank receipts and canonical plans; boards and summaries are routing evidence only.</w:t>
      </w:r>
    </w:p>
    <w:p>
      <w:pPr>
        <w:pStyle w:val="ListBullet"/>
        <w:keepLines/>
      </w:pPr>
      <w:r>
        <w:rPr>
          <w:rFonts w:ascii="Calibri" w:hAnsi="Calibri"/>
          <w:b/>
          <w:i w:val="0"/>
          <w:color w:val="17324D"/>
          <w:sz w:val="20"/>
        </w:rPr>
        <w:t xml:space="preserve">Marker discipline. </w:t>
      </w:r>
      <w:r>
        <w:rPr>
          <w:rFonts w:ascii="Calibri" w:hAnsi="Calibri"/>
          <w:b w:val="0"/>
          <w:i w:val="0"/>
          <w:color w:val="17212B"/>
          <w:sz w:val="20"/>
        </w:rPr>
        <w:t>A percentage is a held evidence threshold, not a motivational estimate. Ratchet only after required receipts, tests, validation, and reconciliation exist.</w:t>
      </w:r>
    </w:p>
    <w:p>
      <w:pPr>
        <w:pStyle w:val="ListBullet"/>
        <w:keepLines/>
      </w:pPr>
      <w:r>
        <w:rPr>
          <w:rFonts w:ascii="Calibri" w:hAnsi="Calibri"/>
          <w:b/>
          <w:i w:val="0"/>
          <w:color w:val="17324D"/>
          <w:sz w:val="20"/>
        </w:rPr>
        <w:t xml:space="preserve">Completion rule. </w:t>
      </w:r>
      <w:r>
        <w:rPr>
          <w:rFonts w:ascii="Calibri" w:hAnsi="Calibri"/>
          <w:b w:val="0"/>
          <w:i w:val="0"/>
          <w:color w:val="17212B"/>
          <w:sz w:val="20"/>
        </w:rPr>
        <w:t>Card creation, ideation, documentation, and partial fixtures do not prove product behavior. State what was not run and what remains unverified.</w:t>
      </w:r>
    </w:p>
    <w:p>
      <w:pPr>
        <w:pStyle w:val="ListBullet"/>
        <w:keepLines/>
      </w:pPr>
      <w:r>
        <w:rPr>
          <w:rFonts w:ascii="Calibri" w:hAnsi="Calibri"/>
          <w:b/>
          <w:i w:val="0"/>
          <w:color w:val="17324D"/>
          <w:sz w:val="20"/>
        </w:rPr>
        <w:t xml:space="preserve">Release gate. </w:t>
      </w:r>
      <w:r>
        <w:rPr>
          <w:rFonts w:ascii="Calibri" w:hAnsi="Calibri"/>
          <w:b w:val="0"/>
          <w:i w:val="0"/>
          <w:color w:val="17212B"/>
          <w:sz w:val="20"/>
        </w:rPr>
        <w:t>Finish the current integration or release checkpoint before opening a new owner-repository lane. Do not enlarge oversized PRs.</w:t>
      </w:r>
    </w:p>
    <w:p>
      <w:pPr>
        <w:pStyle w:val="Heading1"/>
        <w:keepNext/>
      </w:pPr>
      <w:r>
        <w:t>10. Knowledge capture system</w:t>
      </w:r>
    </w:p>
    <w:p>
      <w:pPr>
        <w:keepLines/>
      </w:pPr>
      <w:r>
        <w:t>Every completed packet should yield durable knowledge. Classify discoveries so they can be searched, reused, tested, and promoted into automation.</w:t>
      </w:r>
    </w:p>
    <w:p>
      <w:pPr>
        <w:pStyle w:val="ListBullet"/>
        <w:keepLines/>
      </w:pPr>
      <w:r>
        <w:rPr>
          <w:rFonts w:ascii="Calibri" w:hAnsi="Calibri"/>
          <w:b/>
          <w:i w:val="0"/>
          <w:color w:val="17324D"/>
          <w:sz w:val="20"/>
        </w:rPr>
        <w:t xml:space="preserve">Rule — </w:t>
      </w:r>
      <w:r>
        <w:rPr>
          <w:rFonts w:ascii="Calibri" w:hAnsi="Calibri"/>
          <w:b w:val="0"/>
          <w:i w:val="0"/>
          <w:color w:val="17212B"/>
          <w:sz w:val="20"/>
        </w:rPr>
        <w:t>a mandatory invariant or boundary.</w:t>
      </w:r>
    </w:p>
    <w:p>
      <w:pPr>
        <w:pStyle w:val="ListBullet"/>
        <w:keepLines/>
      </w:pPr>
      <w:r>
        <w:rPr>
          <w:rFonts w:ascii="Calibri" w:hAnsi="Calibri"/>
          <w:b/>
          <w:i w:val="0"/>
          <w:color w:val="17324D"/>
          <w:sz w:val="20"/>
        </w:rPr>
        <w:t xml:space="preserve">Pattern — </w:t>
      </w:r>
      <w:r>
        <w:rPr>
          <w:rFonts w:ascii="Calibri" w:hAnsi="Calibri"/>
          <w:b w:val="0"/>
          <w:i w:val="0"/>
          <w:color w:val="17212B"/>
          <w:sz w:val="20"/>
        </w:rPr>
        <w:t>a repeatable successful sequence or architecture.</w:t>
      </w:r>
    </w:p>
    <w:p>
      <w:pPr>
        <w:pStyle w:val="ListBullet"/>
        <w:keepLines/>
      </w:pPr>
      <w:r>
        <w:rPr>
          <w:rFonts w:ascii="Calibri" w:hAnsi="Calibri"/>
          <w:b/>
          <w:i w:val="0"/>
          <w:color w:val="17324D"/>
          <w:sz w:val="20"/>
        </w:rPr>
        <w:t xml:space="preserve">Failure Mode — </w:t>
      </w:r>
      <w:r>
        <w:rPr>
          <w:rFonts w:ascii="Calibri" w:hAnsi="Calibri"/>
          <w:b w:val="0"/>
          <w:i w:val="0"/>
          <w:color w:val="17212B"/>
          <w:sz w:val="20"/>
        </w:rPr>
        <w:t>a recurring way truth, safety, or delivery degrades.</w:t>
      </w:r>
    </w:p>
    <w:p>
      <w:pPr>
        <w:pStyle w:val="ListBullet"/>
        <w:keepLines/>
      </w:pPr>
      <w:r>
        <w:rPr>
          <w:rFonts w:ascii="Calibri" w:hAnsi="Calibri"/>
          <w:b/>
          <w:i w:val="0"/>
          <w:color w:val="17324D"/>
          <w:sz w:val="20"/>
        </w:rPr>
        <w:t xml:space="preserve">Decision — </w:t>
      </w:r>
      <w:r>
        <w:rPr>
          <w:rFonts w:ascii="Calibri" w:hAnsi="Calibri"/>
          <w:b w:val="0"/>
          <w:i w:val="0"/>
          <w:color w:val="17212B"/>
          <w:sz w:val="20"/>
        </w:rPr>
        <w:t>a chosen tradeoff with rationale and revisit conditions.</w:t>
      </w:r>
    </w:p>
    <w:p>
      <w:pPr>
        <w:keepLines/>
        <w:spacing w:before="60" w:after="100"/>
        <w:ind w:left="173" w:right="173"/>
        <w:shd w:fill="C3F4B9"/>
      </w:pPr>
      <w:r>
        <w:rPr>
          <w:rFonts w:ascii="Calibri" w:hAnsi="Calibri"/>
          <w:b/>
          <w:i w:val="0"/>
          <w:color w:val="17324D"/>
          <w:sz w:val="20"/>
        </w:rPr>
        <w:t xml:space="preserve">Compounding loop — </w:t>
      </w:r>
      <w:r>
        <w:rPr>
          <w:rFonts w:ascii="Calibri" w:hAnsi="Calibri"/>
          <w:b w:val="0"/>
          <w:i w:val="0"/>
          <w:color w:val="17212B"/>
          <w:sz w:val="20"/>
        </w:rPr>
        <w:t>Card → reviewed packet → diff → proof → completion review → roadmap reconciliation → doctrine → automated guardrail.</w:t>
      </w:r>
    </w:p>
    <w:p>
      <w:pPr>
        <w:pStyle w:val="Heading1"/>
        <w:keepNext/>
      </w:pPr>
      <w:r>
        <w:t>11. Expansion and maintenance contract</w:t>
      </w:r>
    </w:p>
    <w:p>
      <w:pPr>
        <w:pStyle w:val="ListBullet"/>
        <w:keepLines/>
      </w:pPr>
      <w:r>
        <w:rPr>
          <w:rFonts w:ascii="Calibri" w:hAnsi="Calibri"/>
          <w:b/>
          <w:i w:val="0"/>
          <w:color w:val="17324D"/>
          <w:sz w:val="20"/>
        </w:rPr>
        <w:t xml:space="preserve">Add doctrine only after evidence. </w:t>
      </w:r>
      <w:r>
        <w:rPr>
          <w:rFonts w:ascii="Calibri" w:hAnsi="Calibri"/>
          <w:b w:val="0"/>
          <w:i w:val="0"/>
          <w:color w:val="17212B"/>
          <w:sz w:val="20"/>
        </w:rPr>
        <w:t>Link the originating packet, failure, test, or decision; avoid promoting a one-off preference into a global rule.</w:t>
      </w:r>
    </w:p>
    <w:p>
      <w:pPr>
        <w:pStyle w:val="ListBullet"/>
        <w:keepLines/>
      </w:pPr>
      <w:r>
        <w:rPr>
          <w:rFonts w:ascii="Calibri" w:hAnsi="Calibri"/>
          <w:b/>
          <w:i w:val="0"/>
          <w:color w:val="17324D"/>
          <w:sz w:val="20"/>
        </w:rPr>
        <w:t xml:space="preserve">Keep layers separate. </w:t>
      </w:r>
      <w:r>
        <w:rPr>
          <w:rFonts w:ascii="Calibri" w:hAnsi="Calibri"/>
          <w:b w:val="0"/>
          <w:i w:val="0"/>
          <w:color w:val="17212B"/>
          <w:sz w:val="20"/>
        </w:rPr>
        <w:t>Place universal doctrine here; repository-specific instructions in owner docs; executable templates and prompts in Playbook; live status in boards and receipts.</w:t>
      </w:r>
    </w:p>
    <w:p>
      <w:pPr>
        <w:pStyle w:val="ListBullet"/>
        <w:keepLines/>
      </w:pPr>
      <w:r>
        <w:rPr>
          <w:rFonts w:ascii="Calibri" w:hAnsi="Calibri"/>
          <w:b/>
          <w:i w:val="0"/>
          <w:color w:val="17324D"/>
          <w:sz w:val="20"/>
        </w:rPr>
        <w:t xml:space="preserve">Use stable entry fields. </w:t>
      </w:r>
      <w:r>
        <w:rPr>
          <w:rFonts w:ascii="Calibri" w:hAnsi="Calibri"/>
          <w:b w:val="0"/>
          <w:i w:val="0"/>
          <w:color w:val="17212B"/>
          <w:sz w:val="20"/>
        </w:rPr>
        <w:t>ID, category, statement, rationale, scope, evidence, enforcement, exceptions, owner, verification date, and supersession links.</w:t>
      </w:r>
    </w:p>
    <w:p>
      <w:pPr>
        <w:pStyle w:val="ListBullet"/>
        <w:keepLines/>
      </w:pPr>
      <w:r>
        <w:rPr>
          <w:rFonts w:ascii="Calibri" w:hAnsi="Calibri"/>
          <w:b/>
          <w:i w:val="0"/>
          <w:color w:val="17324D"/>
          <w:sz w:val="20"/>
        </w:rPr>
        <w:t xml:space="preserve">Review by trigger. </w:t>
      </w:r>
      <w:r>
        <w:rPr>
          <w:rFonts w:ascii="Calibri" w:hAnsi="Calibri"/>
          <w:b w:val="0"/>
          <w:i w:val="0"/>
          <w:color w:val="17212B"/>
          <w:sz w:val="20"/>
        </w:rPr>
        <w:t>Revisit doctrine after incidents, migrations, new repositories, provider changes, recurring friction, or architecture-boundary changes—not on an arbitrary rewrite cadence.</w:t>
      </w:r>
    </w:p>
    <w:p>
      <w:pPr>
        <w:pStyle w:val="ListBullet"/>
        <w:keepLines/>
      </w:pPr>
      <w:r>
        <w:rPr>
          <w:rFonts w:ascii="Calibri" w:hAnsi="Calibri"/>
          <w:b/>
          <w:i w:val="0"/>
          <w:color w:val="17324D"/>
          <w:sz w:val="20"/>
        </w:rPr>
        <w:t xml:space="preserve">Deprecate explicitly. </w:t>
      </w:r>
      <w:r>
        <w:rPr>
          <w:rFonts w:ascii="Calibri" w:hAnsi="Calibri"/>
          <w:b w:val="0"/>
          <w:i w:val="0"/>
          <w:color w:val="17212B"/>
          <w:sz w:val="20"/>
        </w:rPr>
        <w:t>Never silently delete guidance. Preserve history and point to its replacement.</w:t>
      </w:r>
    </w:p>
    <w:sectPr w:rsidR="00FC693F" w:rsidRPr="0006063C" w:rsidSect="00034616">
      <w:headerReference w:type="default" r:id="rId9"/>
      <w:footerReference w:type="default" r:id="rId10"/>
      <w:pgSz w:w="12240" w:h="15840"/>
      <w:pgMar w:top="792" w:right="1440" w:bottom="792" w:left="144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B78"/>
        <w:sz w:val="17"/>
      </w:rPr>
      <w:t xml:space="preserve">Page </w:t>
    </w:r>
    <w:fldSimple w:instr="PAGE"/>
    <w:r>
      <w:rPr>
        <w:rFonts w:ascii="Calibri" w:hAnsi="Calibri"/>
        <w:b w:val="0"/>
        <w:i w:val="0"/>
        <w:color w:val="5E6B7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E6B78"/>
        <w:sz w:val="17"/>
      </w:rPr>
      <w:t>ATLAS ENGINEERING PLAYBOOK  •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7">
    <w:multiLevelType w:val="singleLevel"/>
    <w:lvl w:ilvl="0">
      <w:start w:val="1"/>
      <w:numFmt w:val="decimal"/>
      <w:lvlText w:val="%1."/>
      <w:lvlJc w:val="left"/>
      <w:pPr>
        <w:tabs>
          <w:tab w:val="num" w:pos="540"/>
        </w:tabs>
        <w:ind w:left="540" w:hanging="270"/>
      </w:pPr>
    </w:lvl>
  </w:abstract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Calibri" w:hAnsi="Calibri"/>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540" w:hanging="271"/>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Engineering Playbook</dc:title>
  <dc:subject>Foundational architecture, repository, workflow, governance, and best-practice doctrine</dc:subject>
  <dc:creator>Zachariah Redfield</dc:creator>
  <cp:keywords>ATLAS, Playbook, architecture, repositories, governance, engineering workflow</cp:keywords>
  <dc:description>generated by python-docx</dc:description>
  <cp:lastModifiedBy/>
  <cp:revision>1</cp:revision>
  <dcterms:created xsi:type="dcterms:W3CDTF">2013-12-23T23:15:00Z</dcterms:created>
  <dcterms:modified xsi:type="dcterms:W3CDTF">2013-12-23T23:15:00Z</dcterms:modified>
  <cp:category/>
</cp:coreProperties>
</file>