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after="274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t>caqui:Fruta anaranjada dulce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chirimoya:Fruta verde con pulpa blanca cremosa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nectarina:Similar al melocot</w:t>
      </w:r>
      <w:r>
        <w:rPr>
          <w:rFonts w:ascii="Helvetica" w:hAnsi="Helvetica" w:hint="default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ó</w:t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n pero sin pelusa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404040"/>
            </w14:solidFill>
          </w14:textFill>
        </w:rPr>
        <w:t>aguacate:Fruta verde usada para guacamole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ciruela:Fruta morada o amarilla, a veces seca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t>mandarina:C</w:t>
      </w:r>
      <w:r>
        <w:rPr>
          <w:rFonts w:ascii="Helvetica" w:hAnsi="Helvetica" w:hint="default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t>í</w:t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404040"/>
            </w14:solidFill>
          </w14:textFill>
        </w:rPr>
        <w:t>trico f</w:t>
      </w:r>
      <w:r>
        <w:rPr>
          <w:rFonts w:ascii="Helvetica" w:hAnsi="Helvetica" w:hint="default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t>á</w:t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404040"/>
            </w14:solidFill>
          </w14:textFill>
        </w:rPr>
        <w:t>cil de pelar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404040"/>
            </w14:solidFill>
          </w14:textFill>
        </w:rPr>
        <w:t>pomelo:C</w:t>
      </w:r>
      <w:r>
        <w:rPr>
          <w:rFonts w:ascii="Helvetica" w:hAnsi="Helvetica" w:hint="default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t>í</w:t>
      </w:r>
      <w:r>
        <w:rPr>
          <w:rFonts w:ascii="Helvetica" w:hAnsi="Helvetica"/>
          <w:outline w:val="0"/>
          <w:color w:val="40404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404040"/>
            </w14:solidFill>
          </w14:textFill>
        </w:rPr>
        <w:t>trico grande y ligeramente amargo</w:t>
      </w:r>
      <w:r>
        <w:rPr>
          <w:rFonts w:ascii="Helvetica" w:cs="Helvetica" w:hAnsi="Helvetica" w:eastAsia="Helvetica"/>
          <w:outline w:val="0"/>
          <w:color w:val="404040"/>
          <w:sz w:val="32"/>
          <w:szCs w:val="32"/>
          <w:shd w:val="clear" w:color="auto" w:fill="ffffff"/>
          <w:rtl w:val="0"/>
          <w14:textFill>
            <w14:solidFill>
              <w14:srgbClr w14:val="404040"/>
            </w14:solidFill>
          </w14:textFill>
        </w:rPr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