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Integrated Management System Manual (ISMS + AIMS)</w:t>
      </w:r>
    </w:p>
    <w:p>
      <w:r>
        <w:rPr>
          <w:color w:val="595959"/>
          <w:sz w:val="23"/>
        </w:rPr>
        <w:t>The map of Quillfen Studio's integrated management system. It walks through Clauses 4 to 10 once and shows, for each clause, how a single process meets both ISO/IEC 27001 and ISO/IEC 42001, and where the evidence lives.</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IMS-MAN-001</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[CEO]</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01 Ground - Context and Leadership</w:t>
            </w:r>
          </w:p>
        </w:tc>
      </w:tr>
      <w:tr>
        <w:tc>
          <w:tcPr>
            <w:tcW w:type="dxa" w:w="2835"/>
            <w:shd w:val="clear" w:color="auto" w:fill="EEF2F7"/>
          </w:tcPr>
          <w:p>
            <w:r/>
            <w:r>
              <w:rPr>
                <w:b/>
                <w:sz w:val="19"/>
              </w:rPr>
              <w:t>ISO/IEC 27001:2022</w:t>
            </w:r>
          </w:p>
        </w:tc>
        <w:tc>
          <w:tcPr>
            <w:tcW w:type="dxa" w:w="6520"/>
          </w:tcPr>
          <w:p>
            <w:r/>
            <w:r>
              <w:rPr>
                <w:sz w:val="19"/>
              </w:rPr>
              <w:t>4.1–4.4, 5.1–5.3, 6.1–6.3, 7.1–7.5, 8.1–8.3, 9.1–9.3, 10.1–10.2; Annex A via IMS-SOA-001</w:t>
            </w:r>
          </w:p>
        </w:tc>
      </w:tr>
      <w:tr>
        <w:tc>
          <w:tcPr>
            <w:tcW w:type="dxa" w:w="2835"/>
            <w:shd w:val="clear" w:color="auto" w:fill="EEF2F7"/>
          </w:tcPr>
          <w:p>
            <w:r/>
            <w:r>
              <w:rPr>
                <w:b/>
                <w:sz w:val="19"/>
              </w:rPr>
              <w:t>ISO/IEC 42001:2023</w:t>
            </w:r>
          </w:p>
        </w:tc>
        <w:tc>
          <w:tcPr>
            <w:tcW w:type="dxa" w:w="6520"/>
          </w:tcPr>
          <w:p>
            <w:r/>
            <w:r>
              <w:rPr>
                <w:sz w:val="19"/>
              </w:rPr>
              <w:t>4.1–4.4, 5.1–5.3, 6.1–6.3, 7.1–7.5, 8.1–8.4, 9.1–9.3, 10.1–10.2; Annex A via IMS-SOA-002</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The manual is not a mandatory document in either standard, but it is the fastest way to show an auditor how the system hangs together. Keep it as a map: point to other documents rather than repeating them.</w:t>
            </w:r>
          </w:p>
          <w:p>
            <w:pPr>
              <w:spacing w:after="60"/>
            </w:pPr>
            <w:r>
              <w:rPr>
                <w:sz w:val="20"/>
              </w:rPr>
              <w:t>•  Section 2 (scope statement) and section 3 (AI roles) must match the register IMS-REG-001 exactly. Change them together.</w:t>
            </w:r>
          </w:p>
          <w:p>
            <w:pPr>
              <w:spacing w:after="60"/>
            </w:pPr>
            <w:r>
              <w:rPr>
                <w:sz w:val="20"/>
              </w:rPr>
              <w:t>•  Rewrite the 'How we meet both' column in your own words. An auditor will test whether it is true.</w:t>
            </w:r>
          </w:p>
        </w:tc>
      </w:tr>
    </w:tbl>
    <w:p/>
    <w:p>
      <w:r>
        <w:br w:type="page"/>
      </w:r>
    </w:p>
    <w:p>
      <w:pPr>
        <w:pStyle w:val="Heading1"/>
      </w:pPr>
      <w:r>
        <w:t>1. Purpose and how to read this manual</w:t>
      </w:r>
    </w:p>
    <w:p>
      <w:r>
        <w:rPr/>
        <w:t>This manual describes the integrated management system (IMS) of Quillfen Studio. The IMS is our information security management system (ISMS) under ISO/IEC 27001:2022 and our AI management system (AIMS) under ISO/IEC 42001:2023, run as one system under the TWYNTRUST framework. We have one context, one leadership team, one risk process, one internal audit and one management review. Each standard's Annex A controls are attached where they belong.</w:t>
      </w:r>
    </w:p>
    <w:p>
      <w:r>
        <w:rPr/>
        <w:t>For every clause the manual gives a short explanation, a table showing how we meet both standards and the documents that hold the detail and the evidence. It is written for three readers: new staff who want the big picture, leaders who are accountable for the system, and auditors.</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Both standards share the same ten-clause structure. Clauses 4 to 10 contain the requirements and none of them can be excluded. Each standard also has an Annex A of reference controls; an organisation decides which controls it needs through risk treatment and justifies the decision in a Statement of Applicability.</w:t>
            </w:r>
          </w:p>
        </w:tc>
      </w:tr>
    </w:tbl>
    <w:p/>
    <w:p>
      <w:pPr>
        <w:pStyle w:val="Heading1"/>
      </w:pPr>
      <w:r>
        <w:t>2. About Quillfen Studio and the scope of the IMS</w:t>
      </w:r>
    </w:p>
    <w:p>
      <w:r>
        <w:rPr/>
        <w:t>Quillfen Studio (Quillfen Studio FZ-LLC) is a creative technology — ai-assisted illustration, storyboarding and an artist marketplace company headquartered in Dubai, United Arab Emirates, with 34 employees and about 10 freelance contractors. Founded 2024; seed-funded; first enterprise customers in 2026. Our mission: Help small studios and independent creators turn ideas into finished visual stories faster — with AI that respects artists, their rights and their audiences.</w:t>
      </w:r>
    </w:p>
    <w:p>
      <w:pPr>
        <w:pStyle w:val="ListBullet"/>
        <w:spacing w:after="60"/>
      </w:pPr>
      <w:r>
        <w:rPr/>
        <w:t>Quillfen Canvas — web app where writers, publishers, game studios and agencies turn scripts into storyboards and concept art, then refine them with human artists</w:t>
      </w:r>
    </w:p>
    <w:p>
      <w:pPr>
        <w:pStyle w:val="ListBullet"/>
        <w:spacing w:after="60"/>
      </w:pPr>
      <w:r>
        <w:rPr/>
        <w:t>Quillfen Commons — marketplace where vetted freelance artists accept paid commissions</w:t>
      </w:r>
    </w:p>
    <w:p>
      <w:pPr>
        <w:pStyle w:val="ListBullet"/>
        <w:spacing w:after="60"/>
      </w:pPr>
      <w:r>
        <w:rPr/>
        <w:t>Quillfen API — enterprise API for agencies that embed storyboard generation in their own tools</w:t>
      </w:r>
    </w:p>
    <w:p>
      <w:r>
        <w:rPr/>
        <w:t>Where we work:</w:t>
      </w:r>
    </w:p>
    <w:p>
      <w:pPr>
        <w:pStyle w:val="ListBullet"/>
        <w:spacing w:after="60"/>
      </w:pPr>
      <w:r>
        <w:rPr/>
        <w:t>Dubai, UAE — small head office (leadership, product, creative team)</w:t>
      </w:r>
    </w:p>
    <w:p>
      <w:pPr>
        <w:pStyle w:val="ListBullet"/>
        <w:spacing w:after="60"/>
      </w:pPr>
      <w:r>
        <w:rPr/>
        <w:t>Fully remote team in Egypt, Jordan, Portugal and the UK</w:t>
      </w:r>
    </w:p>
    <w:p>
      <w:pPr>
        <w:pStyle w:val="ListBullet"/>
        <w:spacing w:after="60"/>
      </w:pPr>
      <w:r>
        <w:rPr/>
        <w:t>No data centre of our own: everything runs in the cloud and on company laptops</w:t>
      </w:r>
    </w:p>
    <w:p>
      <w:pPr>
        <w:pStyle w:val="Heading2"/>
      </w:pPr>
      <w:r>
        <w:t>2.1 Scope statement</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Scope statement (as it will appear on both certificates)</w:t>
            </w:r>
          </w:p>
          <w:p>
            <w:pPr>
              <w:spacing w:after="60"/>
            </w:pPr>
            <w:r>
              <w:rPr>
                <w:sz w:val="20"/>
              </w:rPr>
              <w:t>•  The integrated information security and AI management system of Quillfen Studio FZ-LLC covering the design, development, operation and support of the Quillfen Canvas web application, the Quillfen Commons artist marketplace and the Quillfen API, including the AI systems StoryFrame, ScriptMate, ArtistMatch, SafeFrame, CodeAssist, in the roles of AI provider, AI producer and AI user as defined per system, delivered from the Dubai head office and by remote staff, on cloud infrastructure, in accordance with the Statements of Applicability IMS-SOA-001 and IMS-SOA-002 (current versions).</w:t>
            </w:r>
          </w:p>
        </w:tc>
      </w:tr>
    </w:tbl>
    <w:p/>
    <w:p>
      <w:r>
        <w:rPr>
          <w:b/>
        </w:rPr>
        <w:t>Boundaries.</w:t>
      </w:r>
      <w:r>
        <w:rPr/>
        <w:t xml:space="preserve"> In scope: all staff and contractors, company laptops, our AWS accounts, GitHub, the identity provider and the SaaS tools that hold in-scope information. Out of scope: the physical security of supplier data centres and the internal operation of our suppliers' AI models, which we manage as supplier relationships rather than run ourselves. The full in/out list, with justifications, interfaces and dependencies, is in IMS-REG-001 Context, Interested Parties and Scope Register (sheet 'Scope &amp; Boundaries').</w:t>
      </w:r>
    </w:p>
    <w:p>
      <w:r>
        <w:rPr>
          <w:b/>
        </w:rPr>
        <w:t>Technology at a glance.</w:t>
      </w:r>
      <w:r>
        <w:rPr/>
        <w:t xml:space="preserve"> Cloud: AWS — eu-west-1 (Ireland) primary; me-central-1 (UAE) for UAE enterprise customers who require it. Identity: Single sign-on with phishing-resistant MFA (passkeys / security keys) for all staff and contractors. Devices: Company-managed laptops with disk encryption, EDR and automatic patching. Development: GitHub, trunk-based development, CI/CD with mandatory code review, SAST, dependency and secret scanning, infrastructure as code. Payments: Card payments handled entirely by a PCI DSS-certified payment processor (we never store card data).</w:t>
      </w:r>
    </w:p>
    <w:p>
      <w:pPr>
        <w:pStyle w:val="Heading1"/>
      </w:pPr>
      <w:r>
        <w:t>3. Our role for each AI system</w:t>
      </w:r>
    </w:p>
    <w:p>
      <w:r>
        <w:rPr/>
        <w:t xml:space="preserve">ISO/IEC 42001 asks us to know our role for each AI system, because the role decides which requirements and controls matter most. We use the role terms of ISO/IEC 22989: an </w:t>
      </w:r>
      <w:r>
        <w:rPr>
          <w:b/>
        </w:rPr>
        <w:t>AI provider</w:t>
      </w:r>
      <w:r>
        <w:rPr/>
        <w:t xml:space="preserve"> makes an AI system available to others; an </w:t>
      </w:r>
      <w:r>
        <w:rPr>
          <w:b/>
        </w:rPr>
        <w:t>AI producer</w:t>
      </w:r>
      <w:r>
        <w:rPr/>
        <w:t xml:space="preserve"> designs, develops or trains it; an </w:t>
      </w:r>
      <w:r>
        <w:rPr>
          <w:b/>
        </w:rPr>
        <w:t>AI customer / user</w:t>
      </w:r>
      <w:r>
        <w:rPr/>
        <w:t xml:space="preserve"> uses a system someone else provides. One organisation can hold several roles for the same system.</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247"/>
            <w:shd w:val="clear" w:color="auto" w:fill="142B4C"/>
          </w:tcPr>
          <w:p>
            <w:r/>
            <w:r>
              <w:rPr>
                <w:b/>
                <w:color w:val="FFFFFF"/>
                <w:sz w:val="19"/>
              </w:rPr>
              <w:t>ID</w:t>
            </w:r>
          </w:p>
        </w:tc>
        <w:tc>
          <w:tcPr>
            <w:tcW w:type="dxa" w:w="1247"/>
            <w:shd w:val="clear" w:color="auto" w:fill="142B4C"/>
          </w:tcPr>
          <w:p>
            <w:r/>
            <w:r>
              <w:rPr>
                <w:b/>
                <w:color w:val="FFFFFF"/>
                <w:sz w:val="19"/>
              </w:rPr>
              <w:t>System</w:t>
            </w:r>
          </w:p>
        </w:tc>
        <w:tc>
          <w:tcPr>
            <w:tcW w:type="dxa" w:w="2494"/>
            <w:shd w:val="clear" w:color="auto" w:fill="142B4C"/>
          </w:tcPr>
          <w:p>
            <w:r/>
            <w:r>
              <w:rPr>
                <w:b/>
                <w:color w:val="FFFFFF"/>
                <w:sz w:val="19"/>
              </w:rPr>
              <w:t>Our role</w:t>
            </w:r>
          </w:p>
        </w:tc>
        <w:tc>
          <w:tcPr>
            <w:tcW w:type="dxa" w:w="2154"/>
            <w:shd w:val="clear" w:color="auto" w:fill="142B4C"/>
          </w:tcPr>
          <w:p>
            <w:r/>
            <w:r>
              <w:rPr>
                <w:b/>
                <w:color w:val="FFFFFF"/>
                <w:sz w:val="19"/>
              </w:rPr>
              <w:t>Who uses it / who is affected</w:t>
            </w:r>
          </w:p>
        </w:tc>
        <w:tc>
          <w:tcPr>
            <w:tcW w:type="dxa" w:w="2268"/>
            <w:shd w:val="clear" w:color="auto" w:fill="142B4C"/>
          </w:tcPr>
          <w:p>
            <w:r/>
            <w:r>
              <w:rPr>
                <w:b/>
                <w:color w:val="FFFFFF"/>
                <w:sz w:val="19"/>
              </w:rPr>
              <w:t>Criticality</w:t>
            </w:r>
          </w:p>
        </w:tc>
      </w:tr>
      <w:tr>
        <w:tc>
          <w:tcPr>
            <w:tcW w:type="dxa" w:w="1247"/>
          </w:tcPr>
          <w:p>
            <w:pPr>
              <w:spacing w:after="40"/>
            </w:pPr>
            <w:r/>
            <w:r>
              <w:rPr>
                <w:sz w:val="19"/>
              </w:rPr>
              <w:t>AI-SYS-001</w:t>
            </w:r>
          </w:p>
        </w:tc>
        <w:tc>
          <w:tcPr>
            <w:tcW w:type="dxa" w:w="1247"/>
          </w:tcPr>
          <w:p>
            <w:pPr>
              <w:spacing w:after="40"/>
            </w:pPr>
            <w:r/>
            <w:r>
              <w:rPr>
                <w:sz w:val="19"/>
              </w:rPr>
              <w:t>StoryFrame</w:t>
            </w:r>
          </w:p>
        </w:tc>
        <w:tc>
          <w:tcPr>
            <w:tcW w:type="dxa" w:w="2494"/>
          </w:tcPr>
          <w:p>
            <w:pPr>
              <w:spacing w:after="40"/>
            </w:pPr>
            <w:r/>
            <w:r>
              <w:rPr>
                <w:sz w:val="19"/>
              </w:rPr>
              <w:t>AI provider and AI producer (we fine-tune, integrate and operate it)</w:t>
            </w:r>
          </w:p>
        </w:tc>
        <w:tc>
          <w:tcPr>
            <w:tcW w:type="dxa" w:w="2154"/>
          </w:tcPr>
          <w:p>
            <w:pPr>
              <w:spacing w:after="40"/>
            </w:pPr>
            <w:r/>
            <w:r>
              <w:rPr>
                <w:sz w:val="19"/>
              </w:rPr>
              <w:t>Canvas and API customers</w:t>
            </w:r>
          </w:p>
        </w:tc>
        <w:tc>
          <w:tcPr>
            <w:tcW w:type="dxa" w:w="2268"/>
          </w:tcPr>
          <w:p>
            <w:pPr>
              <w:spacing w:after="40"/>
            </w:pPr>
            <w:r/>
            <w:r>
              <w:rPr>
                <w:sz w:val="19"/>
              </w:rPr>
              <w:t>High — copyright and consent, harmful or deceptive imagery, likeness of real people</w:t>
            </w:r>
          </w:p>
        </w:tc>
      </w:tr>
      <w:tr>
        <w:tc>
          <w:tcPr>
            <w:tcW w:type="dxa" w:w="1247"/>
            <w:shd w:val="clear" w:color="auto" w:fill="F5F7FA"/>
          </w:tcPr>
          <w:p>
            <w:pPr>
              <w:spacing w:after="40"/>
            </w:pPr>
            <w:r/>
            <w:r>
              <w:rPr>
                <w:sz w:val="19"/>
              </w:rPr>
              <w:t>AI-SYS-002</w:t>
            </w:r>
          </w:p>
        </w:tc>
        <w:tc>
          <w:tcPr>
            <w:tcW w:type="dxa" w:w="1247"/>
            <w:shd w:val="clear" w:color="auto" w:fill="F5F7FA"/>
          </w:tcPr>
          <w:p>
            <w:pPr>
              <w:spacing w:after="40"/>
            </w:pPr>
            <w:r/>
            <w:r>
              <w:rPr>
                <w:sz w:val="19"/>
              </w:rPr>
              <w:t>ScriptMate</w:t>
            </w:r>
          </w:p>
        </w:tc>
        <w:tc>
          <w:tcPr>
            <w:tcW w:type="dxa" w:w="2494"/>
            <w:shd w:val="clear" w:color="auto" w:fill="F5F7FA"/>
          </w:tcPr>
          <w:p>
            <w:pPr>
              <w:spacing w:after="40"/>
            </w:pPr>
            <w:r/>
            <w:r>
              <w:rPr>
                <w:sz w:val="19"/>
              </w:rPr>
              <w:t>AI provider (we integrate and offer it); the model itself is a supplier's</w:t>
            </w:r>
          </w:p>
        </w:tc>
        <w:tc>
          <w:tcPr>
            <w:tcW w:type="dxa" w:w="2154"/>
            <w:shd w:val="clear" w:color="auto" w:fill="F5F7FA"/>
          </w:tcPr>
          <w:p>
            <w:pPr>
              <w:spacing w:after="40"/>
            </w:pPr>
            <w:r/>
            <w:r>
              <w:rPr>
                <w:sz w:val="19"/>
              </w:rPr>
              <w:t>Canvas customers</w:t>
            </w:r>
          </w:p>
        </w:tc>
        <w:tc>
          <w:tcPr>
            <w:tcW w:type="dxa" w:w="2268"/>
            <w:shd w:val="clear" w:color="auto" w:fill="F5F7FA"/>
          </w:tcPr>
          <w:p>
            <w:pPr>
              <w:spacing w:after="40"/>
            </w:pPr>
            <w:r/>
            <w:r>
              <w:rPr>
                <w:sz w:val="19"/>
              </w:rPr>
              <w:t>Medium — confidentiality of unreleased scripts, hallucinated content</w:t>
            </w:r>
          </w:p>
        </w:tc>
      </w:tr>
      <w:tr>
        <w:tc>
          <w:tcPr>
            <w:tcW w:type="dxa" w:w="1247"/>
          </w:tcPr>
          <w:p>
            <w:pPr>
              <w:spacing w:after="40"/>
            </w:pPr>
            <w:r/>
            <w:r>
              <w:rPr>
                <w:sz w:val="19"/>
              </w:rPr>
              <w:t>AI-SYS-003</w:t>
            </w:r>
          </w:p>
        </w:tc>
        <w:tc>
          <w:tcPr>
            <w:tcW w:type="dxa" w:w="1247"/>
          </w:tcPr>
          <w:p>
            <w:pPr>
              <w:spacing w:after="40"/>
            </w:pPr>
            <w:r/>
            <w:r>
              <w:rPr>
                <w:sz w:val="19"/>
              </w:rPr>
              <w:t>ArtistMatch</w:t>
            </w:r>
          </w:p>
        </w:tc>
        <w:tc>
          <w:tcPr>
            <w:tcW w:type="dxa" w:w="2494"/>
          </w:tcPr>
          <w:p>
            <w:pPr>
              <w:spacing w:after="40"/>
            </w:pPr>
            <w:r/>
            <w:r>
              <w:rPr>
                <w:sz w:val="19"/>
              </w:rPr>
              <w:t>AI provider and AI producer</w:t>
            </w:r>
          </w:p>
        </w:tc>
        <w:tc>
          <w:tcPr>
            <w:tcW w:type="dxa" w:w="2154"/>
          </w:tcPr>
          <w:p>
            <w:pPr>
              <w:spacing w:after="40"/>
            </w:pPr>
            <w:r/>
            <w:r>
              <w:rPr>
                <w:sz w:val="19"/>
              </w:rPr>
              <w:t>Customers commissioning artists; affects artists' income</w:t>
            </w:r>
          </w:p>
        </w:tc>
        <w:tc>
          <w:tcPr>
            <w:tcW w:type="dxa" w:w="2268"/>
          </w:tcPr>
          <w:p>
            <w:pPr>
              <w:spacing w:after="40"/>
            </w:pPr>
            <w:r/>
            <w:r>
              <w:rPr>
                <w:sz w:val="19"/>
              </w:rPr>
              <w:t>High — fairness to artists (visibility and earnings), transparency of ranking</w:t>
            </w:r>
          </w:p>
        </w:tc>
      </w:tr>
      <w:tr>
        <w:tc>
          <w:tcPr>
            <w:tcW w:type="dxa" w:w="1247"/>
            <w:shd w:val="clear" w:color="auto" w:fill="F5F7FA"/>
          </w:tcPr>
          <w:p>
            <w:pPr>
              <w:spacing w:after="40"/>
            </w:pPr>
            <w:r/>
            <w:r>
              <w:rPr>
                <w:sz w:val="19"/>
              </w:rPr>
              <w:t>AI-SYS-004</w:t>
            </w:r>
          </w:p>
        </w:tc>
        <w:tc>
          <w:tcPr>
            <w:tcW w:type="dxa" w:w="1247"/>
            <w:shd w:val="clear" w:color="auto" w:fill="F5F7FA"/>
          </w:tcPr>
          <w:p>
            <w:pPr>
              <w:spacing w:after="40"/>
            </w:pPr>
            <w:r/>
            <w:r>
              <w:rPr>
                <w:sz w:val="19"/>
              </w:rPr>
              <w:t>SafeFrame</w:t>
            </w:r>
          </w:p>
        </w:tc>
        <w:tc>
          <w:tcPr>
            <w:tcW w:type="dxa" w:w="2494"/>
            <w:shd w:val="clear" w:color="auto" w:fill="F5F7FA"/>
          </w:tcPr>
          <w:p>
            <w:pPr>
              <w:spacing w:after="40"/>
            </w:pPr>
            <w:r/>
            <w:r>
              <w:rPr>
                <w:sz w:val="19"/>
              </w:rPr>
              <w:t>AI customer / user (we buy it and rely on it as a control)</w:t>
            </w:r>
          </w:p>
        </w:tc>
        <w:tc>
          <w:tcPr>
            <w:tcW w:type="dxa" w:w="2154"/>
            <w:shd w:val="clear" w:color="auto" w:fill="F5F7FA"/>
          </w:tcPr>
          <w:p>
            <w:pPr>
              <w:spacing w:after="40"/>
            </w:pPr>
            <w:r/>
            <w:r>
              <w:rPr>
                <w:sz w:val="19"/>
              </w:rPr>
              <w:t>Runs automatically on all StoryFrame traffic</w:t>
            </w:r>
          </w:p>
        </w:tc>
        <w:tc>
          <w:tcPr>
            <w:tcW w:type="dxa" w:w="2268"/>
            <w:shd w:val="clear" w:color="auto" w:fill="F5F7FA"/>
          </w:tcPr>
          <w:p>
            <w:pPr>
              <w:spacing w:after="40"/>
            </w:pPr>
            <w:r/>
            <w:r>
              <w:rPr>
                <w:sz w:val="19"/>
              </w:rPr>
              <w:t>High — a failure lets harmful content through</w:t>
            </w:r>
          </w:p>
        </w:tc>
      </w:tr>
      <w:tr>
        <w:tc>
          <w:tcPr>
            <w:tcW w:type="dxa" w:w="1247"/>
          </w:tcPr>
          <w:p>
            <w:pPr>
              <w:spacing w:after="40"/>
            </w:pPr>
            <w:r/>
            <w:r>
              <w:rPr>
                <w:sz w:val="19"/>
              </w:rPr>
              <w:t>AI-SYS-005</w:t>
            </w:r>
          </w:p>
        </w:tc>
        <w:tc>
          <w:tcPr>
            <w:tcW w:type="dxa" w:w="1247"/>
          </w:tcPr>
          <w:p>
            <w:pPr>
              <w:spacing w:after="40"/>
            </w:pPr>
            <w:r/>
            <w:r>
              <w:rPr>
                <w:sz w:val="19"/>
              </w:rPr>
              <w:t>CodeAssist</w:t>
            </w:r>
          </w:p>
        </w:tc>
        <w:tc>
          <w:tcPr>
            <w:tcW w:type="dxa" w:w="2494"/>
          </w:tcPr>
          <w:p>
            <w:pPr>
              <w:spacing w:after="40"/>
            </w:pPr>
            <w:r/>
            <w:r>
              <w:rPr>
                <w:sz w:val="19"/>
              </w:rPr>
              <w:t>AI customer / user</w:t>
            </w:r>
          </w:p>
        </w:tc>
        <w:tc>
          <w:tcPr>
            <w:tcW w:type="dxa" w:w="2154"/>
          </w:tcPr>
          <w:p>
            <w:pPr>
              <w:spacing w:after="40"/>
            </w:pPr>
            <w:r/>
            <w:r>
              <w:rPr>
                <w:sz w:val="19"/>
              </w:rPr>
              <w:t>Engineering staff</w:t>
            </w:r>
          </w:p>
        </w:tc>
        <w:tc>
          <w:tcPr>
            <w:tcW w:type="dxa" w:w="2268"/>
          </w:tcPr>
          <w:p>
            <w:pPr>
              <w:spacing w:after="40"/>
            </w:pPr>
            <w:r/>
            <w:r>
              <w:rPr>
                <w:sz w:val="19"/>
              </w:rPr>
              <w:t>Medium — source code and secrets exposure, insecure suggestions</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If you only use an AI system (like a vendor moderation service), you still have AIMS duties: you must assess its impact in your context, control the supplier and monitor it. Being a 'user' does not take a system out of scope.</w:t>
            </w:r>
          </w:p>
        </w:tc>
      </w:tr>
    </w:tbl>
    <w:p/>
    <w:p>
      <w:pPr>
        <w:pStyle w:val="Heading1"/>
      </w:pPr>
      <w:r>
        <w:t>4. Structure of the integrated management system</w:t>
      </w:r>
    </w:p>
    <w:p>
      <w:r>
        <w:rPr/>
        <w:t>The IMS is organised in five strands. Each strand is a folder of documents and a set of recurring activities. The table is our structure diagram: read it top to bottom as the plan–do–check–act cycle.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361"/>
            <w:shd w:val="clear" w:color="auto" w:fill="142B4C"/>
          </w:tcPr>
          <w:p>
            <w:r/>
            <w:r>
              <w:rPr>
                <w:b/>
                <w:color w:val="FFFFFF"/>
                <w:sz w:val="19"/>
              </w:rPr>
              <w:t>Strand</w:t>
            </w:r>
          </w:p>
        </w:tc>
        <w:tc>
          <w:tcPr>
            <w:tcW w:type="dxa" w:w="907"/>
            <w:shd w:val="clear" w:color="auto" w:fill="142B4C"/>
          </w:tcPr>
          <w:p>
            <w:r/>
            <w:r>
              <w:rPr>
                <w:b/>
                <w:color w:val="FFFFFF"/>
                <w:sz w:val="19"/>
              </w:rPr>
              <w:t>PDCA</w:t>
            </w:r>
          </w:p>
        </w:tc>
        <w:tc>
          <w:tcPr>
            <w:tcW w:type="dxa" w:w="1247"/>
            <w:shd w:val="clear" w:color="auto" w:fill="142B4C"/>
          </w:tcPr>
          <w:p>
            <w:r/>
            <w:r>
              <w:rPr>
                <w:b/>
                <w:color w:val="FFFFFF"/>
                <w:sz w:val="19"/>
              </w:rPr>
              <w:t>Clauses</w:t>
            </w:r>
          </w:p>
        </w:tc>
        <w:tc>
          <w:tcPr>
            <w:tcW w:type="dxa" w:w="3402"/>
            <w:shd w:val="clear" w:color="auto" w:fill="142B4C"/>
          </w:tcPr>
          <w:p>
            <w:r/>
            <w:r>
              <w:rPr>
                <w:b/>
                <w:color w:val="FFFFFF"/>
                <w:sz w:val="19"/>
              </w:rPr>
              <w:t>What happens</w:t>
            </w:r>
          </w:p>
        </w:tc>
        <w:tc>
          <w:tcPr>
            <w:tcW w:type="dxa" w:w="2438"/>
            <w:shd w:val="clear" w:color="auto" w:fill="142B4C"/>
          </w:tcPr>
          <w:p>
            <w:r/>
            <w:r>
              <w:rPr>
                <w:b/>
                <w:color w:val="FFFFFF"/>
                <w:sz w:val="19"/>
              </w:rPr>
              <w:t>Documents</w:t>
            </w:r>
          </w:p>
        </w:tc>
      </w:tr>
      <w:tr>
        <w:tc>
          <w:tcPr>
            <w:tcW w:type="dxa" w:w="1361"/>
          </w:tcPr>
          <w:p>
            <w:pPr>
              <w:spacing w:after="40"/>
            </w:pPr>
            <w:r/>
            <w:r>
              <w:rPr>
                <w:sz w:val="19"/>
              </w:rPr>
              <w:t>1. Ground</w:t>
            </w:r>
          </w:p>
        </w:tc>
        <w:tc>
          <w:tcPr>
            <w:tcW w:type="dxa" w:w="907"/>
          </w:tcPr>
          <w:p>
            <w:pPr>
              <w:spacing w:after="40"/>
            </w:pPr>
            <w:r/>
            <w:r>
              <w:rPr>
                <w:sz w:val="19"/>
              </w:rPr>
              <w:t>Plan</w:t>
            </w:r>
          </w:p>
        </w:tc>
        <w:tc>
          <w:tcPr>
            <w:tcW w:type="dxa" w:w="1247"/>
          </w:tcPr>
          <w:p>
            <w:pPr>
              <w:spacing w:after="40"/>
            </w:pPr>
            <w:r/>
            <w:r>
              <w:rPr>
                <w:sz w:val="19"/>
              </w:rPr>
              <w:t>Clauses 4–5</w:t>
            </w:r>
          </w:p>
        </w:tc>
        <w:tc>
          <w:tcPr>
            <w:tcW w:type="dxa" w:w="3402"/>
          </w:tcPr>
          <w:p>
            <w:pPr>
              <w:spacing w:after="40"/>
            </w:pPr>
            <w:r/>
            <w:r>
              <w:rPr>
                <w:sz w:val="19"/>
              </w:rPr>
              <w:t>Understand your context, set one scope, appoint leaders, and publish one policy for security and AI.</w:t>
            </w:r>
          </w:p>
        </w:tc>
        <w:tc>
          <w:tcPr>
            <w:tcW w:type="dxa" w:w="2438"/>
          </w:tcPr>
          <w:p>
            <w:pPr>
              <w:spacing w:after="40"/>
            </w:pPr>
            <w:r/>
            <w:r>
              <w:rPr>
                <w:sz w:val="19"/>
              </w:rPr>
              <w:t>IMS-MAN-001, IMS-REG-001, IMS-POL-001, IMS-GOV-001</w:t>
            </w:r>
          </w:p>
        </w:tc>
      </w:tr>
      <w:tr>
        <w:tc>
          <w:tcPr>
            <w:tcW w:type="dxa" w:w="1361"/>
            <w:shd w:val="clear" w:color="auto" w:fill="F5F7FA"/>
          </w:tcPr>
          <w:p>
            <w:pPr>
              <w:spacing w:after="40"/>
            </w:pPr>
            <w:r/>
            <w:r>
              <w:rPr>
                <w:sz w:val="19"/>
              </w:rPr>
              <w:t>2. Gauge</w:t>
            </w:r>
          </w:p>
        </w:tc>
        <w:tc>
          <w:tcPr>
            <w:tcW w:type="dxa" w:w="907"/>
            <w:shd w:val="clear" w:color="auto" w:fill="F5F7FA"/>
          </w:tcPr>
          <w:p>
            <w:pPr>
              <w:spacing w:after="40"/>
            </w:pPr>
            <w:r/>
            <w:r>
              <w:rPr>
                <w:sz w:val="19"/>
              </w:rPr>
              <w:t>Plan</w:t>
            </w:r>
          </w:p>
        </w:tc>
        <w:tc>
          <w:tcPr>
            <w:tcW w:type="dxa" w:w="1247"/>
            <w:shd w:val="clear" w:color="auto" w:fill="F5F7FA"/>
          </w:tcPr>
          <w:p>
            <w:pPr>
              <w:spacing w:after="40"/>
            </w:pPr>
            <w:r/>
            <w:r>
              <w:rPr>
                <w:sz w:val="19"/>
              </w:rPr>
              <w:t>Clause 6</w:t>
            </w:r>
          </w:p>
        </w:tc>
        <w:tc>
          <w:tcPr>
            <w:tcW w:type="dxa" w:w="3402"/>
            <w:shd w:val="clear" w:color="auto" w:fill="F5F7FA"/>
          </w:tcPr>
          <w:p>
            <w:pPr>
              <w:spacing w:after="40"/>
            </w:pPr>
            <w:r/>
            <w:r>
              <w:rPr>
                <w:sz w:val="19"/>
              </w:rPr>
              <w:t>Run one method for information-security and AI risks, assess AI impacts on people, choose controls, record them in the two Statements of Applicability, and set objectives.</w:t>
            </w:r>
          </w:p>
        </w:tc>
        <w:tc>
          <w:tcPr>
            <w:tcW w:type="dxa" w:w="2438"/>
            <w:shd w:val="clear" w:color="auto" w:fill="F5F7FA"/>
          </w:tcPr>
          <w:p>
            <w:pPr>
              <w:spacing w:after="40"/>
            </w:pPr>
            <w:r/>
            <w:r>
              <w:rPr>
                <w:sz w:val="19"/>
              </w:rPr>
              <w:t>IMS-PRO-001, IMS-REG-002, IMS-PRO-002, IMS-SOA-001, IMS-SOA-002, IMS-REG-003</w:t>
            </w:r>
          </w:p>
        </w:tc>
      </w:tr>
      <w:tr>
        <w:tc>
          <w:tcPr>
            <w:tcW w:type="dxa" w:w="1361"/>
          </w:tcPr>
          <w:p>
            <w:pPr>
              <w:spacing w:after="40"/>
            </w:pPr>
            <w:r/>
            <w:r>
              <w:rPr>
                <w:sz w:val="19"/>
              </w:rPr>
              <w:t>3. Equip</w:t>
            </w:r>
          </w:p>
        </w:tc>
        <w:tc>
          <w:tcPr>
            <w:tcW w:type="dxa" w:w="907"/>
          </w:tcPr>
          <w:p>
            <w:pPr>
              <w:spacing w:after="40"/>
            </w:pPr>
            <w:r/>
            <w:r>
              <w:rPr>
                <w:sz w:val="19"/>
              </w:rPr>
              <w:t>Do</w:t>
            </w:r>
          </w:p>
        </w:tc>
        <w:tc>
          <w:tcPr>
            <w:tcW w:type="dxa" w:w="1247"/>
          </w:tcPr>
          <w:p>
            <w:pPr>
              <w:spacing w:after="40"/>
            </w:pPr>
            <w:r/>
            <w:r>
              <w:rPr>
                <w:sz w:val="19"/>
              </w:rPr>
              <w:t>Clause 7</w:t>
            </w:r>
          </w:p>
        </w:tc>
        <w:tc>
          <w:tcPr>
            <w:tcW w:type="dxa" w:w="3402"/>
          </w:tcPr>
          <w:p>
            <w:pPr>
              <w:spacing w:after="40"/>
            </w:pPr>
            <w:r/>
            <w:r>
              <w:rPr>
                <w:sz w:val="19"/>
              </w:rPr>
              <w:t>Give people the skills, awareness and information they need, and keep documents under control.</w:t>
            </w:r>
          </w:p>
        </w:tc>
        <w:tc>
          <w:tcPr>
            <w:tcW w:type="dxa" w:w="2438"/>
          </w:tcPr>
          <w:p>
            <w:pPr>
              <w:spacing w:after="40"/>
            </w:pPr>
            <w:r/>
            <w:r>
              <w:rPr>
                <w:sz w:val="19"/>
              </w:rPr>
              <w:t>IMS-PRO-003, IMS-REG-004, IMS-PRO-004</w:t>
            </w:r>
          </w:p>
        </w:tc>
      </w:tr>
      <w:tr>
        <w:tc>
          <w:tcPr>
            <w:tcW w:type="dxa" w:w="1361"/>
            <w:shd w:val="clear" w:color="auto" w:fill="F5F7FA"/>
          </w:tcPr>
          <w:p>
            <w:pPr>
              <w:spacing w:after="40"/>
            </w:pPr>
            <w:r/>
            <w:r>
              <w:rPr>
                <w:sz w:val="19"/>
              </w:rPr>
              <w:t>4. Operate</w:t>
            </w:r>
          </w:p>
        </w:tc>
        <w:tc>
          <w:tcPr>
            <w:tcW w:type="dxa" w:w="907"/>
            <w:shd w:val="clear" w:color="auto" w:fill="F5F7FA"/>
          </w:tcPr>
          <w:p>
            <w:pPr>
              <w:spacing w:after="40"/>
            </w:pPr>
            <w:r/>
            <w:r>
              <w:rPr>
                <w:sz w:val="19"/>
              </w:rPr>
              <w:t>Do</w:t>
            </w:r>
          </w:p>
        </w:tc>
        <w:tc>
          <w:tcPr>
            <w:tcW w:type="dxa" w:w="1247"/>
            <w:shd w:val="clear" w:color="auto" w:fill="F5F7FA"/>
          </w:tcPr>
          <w:p>
            <w:pPr>
              <w:spacing w:after="40"/>
            </w:pPr>
            <w:r/>
            <w:r>
              <w:rPr>
                <w:sz w:val="19"/>
              </w:rPr>
              <w:t>Clause 8 + Annex A</w:t>
            </w:r>
          </w:p>
        </w:tc>
        <w:tc>
          <w:tcPr>
            <w:tcW w:type="dxa" w:w="3402"/>
            <w:shd w:val="clear" w:color="auto" w:fill="F5F7FA"/>
          </w:tcPr>
          <w:p>
            <w:pPr>
              <w:spacing w:after="40"/>
            </w:pPr>
            <w:r/>
            <w:r>
              <w:rPr>
                <w:sz w:val="19"/>
              </w:rPr>
              <w:t>Build security and responsibility into every stage of software and AI work: development, data, access, acceptable use, suppliers, incidents and continuity.</w:t>
            </w:r>
          </w:p>
        </w:tc>
        <w:tc>
          <w:tcPr>
            <w:tcW w:type="dxa" w:w="2438"/>
            <w:shd w:val="clear" w:color="auto" w:fill="F5F7FA"/>
          </w:tcPr>
          <w:p>
            <w:pPr>
              <w:spacing w:after="40"/>
            </w:pPr>
            <w:r/>
            <w:r>
              <w:rPr>
                <w:sz w:val="19"/>
              </w:rPr>
              <w:t>IMS-POL-002, IMS-POL-003, IMS-POL-004, IMS-POL-005, IMS-POL-006, IMS-PRO-005, IMS-PRO-006, IMS-REG-005, IMS-REG-006</w:t>
            </w:r>
          </w:p>
        </w:tc>
      </w:tr>
      <w:tr>
        <w:tc>
          <w:tcPr>
            <w:tcW w:type="dxa" w:w="1361"/>
          </w:tcPr>
          <w:p>
            <w:pPr>
              <w:spacing w:after="40"/>
            </w:pPr>
            <w:r/>
            <w:r>
              <w:rPr>
                <w:sz w:val="19"/>
              </w:rPr>
              <w:t>5. Prove and improve</w:t>
            </w:r>
          </w:p>
        </w:tc>
        <w:tc>
          <w:tcPr>
            <w:tcW w:type="dxa" w:w="907"/>
          </w:tcPr>
          <w:p>
            <w:pPr>
              <w:spacing w:after="40"/>
            </w:pPr>
            <w:r/>
            <w:r>
              <w:rPr>
                <w:sz w:val="19"/>
              </w:rPr>
              <w:t>Check / Act</w:t>
            </w:r>
          </w:p>
        </w:tc>
        <w:tc>
          <w:tcPr>
            <w:tcW w:type="dxa" w:w="1247"/>
          </w:tcPr>
          <w:p>
            <w:pPr>
              <w:spacing w:after="40"/>
            </w:pPr>
            <w:r/>
            <w:r>
              <w:rPr>
                <w:sz w:val="19"/>
              </w:rPr>
              <w:t>Clauses 9–10</w:t>
            </w:r>
          </w:p>
        </w:tc>
        <w:tc>
          <w:tcPr>
            <w:tcW w:type="dxa" w:w="3402"/>
          </w:tcPr>
          <w:p>
            <w:pPr>
              <w:spacing w:after="40"/>
            </w:pPr>
            <w:r/>
            <w:r>
              <w:rPr>
                <w:sz w:val="19"/>
              </w:rPr>
              <w:t>Measure, audit, review with top management, fix the causes of problems, and keep improving.</w:t>
            </w:r>
          </w:p>
        </w:tc>
        <w:tc>
          <w:tcPr>
            <w:tcW w:type="dxa" w:w="2438"/>
          </w:tcPr>
          <w:p>
            <w:pPr>
              <w:spacing w:after="40"/>
            </w:pPr>
            <w:r/>
            <w:r>
              <w:rPr>
                <w:sz w:val="19"/>
              </w:rPr>
              <w:t>IMS-PRO-007, IMS-REG-007, IMS-PRO-008, IMS-PRO-009, IMS-REG-008</w:t>
            </w:r>
          </w:p>
        </w:tc>
      </w:tr>
    </w:tbl>
    <w:p/>
    <w:p>
      <w:r>
        <w:rPr/>
        <w:t>Governance sits across all strands: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1984"/>
            <w:shd w:val="clear" w:color="auto" w:fill="142B4C"/>
          </w:tcPr>
          <w:p>
            <w:r/>
            <w:r>
              <w:rPr>
                <w:b/>
                <w:color w:val="FFFFFF"/>
                <w:sz w:val="19"/>
              </w:rPr>
              <w:t>Body</w:t>
            </w:r>
          </w:p>
        </w:tc>
        <w:tc>
          <w:tcPr>
            <w:tcW w:type="dxa" w:w="7370"/>
            <w:shd w:val="clear" w:color="auto" w:fill="142B4C"/>
          </w:tcPr>
          <w:p>
            <w:r/>
            <w:r>
              <w:rPr>
                <w:b/>
                <w:color w:val="FFFFFF"/>
                <w:sz w:val="19"/>
              </w:rPr>
              <w:t>Charter (summary)</w:t>
            </w:r>
          </w:p>
        </w:tc>
      </w:tr>
      <w:tr>
        <w:tc>
          <w:tcPr>
            <w:tcW w:type="dxa" w:w="1984"/>
          </w:tcPr>
          <w:p>
            <w:pPr>
              <w:spacing w:after="40"/>
            </w:pPr>
            <w:r/>
            <w:r>
              <w:rPr>
                <w:sz w:val="19"/>
              </w:rPr>
              <w:t>Trust Council</w:t>
            </w:r>
          </w:p>
        </w:tc>
        <w:tc>
          <w:tcPr>
            <w:tcW w:type="dxa" w:w="7370"/>
          </w:tcPr>
          <w:p>
            <w:pPr>
              <w:spacing w:after="40"/>
            </w:pPr>
            <w:r/>
            <w:r>
              <w:rPr>
                <w:sz w:val="19"/>
              </w:rPr>
              <w:t>Top-management body for both standards. Chair: CEO. Members: CTO, Security Lead, Head of AI, Privacy and Legal Lead, Creative Director. Meets monthly (30–45 minutes) and acts as the management review twice a year. Approves policies, objectives and risk acceptance above Medium.</w:t>
            </w:r>
          </w:p>
        </w:tc>
      </w:tr>
      <w:tr>
        <w:tc>
          <w:tcPr>
            <w:tcW w:type="dxa" w:w="1984"/>
            <w:shd w:val="clear" w:color="auto" w:fill="F5F7FA"/>
          </w:tcPr>
          <w:p>
            <w:pPr>
              <w:spacing w:after="40"/>
            </w:pPr>
            <w:r/>
            <w:r>
              <w:rPr>
                <w:sz w:val="19"/>
              </w:rPr>
              <w:t>AI Release Review</w:t>
            </w:r>
          </w:p>
        </w:tc>
        <w:tc>
          <w:tcPr>
            <w:tcW w:type="dxa" w:w="7370"/>
            <w:shd w:val="clear" w:color="auto" w:fill="F5F7FA"/>
          </w:tcPr>
          <w:p>
            <w:pPr>
              <w:spacing w:after="40"/>
            </w:pPr>
            <w:r/>
            <w:r>
              <w:rPr>
                <w:sz w:val="19"/>
              </w:rPr>
              <w:t>Go / no-go gate for new or significantly changed AI systems. Chair: Head of AI. Members: Creative Director, Privacy and Legal Lead, Security Lead, product owner, and one member of the external Artist Advisory Panel. Meets when a release needs it.</w:t>
            </w:r>
          </w:p>
        </w:tc>
      </w:tr>
    </w:tbl>
    <w:p/>
    <w:p>
      <w:r>
        <w:rPr/>
        <w:t>Full charters, role descriptions and the RACI chart are in IMS-GOV-001 Governance Charter, Roles and Responsibilities.</w:t>
      </w:r>
    </w:p>
    <w:p>
      <w:pPr>
        <w:pStyle w:val="Heading1"/>
      </w:pPr>
      <w:r>
        <w:t>5. Clause 4 — Context of the organisation</w:t>
      </w:r>
    </w:p>
    <w:p>
      <w:r>
        <w:rPr/>
        <w:t>We start by understanding what affects our ability to protect information and to use AI responsibly. The same analysis feeds both standards; AI-specific points are tagged in the register.</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474"/>
            <w:shd w:val="clear" w:color="auto" w:fill="142B4C"/>
          </w:tcPr>
          <w:p>
            <w:r/>
            <w:r>
              <w:rPr>
                <w:b/>
                <w:color w:val="FFFFFF"/>
                <w:sz w:val="19"/>
              </w:rPr>
              <w:t>Topic</w:t>
            </w:r>
          </w:p>
        </w:tc>
        <w:tc>
          <w:tcPr>
            <w:tcW w:type="dxa" w:w="907"/>
            <w:shd w:val="clear" w:color="auto" w:fill="142B4C"/>
          </w:tcPr>
          <w:p>
            <w:r/>
            <w:r>
              <w:rPr>
                <w:b/>
                <w:color w:val="FFFFFF"/>
                <w:sz w:val="19"/>
              </w:rPr>
              <w:t>ISO/IEC 27001</w:t>
            </w:r>
          </w:p>
        </w:tc>
        <w:tc>
          <w:tcPr>
            <w:tcW w:type="dxa" w:w="907"/>
            <w:shd w:val="clear" w:color="auto" w:fill="142B4C"/>
          </w:tcPr>
          <w:p>
            <w:r/>
            <w:r>
              <w:rPr>
                <w:b/>
                <w:color w:val="FFFFFF"/>
                <w:sz w:val="19"/>
              </w:rPr>
              <w:t>ISO/IEC 42001</w:t>
            </w:r>
          </w:p>
        </w:tc>
        <w:tc>
          <w:tcPr>
            <w:tcW w:type="dxa" w:w="4082"/>
            <w:shd w:val="clear" w:color="auto" w:fill="142B4C"/>
          </w:tcPr>
          <w:p>
            <w:r/>
            <w:r>
              <w:rPr>
                <w:b/>
                <w:color w:val="FFFFFF"/>
                <w:sz w:val="19"/>
              </w:rPr>
              <w:t>How Quillfen Studio meets both</w:t>
            </w:r>
          </w:p>
        </w:tc>
        <w:tc>
          <w:tcPr>
            <w:tcW w:type="dxa" w:w="1984"/>
            <w:shd w:val="clear" w:color="auto" w:fill="142B4C"/>
          </w:tcPr>
          <w:p>
            <w:r/>
            <w:r>
              <w:rPr>
                <w:b/>
                <w:color w:val="FFFFFF"/>
                <w:sz w:val="19"/>
              </w:rPr>
              <w:t>Where to find it</w:t>
            </w:r>
          </w:p>
        </w:tc>
      </w:tr>
      <w:tr>
        <w:tc>
          <w:tcPr>
            <w:tcW w:type="dxa" w:w="1474"/>
          </w:tcPr>
          <w:p>
            <w:pPr>
              <w:spacing w:after="40"/>
            </w:pPr>
            <w:r/>
            <w:r>
              <w:rPr>
                <w:sz w:val="19"/>
              </w:rPr>
              <w:t>Internal and external issues</w:t>
            </w:r>
          </w:p>
        </w:tc>
        <w:tc>
          <w:tcPr>
            <w:tcW w:type="dxa" w:w="907"/>
          </w:tcPr>
          <w:p>
            <w:pPr>
              <w:spacing w:after="40"/>
            </w:pPr>
            <w:r/>
            <w:r>
              <w:rPr>
                <w:sz w:val="19"/>
              </w:rPr>
              <w:t>4.1</w:t>
            </w:r>
          </w:p>
        </w:tc>
        <w:tc>
          <w:tcPr>
            <w:tcW w:type="dxa" w:w="907"/>
          </w:tcPr>
          <w:p>
            <w:pPr>
              <w:spacing w:after="40"/>
            </w:pPr>
            <w:r/>
            <w:r>
              <w:rPr>
                <w:sz w:val="19"/>
              </w:rPr>
              <w:t>4.1</w:t>
            </w:r>
          </w:p>
        </w:tc>
        <w:tc>
          <w:tcPr>
            <w:tcW w:type="dxa" w:w="4082"/>
          </w:tcPr>
          <w:p>
            <w:pPr>
              <w:spacing w:after="40"/>
            </w:pPr>
            <w:r/>
            <w:r>
              <w:rPr>
                <w:sz w:val="19"/>
              </w:rPr>
              <w:t>Twice a year the Compliance Coordinator updates the issues list with the Trust Council, using PESTLE prompts. AI-specific issues (model supply, copyright debate, EU AI Act timelines) sit in the same list. We also record whether climate change is a relevant issue.</w:t>
            </w:r>
          </w:p>
        </w:tc>
        <w:tc>
          <w:tcPr>
            <w:tcW w:type="dxa" w:w="1984"/>
          </w:tcPr>
          <w:p>
            <w:pPr>
              <w:spacing w:after="40"/>
            </w:pPr>
            <w:r/>
            <w:r>
              <w:rPr>
                <w:sz w:val="19"/>
              </w:rPr>
              <w:t>IMS-REG-001 'Internal &amp; External Issues', 'Climate-change consideration'</w:t>
            </w:r>
          </w:p>
        </w:tc>
      </w:tr>
      <w:tr>
        <w:tc>
          <w:tcPr>
            <w:tcW w:type="dxa" w:w="1474"/>
            <w:shd w:val="clear" w:color="auto" w:fill="F5F7FA"/>
          </w:tcPr>
          <w:p>
            <w:pPr>
              <w:spacing w:after="40"/>
            </w:pPr>
            <w:r/>
            <w:r>
              <w:rPr>
                <w:sz w:val="19"/>
              </w:rPr>
              <w:t>Our AI roles and intended purpose</w:t>
            </w:r>
          </w:p>
        </w:tc>
        <w:tc>
          <w:tcPr>
            <w:tcW w:type="dxa" w:w="907"/>
            <w:shd w:val="clear" w:color="auto" w:fill="F5F7FA"/>
          </w:tcPr>
          <w:p>
            <w:pPr>
              <w:spacing w:after="40"/>
            </w:pPr>
            <w:r/>
            <w:r>
              <w:rPr>
                <w:sz w:val="19"/>
              </w:rPr>
              <w:t>—</w:t>
            </w:r>
          </w:p>
        </w:tc>
        <w:tc>
          <w:tcPr>
            <w:tcW w:type="dxa" w:w="907"/>
            <w:shd w:val="clear" w:color="auto" w:fill="F5F7FA"/>
          </w:tcPr>
          <w:p>
            <w:pPr>
              <w:spacing w:after="40"/>
            </w:pPr>
            <w:r/>
            <w:r>
              <w:rPr>
                <w:sz w:val="19"/>
              </w:rPr>
              <w:t>4.1</w:t>
            </w:r>
          </w:p>
        </w:tc>
        <w:tc>
          <w:tcPr>
            <w:tcW w:type="dxa" w:w="4082"/>
            <w:shd w:val="clear" w:color="auto" w:fill="F5F7FA"/>
          </w:tcPr>
          <w:p>
            <w:pPr>
              <w:spacing w:after="40"/>
            </w:pPr>
            <w:r/>
            <w:r>
              <w:rPr>
                <w:sz w:val="19"/>
              </w:rPr>
              <w:t>Role and intended purpose recorded for each AI system and reviewed at every AI Release Review.</w:t>
            </w:r>
          </w:p>
        </w:tc>
        <w:tc>
          <w:tcPr>
            <w:tcW w:type="dxa" w:w="1984"/>
            <w:shd w:val="clear" w:color="auto" w:fill="F5F7FA"/>
          </w:tcPr>
          <w:p>
            <w:pPr>
              <w:spacing w:after="40"/>
            </w:pPr>
            <w:r/>
            <w:r>
              <w:rPr>
                <w:sz w:val="19"/>
              </w:rPr>
              <w:t>IMS-REG-001 'AI Roles per system'; section 3 above</w:t>
            </w:r>
          </w:p>
        </w:tc>
      </w:tr>
      <w:tr>
        <w:tc>
          <w:tcPr>
            <w:tcW w:type="dxa" w:w="1474"/>
          </w:tcPr>
          <w:p>
            <w:pPr>
              <w:spacing w:after="40"/>
            </w:pPr>
            <w:r/>
            <w:r>
              <w:rPr>
                <w:sz w:val="19"/>
              </w:rPr>
              <w:t>Interested parties and their requirements</w:t>
            </w:r>
          </w:p>
        </w:tc>
        <w:tc>
          <w:tcPr>
            <w:tcW w:type="dxa" w:w="907"/>
          </w:tcPr>
          <w:p>
            <w:pPr>
              <w:spacing w:after="40"/>
            </w:pPr>
            <w:r/>
            <w:r>
              <w:rPr>
                <w:sz w:val="19"/>
              </w:rPr>
              <w:t>4.2</w:t>
            </w:r>
          </w:p>
        </w:tc>
        <w:tc>
          <w:tcPr>
            <w:tcW w:type="dxa" w:w="907"/>
          </w:tcPr>
          <w:p>
            <w:pPr>
              <w:spacing w:after="40"/>
            </w:pPr>
            <w:r/>
            <w:r>
              <w:rPr>
                <w:sz w:val="19"/>
              </w:rPr>
              <w:t>4.2</w:t>
            </w:r>
          </w:p>
        </w:tc>
        <w:tc>
          <w:tcPr>
            <w:tcW w:type="dxa" w:w="4082"/>
          </w:tcPr>
          <w:p>
            <w:pPr>
              <w:spacing w:after="40"/>
            </w:pPr>
            <w:r/>
            <w:r>
              <w:rPr>
                <w:sz w:val="19"/>
              </w:rPr>
              <w:t>One list of interested parties (customers, artists, staff, regulators, investors, suppliers, people depicted in images). We decide which requirements we will address; the binding ones go to the legal register.</w:t>
            </w:r>
          </w:p>
        </w:tc>
        <w:tc>
          <w:tcPr>
            <w:tcW w:type="dxa" w:w="1984"/>
          </w:tcPr>
          <w:p>
            <w:pPr>
              <w:spacing w:after="40"/>
            </w:pPr>
            <w:r/>
            <w:r>
              <w:rPr>
                <w:sz w:val="19"/>
              </w:rPr>
              <w:t>IMS-REG-001 'Interested Parties', 'Legal &amp; Regulatory'</w:t>
            </w:r>
          </w:p>
        </w:tc>
      </w:tr>
      <w:tr>
        <w:tc>
          <w:tcPr>
            <w:tcW w:type="dxa" w:w="1474"/>
            <w:shd w:val="clear" w:color="auto" w:fill="F5F7FA"/>
          </w:tcPr>
          <w:p>
            <w:pPr>
              <w:spacing w:after="40"/>
            </w:pPr>
            <w:r/>
            <w:r>
              <w:rPr>
                <w:sz w:val="19"/>
              </w:rPr>
              <w:t>Scope</w:t>
            </w:r>
          </w:p>
        </w:tc>
        <w:tc>
          <w:tcPr>
            <w:tcW w:type="dxa" w:w="907"/>
            <w:shd w:val="clear" w:color="auto" w:fill="F5F7FA"/>
          </w:tcPr>
          <w:p>
            <w:pPr>
              <w:spacing w:after="40"/>
            </w:pPr>
            <w:r/>
            <w:r>
              <w:rPr>
                <w:sz w:val="19"/>
              </w:rPr>
              <w:t>4.3</w:t>
            </w:r>
          </w:p>
        </w:tc>
        <w:tc>
          <w:tcPr>
            <w:tcW w:type="dxa" w:w="907"/>
            <w:shd w:val="clear" w:color="auto" w:fill="F5F7FA"/>
          </w:tcPr>
          <w:p>
            <w:pPr>
              <w:spacing w:after="40"/>
            </w:pPr>
            <w:r/>
            <w:r>
              <w:rPr>
                <w:sz w:val="19"/>
              </w:rPr>
              <w:t>4.3</w:t>
            </w:r>
          </w:p>
        </w:tc>
        <w:tc>
          <w:tcPr>
            <w:tcW w:type="dxa" w:w="4082"/>
            <w:shd w:val="clear" w:color="auto" w:fill="F5F7FA"/>
          </w:tcPr>
          <w:p>
            <w:pPr>
              <w:spacing w:after="40"/>
            </w:pPr>
            <w:r/>
            <w:r>
              <w:rPr>
                <w:sz w:val="19"/>
              </w:rPr>
              <w:t>One scope covering both standards, with the same boundaries (section 2).</w:t>
            </w:r>
          </w:p>
        </w:tc>
        <w:tc>
          <w:tcPr>
            <w:tcW w:type="dxa" w:w="1984"/>
            <w:shd w:val="clear" w:color="auto" w:fill="F5F7FA"/>
          </w:tcPr>
          <w:p>
            <w:pPr>
              <w:spacing w:after="40"/>
            </w:pPr>
            <w:r/>
            <w:r>
              <w:rPr>
                <w:sz w:val="19"/>
              </w:rPr>
              <w:t>IMS-REG-001 'Scope &amp; Boundaries'; this manual</w:t>
            </w:r>
          </w:p>
        </w:tc>
      </w:tr>
      <w:tr>
        <w:tc>
          <w:tcPr>
            <w:tcW w:type="dxa" w:w="1474"/>
          </w:tcPr>
          <w:p>
            <w:pPr>
              <w:spacing w:after="40"/>
            </w:pPr>
            <w:r/>
            <w:r>
              <w:rPr>
                <w:sz w:val="19"/>
              </w:rPr>
              <w:t>The management system itself</w:t>
            </w:r>
          </w:p>
        </w:tc>
        <w:tc>
          <w:tcPr>
            <w:tcW w:type="dxa" w:w="907"/>
          </w:tcPr>
          <w:p>
            <w:pPr>
              <w:spacing w:after="40"/>
            </w:pPr>
            <w:r/>
            <w:r>
              <w:rPr>
                <w:sz w:val="19"/>
              </w:rPr>
              <w:t>4.4</w:t>
            </w:r>
          </w:p>
        </w:tc>
        <w:tc>
          <w:tcPr>
            <w:tcW w:type="dxa" w:w="907"/>
          </w:tcPr>
          <w:p>
            <w:pPr>
              <w:spacing w:after="40"/>
            </w:pPr>
            <w:r/>
            <w:r>
              <w:rPr>
                <w:sz w:val="19"/>
              </w:rPr>
              <w:t>4.4</w:t>
            </w:r>
          </w:p>
        </w:tc>
        <w:tc>
          <w:tcPr>
            <w:tcW w:type="dxa" w:w="4082"/>
          </w:tcPr>
          <w:p>
            <w:pPr>
              <w:spacing w:after="40"/>
            </w:pPr>
            <w:r/>
            <w:r>
              <w:rPr>
                <w:sz w:val="19"/>
              </w:rPr>
              <w:t>This manual and the document register describe the processes and how they interact.</w:t>
            </w:r>
          </w:p>
        </w:tc>
        <w:tc>
          <w:tcPr>
            <w:tcW w:type="dxa" w:w="1984"/>
          </w:tcPr>
          <w:p>
            <w:pPr>
              <w:spacing w:after="40"/>
            </w:pPr>
            <w:r/>
            <w:r>
              <w:rPr>
                <w:sz w:val="19"/>
              </w:rPr>
              <w:t>IMS-MAN-001; IMS-WBK-001 document register</w:t>
            </w:r>
          </w:p>
        </w:tc>
      </w:tr>
    </w:tbl>
    <w:p/>
    <w:p>
      <w:r>
        <w:rPr/>
        <w:t>ISO/IEC 27001:2022/Amd 1:2024 added climate-change consideration to clauses 4.1 and 4.2. We apply the same consideration to the AIMS as good practice (and AI compute energy use is relevant to ISO/IEC 42001 Annex C 'environmental impact').</w:t>
      </w:r>
    </w:p>
    <w:p>
      <w:pPr>
        <w:pStyle w:val="Heading1"/>
      </w:pPr>
      <w:r>
        <w:t>6. Clause 5 — Leadership</w:t>
      </w:r>
    </w:p>
    <w:p>
      <w:r>
        <w:rPr/>
        <w:t>Top management at Quillfen Studio is the CEO together with the Trust Council. Leadership is shown in practice: the CEO chairs the Trust Council, approves the policy, signs off risk acceptance above Medium and opens each management review.</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474"/>
            <w:shd w:val="clear" w:color="auto" w:fill="142B4C"/>
          </w:tcPr>
          <w:p>
            <w:r/>
            <w:r>
              <w:rPr>
                <w:b/>
                <w:color w:val="FFFFFF"/>
                <w:sz w:val="19"/>
              </w:rPr>
              <w:t>Topic</w:t>
            </w:r>
          </w:p>
        </w:tc>
        <w:tc>
          <w:tcPr>
            <w:tcW w:type="dxa" w:w="907"/>
            <w:shd w:val="clear" w:color="auto" w:fill="142B4C"/>
          </w:tcPr>
          <w:p>
            <w:r/>
            <w:r>
              <w:rPr>
                <w:b/>
                <w:color w:val="FFFFFF"/>
                <w:sz w:val="19"/>
              </w:rPr>
              <w:t>ISO/IEC 27001</w:t>
            </w:r>
          </w:p>
        </w:tc>
        <w:tc>
          <w:tcPr>
            <w:tcW w:type="dxa" w:w="907"/>
            <w:shd w:val="clear" w:color="auto" w:fill="142B4C"/>
          </w:tcPr>
          <w:p>
            <w:r/>
            <w:r>
              <w:rPr>
                <w:b/>
                <w:color w:val="FFFFFF"/>
                <w:sz w:val="19"/>
              </w:rPr>
              <w:t>ISO/IEC 42001</w:t>
            </w:r>
          </w:p>
        </w:tc>
        <w:tc>
          <w:tcPr>
            <w:tcW w:type="dxa" w:w="4082"/>
            <w:shd w:val="clear" w:color="auto" w:fill="142B4C"/>
          </w:tcPr>
          <w:p>
            <w:r/>
            <w:r>
              <w:rPr>
                <w:b/>
                <w:color w:val="FFFFFF"/>
                <w:sz w:val="19"/>
              </w:rPr>
              <w:t>How Quillfen Studio meets both</w:t>
            </w:r>
          </w:p>
        </w:tc>
        <w:tc>
          <w:tcPr>
            <w:tcW w:type="dxa" w:w="1984"/>
            <w:shd w:val="clear" w:color="auto" w:fill="142B4C"/>
          </w:tcPr>
          <w:p>
            <w:r/>
            <w:r>
              <w:rPr>
                <w:b/>
                <w:color w:val="FFFFFF"/>
                <w:sz w:val="19"/>
              </w:rPr>
              <w:t>Where to find it</w:t>
            </w:r>
          </w:p>
        </w:tc>
      </w:tr>
      <w:tr>
        <w:tc>
          <w:tcPr>
            <w:tcW w:type="dxa" w:w="1474"/>
          </w:tcPr>
          <w:p>
            <w:pPr>
              <w:spacing w:after="40"/>
            </w:pPr>
            <w:r/>
            <w:r>
              <w:rPr>
                <w:sz w:val="19"/>
              </w:rPr>
              <w:t>Leadership and commitment</w:t>
            </w:r>
          </w:p>
        </w:tc>
        <w:tc>
          <w:tcPr>
            <w:tcW w:type="dxa" w:w="907"/>
          </w:tcPr>
          <w:p>
            <w:pPr>
              <w:spacing w:after="40"/>
            </w:pPr>
            <w:r/>
            <w:r>
              <w:rPr>
                <w:sz w:val="19"/>
              </w:rPr>
              <w:t>5.1</w:t>
            </w:r>
          </w:p>
        </w:tc>
        <w:tc>
          <w:tcPr>
            <w:tcW w:type="dxa" w:w="907"/>
          </w:tcPr>
          <w:p>
            <w:pPr>
              <w:spacing w:after="40"/>
            </w:pPr>
            <w:r/>
            <w:r>
              <w:rPr>
                <w:sz w:val="19"/>
              </w:rPr>
              <w:t>5.1</w:t>
            </w:r>
          </w:p>
        </w:tc>
        <w:tc>
          <w:tcPr>
            <w:tcW w:type="dxa" w:w="4082"/>
          </w:tcPr>
          <w:p>
            <w:pPr>
              <w:spacing w:after="40"/>
            </w:pPr>
            <w:r/>
            <w:r>
              <w:rPr>
                <w:sz w:val="19"/>
              </w:rPr>
              <w:t>The Trust Council meets monthly; budget and people for the IMS are agreed in the annual plan; IMS requirements are built into product and engineering processes rather than added on top.</w:t>
            </w:r>
          </w:p>
        </w:tc>
        <w:tc>
          <w:tcPr>
            <w:tcW w:type="dxa" w:w="1984"/>
          </w:tcPr>
          <w:p>
            <w:pPr>
              <w:spacing w:after="40"/>
            </w:pPr>
            <w:r/>
            <w:r>
              <w:rPr>
                <w:sz w:val="19"/>
              </w:rPr>
              <w:t>Trust Council minutes; IMS-GOV-001</w:t>
            </w:r>
          </w:p>
        </w:tc>
      </w:tr>
      <w:tr>
        <w:tc>
          <w:tcPr>
            <w:tcW w:type="dxa" w:w="1474"/>
            <w:shd w:val="clear" w:color="auto" w:fill="F5F7FA"/>
          </w:tcPr>
          <w:p>
            <w:pPr>
              <w:spacing w:after="40"/>
            </w:pPr>
            <w:r/>
            <w:r>
              <w:rPr>
                <w:sz w:val="19"/>
              </w:rPr>
              <w:t>Policy</w:t>
            </w:r>
          </w:p>
        </w:tc>
        <w:tc>
          <w:tcPr>
            <w:tcW w:type="dxa" w:w="907"/>
            <w:shd w:val="clear" w:color="auto" w:fill="F5F7FA"/>
          </w:tcPr>
          <w:p>
            <w:pPr>
              <w:spacing w:after="40"/>
            </w:pPr>
            <w:r/>
            <w:r>
              <w:rPr>
                <w:sz w:val="19"/>
              </w:rPr>
              <w:t>5.2</w:t>
            </w:r>
          </w:p>
        </w:tc>
        <w:tc>
          <w:tcPr>
            <w:tcW w:type="dxa" w:w="907"/>
            <w:shd w:val="clear" w:color="auto" w:fill="F5F7FA"/>
          </w:tcPr>
          <w:p>
            <w:pPr>
              <w:spacing w:after="40"/>
            </w:pPr>
            <w:r/>
            <w:r>
              <w:rPr>
                <w:sz w:val="19"/>
              </w:rPr>
              <w:t>5.2</w:t>
            </w:r>
          </w:p>
        </w:tc>
        <w:tc>
          <w:tcPr>
            <w:tcW w:type="dxa" w:w="4082"/>
            <w:shd w:val="clear" w:color="auto" w:fill="F5F7FA"/>
          </w:tcPr>
          <w:p>
            <w:pPr>
              <w:spacing w:after="40"/>
            </w:pPr>
            <w:r/>
            <w:r>
              <w:rPr>
                <w:sz w:val="19"/>
              </w:rPr>
              <w:t>One Information Security and Responsible AI Policy, signed by the CEO, published on the intranet and shared with artists and customers on request.</w:t>
            </w:r>
          </w:p>
        </w:tc>
        <w:tc>
          <w:tcPr>
            <w:tcW w:type="dxa" w:w="1984"/>
            <w:shd w:val="clear" w:color="auto" w:fill="F5F7FA"/>
          </w:tcPr>
          <w:p>
            <w:pPr>
              <w:spacing w:after="40"/>
            </w:pPr>
            <w:r/>
            <w:r>
              <w:rPr>
                <w:sz w:val="19"/>
              </w:rPr>
              <w:t>IMS-POL-001</w:t>
            </w:r>
          </w:p>
        </w:tc>
      </w:tr>
      <w:tr>
        <w:tc>
          <w:tcPr>
            <w:tcW w:type="dxa" w:w="1474"/>
          </w:tcPr>
          <w:p>
            <w:pPr>
              <w:spacing w:after="40"/>
            </w:pPr>
            <w:r/>
            <w:r>
              <w:rPr>
                <w:sz w:val="19"/>
              </w:rPr>
              <w:t>Roles, responsibilities and authorities</w:t>
            </w:r>
          </w:p>
        </w:tc>
        <w:tc>
          <w:tcPr>
            <w:tcW w:type="dxa" w:w="907"/>
          </w:tcPr>
          <w:p>
            <w:pPr>
              <w:spacing w:after="40"/>
            </w:pPr>
            <w:r/>
            <w:r>
              <w:rPr>
                <w:sz w:val="19"/>
              </w:rPr>
              <w:t>5.3</w:t>
            </w:r>
          </w:p>
        </w:tc>
        <w:tc>
          <w:tcPr>
            <w:tcW w:type="dxa" w:w="907"/>
          </w:tcPr>
          <w:p>
            <w:pPr>
              <w:spacing w:after="40"/>
            </w:pPr>
            <w:r/>
            <w:r>
              <w:rPr>
                <w:sz w:val="19"/>
              </w:rPr>
              <w:t>5.3</w:t>
            </w:r>
          </w:p>
        </w:tc>
        <w:tc>
          <w:tcPr>
            <w:tcW w:type="dxa" w:w="4082"/>
          </w:tcPr>
          <w:p>
            <w:pPr>
              <w:spacing w:after="40"/>
            </w:pPr>
            <w:r/>
            <w:r>
              <w:rPr>
                <w:sz w:val="19"/>
              </w:rPr>
              <w:t>The ISMS is owned by [Security Lead]; the AIMS by [Head of AI]; both report on performance to the Trust Council. [Compliance Coordinator] coordinates the IMS day to day.</w:t>
            </w:r>
          </w:p>
        </w:tc>
        <w:tc>
          <w:tcPr>
            <w:tcW w:type="dxa" w:w="1984"/>
          </w:tcPr>
          <w:p>
            <w:pPr>
              <w:spacing w:after="40"/>
            </w:pPr>
            <w:r/>
            <w:r>
              <w:rPr>
                <w:sz w:val="19"/>
              </w:rPr>
              <w:t>IMS-GOV-001</w:t>
            </w:r>
          </w:p>
        </w:tc>
      </w:tr>
    </w:tbl>
    <w:p/>
    <w:p>
      <w:pPr>
        <w:pStyle w:val="Heading1"/>
      </w:pPr>
      <w:r>
        <w:t>7. Clause 6 — Planning</w:t>
      </w:r>
    </w:p>
    <w:p>
      <w:pPr>
        <w:pStyle w:val="Heading2"/>
      </w:pPr>
      <w:r>
        <w:t>7.1 One risk process for information security and AI</w:t>
      </w:r>
    </w:p>
    <w:p>
      <w:r>
        <w:rPr/>
        <w:t>We use one method, one set of 5 x 5 scales and one register for both kinds of risk. An information-security risk is anything that threatens confidentiality, integrity or availability. An AI risk is anything that could stop an AI system meeting its objectives or harm people through the AI system. Risk level is likelihood x impact: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1417"/>
            <w:shd w:val="clear" w:color="auto" w:fill="142B4C"/>
          </w:tcPr>
          <w:p>
            <w:r/>
            <w:r>
              <w:rPr>
                <w:b/>
                <w:color w:val="FFFFFF"/>
                <w:sz w:val="19"/>
              </w:rPr>
              <w:t>Level</w:t>
            </w:r>
          </w:p>
        </w:tc>
        <w:tc>
          <w:tcPr>
            <w:tcW w:type="dxa" w:w="1134"/>
            <w:shd w:val="clear" w:color="auto" w:fill="142B4C"/>
          </w:tcPr>
          <w:p>
            <w:r/>
            <w:r>
              <w:rPr>
                <w:b/>
                <w:color w:val="FFFFFF"/>
                <w:sz w:val="19"/>
              </w:rPr>
              <w:t>Score</w:t>
            </w:r>
          </w:p>
        </w:tc>
        <w:tc>
          <w:tcPr>
            <w:tcW w:type="dxa" w:w="6803"/>
            <w:shd w:val="clear" w:color="auto" w:fill="142B4C"/>
          </w:tcPr>
          <w:p>
            <w:r/>
            <w:r>
              <w:rPr>
                <w:b/>
                <w:color w:val="FFFFFF"/>
                <w:sz w:val="19"/>
              </w:rPr>
              <w:t>What we do</w:t>
            </w:r>
          </w:p>
        </w:tc>
      </w:tr>
      <w:tr>
        <w:tc>
          <w:tcPr>
            <w:tcW w:type="dxa" w:w="1417"/>
          </w:tcPr>
          <w:p>
            <w:pPr>
              <w:spacing w:after="40"/>
            </w:pPr>
            <w:r/>
            <w:r>
              <w:rPr>
                <w:sz w:val="19"/>
              </w:rPr>
              <w:t>Low</w:t>
            </w:r>
          </w:p>
        </w:tc>
        <w:tc>
          <w:tcPr>
            <w:tcW w:type="dxa" w:w="1134"/>
          </w:tcPr>
          <w:p>
            <w:pPr>
              <w:spacing w:after="40"/>
            </w:pPr>
            <w:r/>
            <w:r>
              <w:rPr>
                <w:sz w:val="19"/>
              </w:rPr>
              <w:t>1–4</w:t>
            </w:r>
          </w:p>
        </w:tc>
        <w:tc>
          <w:tcPr>
            <w:tcW w:type="dxa" w:w="6803"/>
          </w:tcPr>
          <w:p>
            <w:pPr>
              <w:spacing w:after="40"/>
            </w:pPr>
            <w:r/>
            <w:r>
              <w:rPr>
                <w:sz w:val="19"/>
              </w:rPr>
              <w:t>Accept; risk owner monitors</w:t>
            </w:r>
          </w:p>
        </w:tc>
      </w:tr>
      <w:tr>
        <w:tc>
          <w:tcPr>
            <w:tcW w:type="dxa" w:w="1417"/>
            <w:shd w:val="clear" w:color="auto" w:fill="F5F7FA"/>
          </w:tcPr>
          <w:p>
            <w:pPr>
              <w:spacing w:after="40"/>
            </w:pPr>
            <w:r/>
            <w:r>
              <w:rPr>
                <w:sz w:val="19"/>
              </w:rPr>
              <w:t>Medium</w:t>
            </w:r>
          </w:p>
        </w:tc>
        <w:tc>
          <w:tcPr>
            <w:tcW w:type="dxa" w:w="1134"/>
            <w:shd w:val="clear" w:color="auto" w:fill="F5F7FA"/>
          </w:tcPr>
          <w:p>
            <w:pPr>
              <w:spacing w:after="40"/>
            </w:pPr>
            <w:r/>
            <w:r>
              <w:rPr>
                <w:sz w:val="19"/>
              </w:rPr>
              <w:t>5–9</w:t>
            </w:r>
          </w:p>
        </w:tc>
        <w:tc>
          <w:tcPr>
            <w:tcW w:type="dxa" w:w="6803"/>
            <w:shd w:val="clear" w:color="auto" w:fill="F5F7FA"/>
          </w:tcPr>
          <w:p>
            <w:pPr>
              <w:spacing w:after="40"/>
            </w:pPr>
            <w:r/>
            <w:r>
              <w:rPr>
                <w:sz w:val="19"/>
              </w:rPr>
              <w:t>Treat, or accept by the risk owner; review every 6 months</w:t>
            </w:r>
          </w:p>
        </w:tc>
      </w:tr>
      <w:tr>
        <w:tc>
          <w:tcPr>
            <w:tcW w:type="dxa" w:w="1417"/>
          </w:tcPr>
          <w:p>
            <w:pPr>
              <w:spacing w:after="40"/>
            </w:pPr>
            <w:r/>
            <w:r>
              <w:rPr>
                <w:sz w:val="19"/>
              </w:rPr>
              <w:t>High</w:t>
            </w:r>
          </w:p>
        </w:tc>
        <w:tc>
          <w:tcPr>
            <w:tcW w:type="dxa" w:w="1134"/>
          </w:tcPr>
          <w:p>
            <w:pPr>
              <w:spacing w:after="40"/>
            </w:pPr>
            <w:r/>
            <w:r>
              <w:rPr>
                <w:sz w:val="19"/>
              </w:rPr>
              <w:t>10–15</w:t>
            </w:r>
          </w:p>
        </w:tc>
        <w:tc>
          <w:tcPr>
            <w:tcW w:type="dxa" w:w="6803"/>
          </w:tcPr>
          <w:p>
            <w:pPr>
              <w:spacing w:after="40"/>
            </w:pPr>
            <w:r/>
            <w:r>
              <w:rPr>
                <w:sz w:val="19"/>
              </w:rPr>
              <w:t>Must treat; residual acceptance only by the Security Lead or Head of AI plus the Trust Council</w:t>
            </w:r>
          </w:p>
        </w:tc>
      </w:tr>
      <w:tr>
        <w:tc>
          <w:tcPr>
            <w:tcW w:type="dxa" w:w="1417"/>
            <w:shd w:val="clear" w:color="auto" w:fill="F5F7FA"/>
          </w:tcPr>
          <w:p>
            <w:pPr>
              <w:spacing w:after="40"/>
            </w:pPr>
            <w:r/>
            <w:r>
              <w:rPr>
                <w:sz w:val="19"/>
              </w:rPr>
              <w:t>Critical</w:t>
            </w:r>
          </w:p>
        </w:tc>
        <w:tc>
          <w:tcPr>
            <w:tcW w:type="dxa" w:w="1134"/>
            <w:shd w:val="clear" w:color="auto" w:fill="F5F7FA"/>
          </w:tcPr>
          <w:p>
            <w:pPr>
              <w:spacing w:after="40"/>
            </w:pPr>
            <w:r/>
            <w:r>
              <w:rPr>
                <w:sz w:val="19"/>
              </w:rPr>
              <w:t>16–25</w:t>
            </w:r>
          </w:p>
        </w:tc>
        <w:tc>
          <w:tcPr>
            <w:tcW w:type="dxa" w:w="6803"/>
            <w:shd w:val="clear" w:color="auto" w:fill="F5F7FA"/>
          </w:tcPr>
          <w:p>
            <w:pPr>
              <w:spacing w:after="40"/>
            </w:pPr>
            <w:r/>
            <w:r>
              <w:rPr>
                <w:sz w:val="19"/>
              </w:rPr>
              <w:t>Not acceptable; stop, redesign or withdraw; tell the CEO within 24 hours</w:t>
            </w:r>
          </w:p>
        </w:tc>
      </w:tr>
    </w:tbl>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474"/>
            <w:shd w:val="clear" w:color="auto" w:fill="142B4C"/>
          </w:tcPr>
          <w:p>
            <w:r/>
            <w:r>
              <w:rPr>
                <w:b/>
                <w:color w:val="FFFFFF"/>
                <w:sz w:val="19"/>
              </w:rPr>
              <w:t>Topic</w:t>
            </w:r>
          </w:p>
        </w:tc>
        <w:tc>
          <w:tcPr>
            <w:tcW w:type="dxa" w:w="907"/>
            <w:shd w:val="clear" w:color="auto" w:fill="142B4C"/>
          </w:tcPr>
          <w:p>
            <w:r/>
            <w:r>
              <w:rPr>
                <w:b/>
                <w:color w:val="FFFFFF"/>
                <w:sz w:val="19"/>
              </w:rPr>
              <w:t>ISO/IEC 27001</w:t>
            </w:r>
          </w:p>
        </w:tc>
        <w:tc>
          <w:tcPr>
            <w:tcW w:type="dxa" w:w="907"/>
            <w:shd w:val="clear" w:color="auto" w:fill="142B4C"/>
          </w:tcPr>
          <w:p>
            <w:r/>
            <w:r>
              <w:rPr>
                <w:b/>
                <w:color w:val="FFFFFF"/>
                <w:sz w:val="19"/>
              </w:rPr>
              <w:t>ISO/IEC 42001</w:t>
            </w:r>
          </w:p>
        </w:tc>
        <w:tc>
          <w:tcPr>
            <w:tcW w:type="dxa" w:w="4082"/>
            <w:shd w:val="clear" w:color="auto" w:fill="142B4C"/>
          </w:tcPr>
          <w:p>
            <w:r/>
            <w:r>
              <w:rPr>
                <w:b/>
                <w:color w:val="FFFFFF"/>
                <w:sz w:val="19"/>
              </w:rPr>
              <w:t>How Quillfen Studio meets both</w:t>
            </w:r>
          </w:p>
        </w:tc>
        <w:tc>
          <w:tcPr>
            <w:tcW w:type="dxa" w:w="1984"/>
            <w:shd w:val="clear" w:color="auto" w:fill="142B4C"/>
          </w:tcPr>
          <w:p>
            <w:r/>
            <w:r>
              <w:rPr>
                <w:b/>
                <w:color w:val="FFFFFF"/>
                <w:sz w:val="19"/>
              </w:rPr>
              <w:t>Where to find it</w:t>
            </w:r>
          </w:p>
        </w:tc>
      </w:tr>
      <w:tr>
        <w:tc>
          <w:tcPr>
            <w:tcW w:type="dxa" w:w="1474"/>
          </w:tcPr>
          <w:p>
            <w:pPr>
              <w:spacing w:after="40"/>
            </w:pPr>
            <w:r/>
            <w:r>
              <w:rPr>
                <w:sz w:val="19"/>
              </w:rPr>
              <w:t>Risks and opportunities (general)</w:t>
            </w:r>
          </w:p>
        </w:tc>
        <w:tc>
          <w:tcPr>
            <w:tcW w:type="dxa" w:w="907"/>
          </w:tcPr>
          <w:p>
            <w:pPr>
              <w:spacing w:after="40"/>
            </w:pPr>
            <w:r/>
            <w:r>
              <w:rPr>
                <w:sz w:val="19"/>
              </w:rPr>
              <w:t>6.1.1</w:t>
            </w:r>
          </w:p>
        </w:tc>
        <w:tc>
          <w:tcPr>
            <w:tcW w:type="dxa" w:w="907"/>
          </w:tcPr>
          <w:p>
            <w:pPr>
              <w:spacing w:after="40"/>
            </w:pPr>
            <w:r/>
            <w:r>
              <w:rPr>
                <w:sz w:val="19"/>
              </w:rPr>
              <w:t>6.1.1</w:t>
            </w:r>
          </w:p>
        </w:tc>
        <w:tc>
          <w:tcPr>
            <w:tcW w:type="dxa" w:w="4082"/>
          </w:tcPr>
          <w:p>
            <w:pPr>
              <w:spacing w:after="40"/>
            </w:pPr>
            <w:r/>
            <w:r>
              <w:rPr>
                <w:sz w:val="19"/>
              </w:rPr>
              <w:t>Issues and interested-party requirements from Clause 4 are turned into risks and opportunities during the twice-yearly context review.</w:t>
            </w:r>
          </w:p>
        </w:tc>
        <w:tc>
          <w:tcPr>
            <w:tcW w:type="dxa" w:w="1984"/>
          </w:tcPr>
          <w:p>
            <w:pPr>
              <w:spacing w:after="40"/>
            </w:pPr>
            <w:r/>
            <w:r>
              <w:rPr>
                <w:sz w:val="19"/>
              </w:rPr>
              <w:t>IMS-REG-001; IMS-REG-002</w:t>
            </w:r>
          </w:p>
        </w:tc>
      </w:tr>
      <w:tr>
        <w:tc>
          <w:tcPr>
            <w:tcW w:type="dxa" w:w="1474"/>
            <w:shd w:val="clear" w:color="auto" w:fill="F5F7FA"/>
          </w:tcPr>
          <w:p>
            <w:pPr>
              <w:spacing w:after="40"/>
            </w:pPr>
            <w:r/>
            <w:r>
              <w:rPr>
                <w:sz w:val="19"/>
              </w:rPr>
              <w:t>Risk assessment</w:t>
            </w:r>
          </w:p>
        </w:tc>
        <w:tc>
          <w:tcPr>
            <w:tcW w:type="dxa" w:w="907"/>
            <w:shd w:val="clear" w:color="auto" w:fill="F5F7FA"/>
          </w:tcPr>
          <w:p>
            <w:pPr>
              <w:spacing w:after="40"/>
            </w:pPr>
            <w:r/>
            <w:r>
              <w:rPr>
                <w:sz w:val="19"/>
              </w:rPr>
              <w:t>6.1.2</w:t>
            </w:r>
          </w:p>
        </w:tc>
        <w:tc>
          <w:tcPr>
            <w:tcW w:type="dxa" w:w="907"/>
            <w:shd w:val="clear" w:color="auto" w:fill="F5F7FA"/>
          </w:tcPr>
          <w:p>
            <w:pPr>
              <w:spacing w:after="40"/>
            </w:pPr>
            <w:r/>
            <w:r>
              <w:rPr>
                <w:sz w:val="19"/>
              </w:rPr>
              <w:t>6.1.2</w:t>
            </w:r>
          </w:p>
        </w:tc>
        <w:tc>
          <w:tcPr>
            <w:tcW w:type="dxa" w:w="4082"/>
            <w:shd w:val="clear" w:color="auto" w:fill="F5F7FA"/>
          </w:tcPr>
          <w:p>
            <w:pPr>
              <w:spacing w:after="40"/>
            </w:pPr>
            <w:r/>
            <w:r>
              <w:rPr>
                <w:sz w:val="19"/>
              </w:rPr>
              <w:t>Workshops with each team at least yearly and whenever a trigger occurs (new AI system, new supplier, major change, incident). AI risks consider the AI system's whole lifecycle.</w:t>
            </w:r>
          </w:p>
        </w:tc>
        <w:tc>
          <w:tcPr>
            <w:tcW w:type="dxa" w:w="1984"/>
            <w:shd w:val="clear" w:color="auto" w:fill="F5F7FA"/>
          </w:tcPr>
          <w:p>
            <w:pPr>
              <w:spacing w:after="40"/>
            </w:pPr>
            <w:r/>
            <w:r>
              <w:rPr>
                <w:sz w:val="19"/>
              </w:rPr>
              <w:t>IMS-PRO-001; IMS-REG-002</w:t>
            </w:r>
          </w:p>
        </w:tc>
      </w:tr>
      <w:tr>
        <w:tc>
          <w:tcPr>
            <w:tcW w:type="dxa" w:w="1474"/>
          </w:tcPr>
          <w:p>
            <w:pPr>
              <w:spacing w:after="40"/>
            </w:pPr>
            <w:r/>
            <w:r>
              <w:rPr>
                <w:sz w:val="19"/>
              </w:rPr>
              <w:t>Risk treatment and SoA</w:t>
            </w:r>
          </w:p>
        </w:tc>
        <w:tc>
          <w:tcPr>
            <w:tcW w:type="dxa" w:w="907"/>
          </w:tcPr>
          <w:p>
            <w:pPr>
              <w:spacing w:after="40"/>
            </w:pPr>
            <w:r/>
            <w:r>
              <w:rPr>
                <w:sz w:val="19"/>
              </w:rPr>
              <w:t>6.1.3</w:t>
            </w:r>
          </w:p>
        </w:tc>
        <w:tc>
          <w:tcPr>
            <w:tcW w:type="dxa" w:w="907"/>
          </w:tcPr>
          <w:p>
            <w:pPr>
              <w:spacing w:after="40"/>
            </w:pPr>
            <w:r/>
            <w:r>
              <w:rPr>
                <w:sz w:val="19"/>
              </w:rPr>
              <w:t>6.1.3</w:t>
            </w:r>
          </w:p>
        </w:tc>
        <w:tc>
          <w:tcPr>
            <w:tcW w:type="dxa" w:w="4082"/>
          </w:tcPr>
          <w:p>
            <w:pPr>
              <w:spacing w:after="40"/>
            </w:pPr>
            <w:r/>
            <w:r>
              <w:rPr>
                <w:sz w:val="19"/>
              </w:rPr>
              <w:t>Risk owners choose treatment; controls are compared with both Annex A lists; decisions are recorded in two Statements of Applicability. The Trust Council approves the treatment plan and residual risk.</w:t>
            </w:r>
          </w:p>
        </w:tc>
        <w:tc>
          <w:tcPr>
            <w:tcW w:type="dxa" w:w="1984"/>
          </w:tcPr>
          <w:p>
            <w:pPr>
              <w:spacing w:after="40"/>
            </w:pPr>
            <w:r/>
            <w:r>
              <w:rPr>
                <w:sz w:val="19"/>
              </w:rPr>
              <w:t>IMS-REG-002; IMS-SOA-001; IMS-SOA-002</w:t>
            </w:r>
          </w:p>
        </w:tc>
      </w:tr>
      <w:tr>
        <w:tc>
          <w:tcPr>
            <w:tcW w:type="dxa" w:w="1474"/>
            <w:shd w:val="clear" w:color="auto" w:fill="F5F7FA"/>
          </w:tcPr>
          <w:p>
            <w:pPr>
              <w:spacing w:after="40"/>
            </w:pPr>
            <w:r/>
            <w:r>
              <w:rPr>
                <w:sz w:val="19"/>
              </w:rPr>
              <w:t>AI system impact assessment</w:t>
            </w:r>
          </w:p>
        </w:tc>
        <w:tc>
          <w:tcPr>
            <w:tcW w:type="dxa" w:w="907"/>
            <w:shd w:val="clear" w:color="auto" w:fill="F5F7FA"/>
          </w:tcPr>
          <w:p>
            <w:pPr>
              <w:spacing w:after="40"/>
            </w:pPr>
            <w:r/>
            <w:r>
              <w:rPr>
                <w:sz w:val="19"/>
              </w:rPr>
              <w:t>—</w:t>
            </w:r>
          </w:p>
        </w:tc>
        <w:tc>
          <w:tcPr>
            <w:tcW w:type="dxa" w:w="907"/>
            <w:shd w:val="clear" w:color="auto" w:fill="F5F7FA"/>
          </w:tcPr>
          <w:p>
            <w:pPr>
              <w:spacing w:after="40"/>
            </w:pPr>
            <w:r/>
            <w:r>
              <w:rPr>
                <w:sz w:val="19"/>
              </w:rPr>
              <w:t>6.1.4</w:t>
            </w:r>
          </w:p>
        </w:tc>
        <w:tc>
          <w:tcPr>
            <w:tcW w:type="dxa" w:w="4082"/>
            <w:shd w:val="clear" w:color="auto" w:fill="F5F7FA"/>
          </w:tcPr>
          <w:p>
            <w:pPr>
              <w:spacing w:after="40"/>
            </w:pPr>
            <w:r/>
            <w:r>
              <w:rPr>
                <w:sz w:val="19"/>
              </w:rPr>
              <w:t>Before release and on significant change, the Head of AI leads an impact assessment of each AI system on individuals, groups and society. Results feed the risk assessment.</w:t>
            </w:r>
          </w:p>
        </w:tc>
        <w:tc>
          <w:tcPr>
            <w:tcW w:type="dxa" w:w="1984"/>
            <w:shd w:val="clear" w:color="auto" w:fill="F5F7FA"/>
          </w:tcPr>
          <w:p>
            <w:pPr>
              <w:spacing w:after="40"/>
            </w:pPr>
            <w:r/>
            <w:r>
              <w:rPr>
                <w:sz w:val="19"/>
              </w:rPr>
              <w:t>IMS-PRO-002</w:t>
            </w:r>
          </w:p>
        </w:tc>
      </w:tr>
      <w:tr>
        <w:tc>
          <w:tcPr>
            <w:tcW w:type="dxa" w:w="1474"/>
          </w:tcPr>
          <w:p>
            <w:pPr>
              <w:spacing w:after="40"/>
            </w:pPr>
            <w:r/>
            <w:r>
              <w:rPr>
                <w:sz w:val="19"/>
              </w:rPr>
              <w:t>Objectives</w:t>
            </w:r>
          </w:p>
        </w:tc>
        <w:tc>
          <w:tcPr>
            <w:tcW w:type="dxa" w:w="907"/>
          </w:tcPr>
          <w:p>
            <w:pPr>
              <w:spacing w:after="40"/>
            </w:pPr>
            <w:r/>
            <w:r>
              <w:rPr>
                <w:sz w:val="19"/>
              </w:rPr>
              <w:t>6.2</w:t>
            </w:r>
          </w:p>
        </w:tc>
        <w:tc>
          <w:tcPr>
            <w:tcW w:type="dxa" w:w="907"/>
          </w:tcPr>
          <w:p>
            <w:pPr>
              <w:spacing w:after="40"/>
            </w:pPr>
            <w:r/>
            <w:r>
              <w:rPr>
                <w:sz w:val="19"/>
              </w:rPr>
              <w:t>6.2</w:t>
            </w:r>
          </w:p>
        </w:tc>
        <w:tc>
          <w:tcPr>
            <w:tcW w:type="dxa" w:w="4082"/>
          </w:tcPr>
          <w:p>
            <w:pPr>
              <w:spacing w:after="40"/>
            </w:pPr>
            <w:r/>
            <w:r>
              <w:rPr>
                <w:sz w:val="19"/>
              </w:rPr>
              <w:t>One set of objectives with metrics, targets, owners and monitoring dates, approved yearly.</w:t>
            </w:r>
          </w:p>
        </w:tc>
        <w:tc>
          <w:tcPr>
            <w:tcW w:type="dxa" w:w="1984"/>
          </w:tcPr>
          <w:p>
            <w:pPr>
              <w:spacing w:after="40"/>
            </w:pPr>
            <w:r/>
            <w:r>
              <w:rPr>
                <w:sz w:val="19"/>
              </w:rPr>
              <w:t>IMS-REG-003</w:t>
            </w:r>
          </w:p>
        </w:tc>
      </w:tr>
      <w:tr>
        <w:tc>
          <w:tcPr>
            <w:tcW w:type="dxa" w:w="1474"/>
            <w:shd w:val="clear" w:color="auto" w:fill="F5F7FA"/>
          </w:tcPr>
          <w:p>
            <w:pPr>
              <w:spacing w:after="40"/>
            </w:pPr>
            <w:r/>
            <w:r>
              <w:rPr>
                <w:sz w:val="19"/>
              </w:rPr>
              <w:t>Planning of changes</w:t>
            </w:r>
          </w:p>
        </w:tc>
        <w:tc>
          <w:tcPr>
            <w:tcW w:type="dxa" w:w="907"/>
            <w:shd w:val="clear" w:color="auto" w:fill="F5F7FA"/>
          </w:tcPr>
          <w:p>
            <w:pPr>
              <w:spacing w:after="40"/>
            </w:pPr>
            <w:r/>
            <w:r>
              <w:rPr>
                <w:sz w:val="19"/>
              </w:rPr>
              <w:t>6.3</w:t>
            </w:r>
          </w:p>
        </w:tc>
        <w:tc>
          <w:tcPr>
            <w:tcW w:type="dxa" w:w="907"/>
            <w:shd w:val="clear" w:color="auto" w:fill="F5F7FA"/>
          </w:tcPr>
          <w:p>
            <w:pPr>
              <w:spacing w:after="40"/>
            </w:pPr>
            <w:r/>
            <w:r>
              <w:rPr>
                <w:sz w:val="19"/>
              </w:rPr>
              <w:t>6.3</w:t>
            </w:r>
          </w:p>
        </w:tc>
        <w:tc>
          <w:tcPr>
            <w:tcW w:type="dxa" w:w="4082"/>
            <w:shd w:val="clear" w:color="auto" w:fill="F5F7FA"/>
          </w:tcPr>
          <w:p>
            <w:pPr>
              <w:spacing w:after="40"/>
            </w:pPr>
            <w:r/>
            <w:r>
              <w:rPr>
                <w:sz w:val="19"/>
              </w:rPr>
              <w:t>Changes to the IMS itself (new scope, new committee, new standard) are planned, risk-assessed and approved by the Trust Council.</w:t>
            </w:r>
          </w:p>
        </w:tc>
        <w:tc>
          <w:tcPr>
            <w:tcW w:type="dxa" w:w="1984"/>
            <w:shd w:val="clear" w:color="auto" w:fill="F5F7FA"/>
          </w:tcPr>
          <w:p>
            <w:pPr>
              <w:spacing w:after="40"/>
            </w:pPr>
            <w:r/>
            <w:r>
              <w:rPr>
                <w:sz w:val="19"/>
              </w:rPr>
              <w:t>Trust Council minutes; IMS-PRO-004</w:t>
            </w:r>
          </w:p>
        </w:tc>
      </w:tr>
    </w:tbl>
    <w:p/>
    <w:p>
      <w:r>
        <w:rPr/>
        <w:t>Current objectives: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907"/>
            <w:shd w:val="clear" w:color="auto" w:fill="142B4C"/>
          </w:tcPr>
          <w:p>
            <w:r/>
            <w:r>
              <w:rPr>
                <w:b/>
                <w:color w:val="FFFFFF"/>
                <w:sz w:val="19"/>
              </w:rPr>
              <w:t>ID</w:t>
            </w:r>
          </w:p>
        </w:tc>
        <w:tc>
          <w:tcPr>
            <w:tcW w:type="dxa" w:w="3685"/>
            <w:shd w:val="clear" w:color="auto" w:fill="142B4C"/>
          </w:tcPr>
          <w:p>
            <w:r/>
            <w:r>
              <w:rPr>
                <w:b/>
                <w:color w:val="FFFFFF"/>
                <w:sz w:val="19"/>
              </w:rPr>
              <w:t>Objective</w:t>
            </w:r>
          </w:p>
        </w:tc>
        <w:tc>
          <w:tcPr>
            <w:tcW w:type="dxa" w:w="3061"/>
            <w:shd w:val="clear" w:color="auto" w:fill="142B4C"/>
          </w:tcPr>
          <w:p>
            <w:r/>
            <w:r>
              <w:rPr>
                <w:b/>
                <w:color w:val="FFFFFF"/>
                <w:sz w:val="19"/>
              </w:rPr>
              <w:t>Target</w:t>
            </w:r>
          </w:p>
        </w:tc>
        <w:tc>
          <w:tcPr>
            <w:tcW w:type="dxa" w:w="1701"/>
            <w:shd w:val="clear" w:color="auto" w:fill="142B4C"/>
          </w:tcPr>
          <w:p>
            <w:r/>
            <w:r>
              <w:rPr>
                <w:b/>
                <w:color w:val="FFFFFF"/>
                <w:sz w:val="19"/>
              </w:rPr>
              <w:t>Owner</w:t>
            </w:r>
          </w:p>
        </w:tc>
      </w:tr>
      <w:tr>
        <w:tc>
          <w:tcPr>
            <w:tcW w:type="dxa" w:w="907"/>
          </w:tcPr>
          <w:p>
            <w:pPr>
              <w:spacing w:after="40"/>
            </w:pPr>
            <w:r/>
            <w:r>
              <w:rPr>
                <w:sz w:val="19"/>
              </w:rPr>
              <w:t>OBJ-01</w:t>
            </w:r>
          </w:p>
        </w:tc>
        <w:tc>
          <w:tcPr>
            <w:tcW w:type="dxa" w:w="3685"/>
          </w:tcPr>
          <w:p>
            <w:pPr>
              <w:spacing w:after="40"/>
            </w:pPr>
            <w:r/>
            <w:r>
              <w:rPr>
                <w:sz w:val="19"/>
              </w:rPr>
              <w:t>Certify the integrated system</w:t>
            </w:r>
          </w:p>
        </w:tc>
        <w:tc>
          <w:tcPr>
            <w:tcW w:type="dxa" w:w="3061"/>
          </w:tcPr>
          <w:p>
            <w:pPr>
              <w:spacing w:after="40"/>
            </w:pPr>
            <w:r/>
            <w:r>
              <w:rPr>
                <w:sz w:val="19"/>
              </w:rPr>
              <w:t>Both by 2027-09-30</w:t>
            </w:r>
          </w:p>
        </w:tc>
        <w:tc>
          <w:tcPr>
            <w:tcW w:type="dxa" w:w="1701"/>
          </w:tcPr>
          <w:p>
            <w:pPr>
              <w:spacing w:after="40"/>
            </w:pPr>
            <w:r/>
            <w:r>
              <w:rPr>
                <w:sz w:val="19"/>
              </w:rPr>
              <w:t>[CEO]</w:t>
            </w:r>
          </w:p>
        </w:tc>
      </w:tr>
      <w:tr>
        <w:tc>
          <w:tcPr>
            <w:tcW w:type="dxa" w:w="907"/>
            <w:shd w:val="clear" w:color="auto" w:fill="F5F7FA"/>
          </w:tcPr>
          <w:p>
            <w:pPr>
              <w:spacing w:after="40"/>
            </w:pPr>
            <w:r/>
            <w:r>
              <w:rPr>
                <w:sz w:val="19"/>
              </w:rPr>
              <w:t>OBJ-02</w:t>
            </w:r>
          </w:p>
        </w:tc>
        <w:tc>
          <w:tcPr>
            <w:tcW w:type="dxa" w:w="3685"/>
            <w:shd w:val="clear" w:color="auto" w:fill="F5F7FA"/>
          </w:tcPr>
          <w:p>
            <w:pPr>
              <w:spacing w:after="40"/>
            </w:pPr>
            <w:r/>
            <w:r>
              <w:rPr>
                <w:sz w:val="19"/>
              </w:rPr>
              <w:t>Every AI release passes the AI Release Review</w:t>
            </w:r>
          </w:p>
        </w:tc>
        <w:tc>
          <w:tcPr>
            <w:tcW w:type="dxa" w:w="3061"/>
            <w:shd w:val="clear" w:color="auto" w:fill="F5F7FA"/>
          </w:tcPr>
          <w:p>
            <w:pPr>
              <w:spacing w:after="40"/>
            </w:pPr>
            <w:r/>
            <w:r>
              <w:rPr>
                <w:sz w:val="19"/>
              </w:rPr>
              <w:t>100%</w:t>
            </w:r>
          </w:p>
        </w:tc>
        <w:tc>
          <w:tcPr>
            <w:tcW w:type="dxa" w:w="1701"/>
            <w:shd w:val="clear" w:color="auto" w:fill="F5F7FA"/>
          </w:tcPr>
          <w:p>
            <w:pPr>
              <w:spacing w:after="40"/>
            </w:pPr>
            <w:r/>
            <w:r>
              <w:rPr>
                <w:sz w:val="19"/>
              </w:rPr>
              <w:t>[Head of AI]</w:t>
            </w:r>
          </w:p>
        </w:tc>
      </w:tr>
      <w:tr>
        <w:tc>
          <w:tcPr>
            <w:tcW w:type="dxa" w:w="907"/>
          </w:tcPr>
          <w:p>
            <w:pPr>
              <w:spacing w:after="40"/>
            </w:pPr>
            <w:r/>
            <w:r>
              <w:rPr>
                <w:sz w:val="19"/>
              </w:rPr>
              <w:t>OBJ-03</w:t>
            </w:r>
          </w:p>
        </w:tc>
        <w:tc>
          <w:tcPr>
            <w:tcW w:type="dxa" w:w="3685"/>
          </w:tcPr>
          <w:p>
            <w:pPr>
              <w:spacing w:after="40"/>
            </w:pPr>
            <w:r/>
            <w:r>
              <w:rPr>
                <w:sz w:val="19"/>
              </w:rPr>
              <w:t>Respect artists' rights in training data</w:t>
            </w:r>
          </w:p>
        </w:tc>
        <w:tc>
          <w:tcPr>
            <w:tcW w:type="dxa" w:w="3061"/>
          </w:tcPr>
          <w:p>
            <w:pPr>
              <w:spacing w:after="40"/>
            </w:pPr>
            <w:r/>
            <w:r>
              <w:rPr>
                <w:sz w:val="19"/>
              </w:rPr>
              <w:t>100%; zero unresolved opt-out requests older than 14 days</w:t>
            </w:r>
          </w:p>
        </w:tc>
        <w:tc>
          <w:tcPr>
            <w:tcW w:type="dxa" w:w="1701"/>
          </w:tcPr>
          <w:p>
            <w:pPr>
              <w:spacing w:after="40"/>
            </w:pPr>
            <w:r/>
            <w:r>
              <w:rPr>
                <w:sz w:val="19"/>
              </w:rPr>
              <w:t>[Data and ML Lead]</w:t>
            </w:r>
          </w:p>
        </w:tc>
      </w:tr>
      <w:tr>
        <w:tc>
          <w:tcPr>
            <w:tcW w:type="dxa" w:w="907"/>
            <w:shd w:val="clear" w:color="auto" w:fill="F5F7FA"/>
          </w:tcPr>
          <w:p>
            <w:pPr>
              <w:spacing w:after="40"/>
            </w:pPr>
            <w:r/>
            <w:r>
              <w:rPr>
                <w:sz w:val="19"/>
              </w:rPr>
              <w:t>OBJ-04</w:t>
            </w:r>
          </w:p>
        </w:tc>
        <w:tc>
          <w:tcPr>
            <w:tcW w:type="dxa" w:w="3685"/>
            <w:shd w:val="clear" w:color="auto" w:fill="F5F7FA"/>
          </w:tcPr>
          <w:p>
            <w:pPr>
              <w:spacing w:after="40"/>
            </w:pPr>
            <w:r/>
            <w:r>
              <w:rPr>
                <w:sz w:val="19"/>
              </w:rPr>
              <w:t>Keep critical vulnerabilities short-lived</w:t>
            </w:r>
          </w:p>
        </w:tc>
        <w:tc>
          <w:tcPr>
            <w:tcW w:type="dxa" w:w="3061"/>
            <w:shd w:val="clear" w:color="auto" w:fill="F5F7FA"/>
          </w:tcPr>
          <w:p>
            <w:pPr>
              <w:spacing w:after="40"/>
            </w:pPr>
            <w:r/>
            <w:r>
              <w:rPr>
                <w:sz w:val="19"/>
              </w:rPr>
              <w:t>Critical ≤ 7 days, high ≤ 30 days</w:t>
            </w:r>
          </w:p>
        </w:tc>
        <w:tc>
          <w:tcPr>
            <w:tcW w:type="dxa" w:w="1701"/>
            <w:shd w:val="clear" w:color="auto" w:fill="F5F7FA"/>
          </w:tcPr>
          <w:p>
            <w:pPr>
              <w:spacing w:after="40"/>
            </w:pPr>
            <w:r/>
            <w:r>
              <w:rPr>
                <w:sz w:val="19"/>
              </w:rPr>
              <w:t>[CTO]</w:t>
            </w:r>
          </w:p>
        </w:tc>
      </w:tr>
      <w:tr>
        <w:tc>
          <w:tcPr>
            <w:tcW w:type="dxa" w:w="907"/>
          </w:tcPr>
          <w:p>
            <w:pPr>
              <w:spacing w:after="40"/>
            </w:pPr>
            <w:r/>
            <w:r>
              <w:rPr>
                <w:sz w:val="19"/>
              </w:rPr>
              <w:t>OBJ-05</w:t>
            </w:r>
          </w:p>
        </w:tc>
        <w:tc>
          <w:tcPr>
            <w:tcW w:type="dxa" w:w="3685"/>
          </w:tcPr>
          <w:p>
            <w:pPr>
              <w:spacing w:after="40"/>
            </w:pPr>
            <w:r/>
            <w:r>
              <w:rPr>
                <w:sz w:val="19"/>
              </w:rPr>
              <w:t>Make people the strongest control</w:t>
            </w:r>
          </w:p>
        </w:tc>
        <w:tc>
          <w:tcPr>
            <w:tcW w:type="dxa" w:w="3061"/>
          </w:tcPr>
          <w:p>
            <w:pPr>
              <w:spacing w:after="40"/>
            </w:pPr>
            <w:r/>
            <w:r>
              <w:rPr>
                <w:sz w:val="19"/>
              </w:rPr>
              <w:t>100% within 30 days of joining and yearly; report rate ≥ 60%</w:t>
            </w:r>
          </w:p>
        </w:tc>
        <w:tc>
          <w:tcPr>
            <w:tcW w:type="dxa" w:w="1701"/>
          </w:tcPr>
          <w:p>
            <w:pPr>
              <w:spacing w:after="40"/>
            </w:pPr>
            <w:r/>
            <w:r>
              <w:rPr>
                <w:sz w:val="19"/>
              </w:rPr>
              <w:t>[People and Operations Lead]</w:t>
            </w:r>
          </w:p>
        </w:tc>
      </w:tr>
      <w:tr>
        <w:tc>
          <w:tcPr>
            <w:tcW w:type="dxa" w:w="907"/>
            <w:shd w:val="clear" w:color="auto" w:fill="F5F7FA"/>
          </w:tcPr>
          <w:p>
            <w:pPr>
              <w:spacing w:after="40"/>
            </w:pPr>
            <w:r/>
            <w:r>
              <w:rPr>
                <w:sz w:val="19"/>
              </w:rPr>
              <w:t>OBJ-06</w:t>
            </w:r>
          </w:p>
        </w:tc>
        <w:tc>
          <w:tcPr>
            <w:tcW w:type="dxa" w:w="3685"/>
            <w:shd w:val="clear" w:color="auto" w:fill="F5F7FA"/>
          </w:tcPr>
          <w:p>
            <w:pPr>
              <w:spacing w:after="40"/>
            </w:pPr>
            <w:r/>
            <w:r>
              <w:rPr>
                <w:sz w:val="19"/>
              </w:rPr>
              <w:t>Fair exposure for artists</w:t>
            </w:r>
          </w:p>
        </w:tc>
        <w:tc>
          <w:tcPr>
            <w:tcW w:type="dxa" w:w="3061"/>
            <w:shd w:val="clear" w:color="auto" w:fill="F5F7FA"/>
          </w:tcPr>
          <w:p>
            <w:pPr>
              <w:spacing w:after="40"/>
            </w:pPr>
            <w:r/>
            <w:r>
              <w:rPr>
                <w:sz w:val="19"/>
              </w:rPr>
              <w:t>≥ 0.8 every month</w:t>
            </w:r>
          </w:p>
        </w:tc>
        <w:tc>
          <w:tcPr>
            <w:tcW w:type="dxa" w:w="1701"/>
            <w:shd w:val="clear" w:color="auto" w:fill="F5F7FA"/>
          </w:tcPr>
          <w:p>
            <w:pPr>
              <w:spacing w:after="40"/>
            </w:pPr>
            <w:r/>
            <w:r>
              <w:rPr>
                <w:sz w:val="19"/>
              </w:rPr>
              <w:t>[Head of AI]</w:t>
            </w:r>
          </w:p>
        </w:tc>
      </w:tr>
      <w:tr>
        <w:tc>
          <w:tcPr>
            <w:tcW w:type="dxa" w:w="907"/>
          </w:tcPr>
          <w:p>
            <w:pPr>
              <w:spacing w:after="40"/>
            </w:pPr>
            <w:r/>
            <w:r>
              <w:rPr>
                <w:sz w:val="19"/>
              </w:rPr>
              <w:t>OBJ-07</w:t>
            </w:r>
          </w:p>
        </w:tc>
        <w:tc>
          <w:tcPr>
            <w:tcW w:type="dxa" w:w="3685"/>
          </w:tcPr>
          <w:p>
            <w:pPr>
              <w:spacing w:after="40"/>
            </w:pPr>
            <w:r/>
            <w:r>
              <w:rPr>
                <w:sz w:val="19"/>
              </w:rPr>
              <w:t>Stay available</w:t>
            </w:r>
          </w:p>
        </w:tc>
        <w:tc>
          <w:tcPr>
            <w:tcW w:type="dxa" w:w="3061"/>
          </w:tcPr>
          <w:p>
            <w:pPr>
              <w:spacing w:after="40"/>
            </w:pPr>
            <w:r/>
            <w:r>
              <w:rPr>
                <w:sz w:val="19"/>
              </w:rPr>
              <w:t>≥ 99.5%</w:t>
            </w:r>
          </w:p>
        </w:tc>
        <w:tc>
          <w:tcPr>
            <w:tcW w:type="dxa" w:w="1701"/>
          </w:tcPr>
          <w:p>
            <w:pPr>
              <w:spacing w:after="40"/>
            </w:pPr>
            <w:r/>
            <w:r>
              <w:rPr>
                <w:sz w:val="19"/>
              </w:rPr>
              <w:t>[Platform Engineer]</w:t>
            </w:r>
          </w:p>
        </w:tc>
      </w:tr>
    </w:tbl>
    <w:p/>
    <w:p>
      <w:pPr>
        <w:pStyle w:val="Heading1"/>
      </w:pPr>
      <w:r>
        <w:t>8. Clause 7 — Support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474"/>
            <w:shd w:val="clear" w:color="auto" w:fill="142B4C"/>
          </w:tcPr>
          <w:p>
            <w:r/>
            <w:r>
              <w:rPr>
                <w:b/>
                <w:color w:val="FFFFFF"/>
                <w:sz w:val="19"/>
              </w:rPr>
              <w:t>Topic</w:t>
            </w:r>
          </w:p>
        </w:tc>
        <w:tc>
          <w:tcPr>
            <w:tcW w:type="dxa" w:w="907"/>
            <w:shd w:val="clear" w:color="auto" w:fill="142B4C"/>
          </w:tcPr>
          <w:p>
            <w:r/>
            <w:r>
              <w:rPr>
                <w:b/>
                <w:color w:val="FFFFFF"/>
                <w:sz w:val="19"/>
              </w:rPr>
              <w:t>ISO/IEC 27001</w:t>
            </w:r>
          </w:p>
        </w:tc>
        <w:tc>
          <w:tcPr>
            <w:tcW w:type="dxa" w:w="907"/>
            <w:shd w:val="clear" w:color="auto" w:fill="142B4C"/>
          </w:tcPr>
          <w:p>
            <w:r/>
            <w:r>
              <w:rPr>
                <w:b/>
                <w:color w:val="FFFFFF"/>
                <w:sz w:val="19"/>
              </w:rPr>
              <w:t>ISO/IEC 42001</w:t>
            </w:r>
          </w:p>
        </w:tc>
        <w:tc>
          <w:tcPr>
            <w:tcW w:type="dxa" w:w="4082"/>
            <w:shd w:val="clear" w:color="auto" w:fill="142B4C"/>
          </w:tcPr>
          <w:p>
            <w:r/>
            <w:r>
              <w:rPr>
                <w:b/>
                <w:color w:val="FFFFFF"/>
                <w:sz w:val="19"/>
              </w:rPr>
              <w:t>How Quillfen Studio meets both</w:t>
            </w:r>
          </w:p>
        </w:tc>
        <w:tc>
          <w:tcPr>
            <w:tcW w:type="dxa" w:w="1984"/>
            <w:shd w:val="clear" w:color="auto" w:fill="142B4C"/>
          </w:tcPr>
          <w:p>
            <w:r/>
            <w:r>
              <w:rPr>
                <w:b/>
                <w:color w:val="FFFFFF"/>
                <w:sz w:val="19"/>
              </w:rPr>
              <w:t>Where to find it</w:t>
            </w:r>
          </w:p>
        </w:tc>
      </w:tr>
      <w:tr>
        <w:tc>
          <w:tcPr>
            <w:tcW w:type="dxa" w:w="1474"/>
          </w:tcPr>
          <w:p>
            <w:pPr>
              <w:spacing w:after="40"/>
            </w:pPr>
            <w:r/>
            <w:r>
              <w:rPr>
                <w:sz w:val="19"/>
              </w:rPr>
              <w:t>Resources</w:t>
            </w:r>
          </w:p>
        </w:tc>
        <w:tc>
          <w:tcPr>
            <w:tcW w:type="dxa" w:w="907"/>
          </w:tcPr>
          <w:p>
            <w:pPr>
              <w:spacing w:after="40"/>
            </w:pPr>
            <w:r/>
            <w:r>
              <w:rPr>
                <w:sz w:val="19"/>
              </w:rPr>
              <w:t>7.1</w:t>
            </w:r>
          </w:p>
        </w:tc>
        <w:tc>
          <w:tcPr>
            <w:tcW w:type="dxa" w:w="907"/>
          </w:tcPr>
          <w:p>
            <w:pPr>
              <w:spacing w:after="40"/>
            </w:pPr>
            <w:r/>
            <w:r>
              <w:rPr>
                <w:sz w:val="19"/>
              </w:rPr>
              <w:t>7.1</w:t>
            </w:r>
          </w:p>
        </w:tc>
        <w:tc>
          <w:tcPr>
            <w:tcW w:type="dxa" w:w="4082"/>
          </w:tcPr>
          <w:p>
            <w:pPr>
              <w:spacing w:after="40"/>
            </w:pPr>
            <w:r/>
            <w:r>
              <w:rPr>
                <w:sz w:val="19"/>
              </w:rPr>
              <w:t>People, budget and tools are agreed in the annual plan. For AI we also track the resources the standard highlights: data, tooling, compute, system components and human expertise.</w:t>
            </w:r>
          </w:p>
        </w:tc>
        <w:tc>
          <w:tcPr>
            <w:tcW w:type="dxa" w:w="1984"/>
          </w:tcPr>
          <w:p>
            <w:pPr>
              <w:spacing w:after="40"/>
            </w:pPr>
            <w:r/>
            <w:r>
              <w:rPr>
                <w:sz w:val="19"/>
              </w:rPr>
              <w:t>IMS-REG-005; IMS-SOA-002 (A.4)</w:t>
            </w:r>
          </w:p>
        </w:tc>
      </w:tr>
      <w:tr>
        <w:tc>
          <w:tcPr>
            <w:tcW w:type="dxa" w:w="1474"/>
            <w:shd w:val="clear" w:color="auto" w:fill="F5F7FA"/>
          </w:tcPr>
          <w:p>
            <w:pPr>
              <w:spacing w:after="40"/>
            </w:pPr>
            <w:r/>
            <w:r>
              <w:rPr>
                <w:sz w:val="19"/>
              </w:rPr>
              <w:t>Competence</w:t>
            </w:r>
          </w:p>
        </w:tc>
        <w:tc>
          <w:tcPr>
            <w:tcW w:type="dxa" w:w="907"/>
            <w:shd w:val="clear" w:color="auto" w:fill="F5F7FA"/>
          </w:tcPr>
          <w:p>
            <w:pPr>
              <w:spacing w:after="40"/>
            </w:pPr>
            <w:r/>
            <w:r>
              <w:rPr>
                <w:sz w:val="19"/>
              </w:rPr>
              <w:t>7.2</w:t>
            </w:r>
          </w:p>
        </w:tc>
        <w:tc>
          <w:tcPr>
            <w:tcW w:type="dxa" w:w="907"/>
            <w:shd w:val="clear" w:color="auto" w:fill="F5F7FA"/>
          </w:tcPr>
          <w:p>
            <w:pPr>
              <w:spacing w:after="40"/>
            </w:pPr>
            <w:r/>
            <w:r>
              <w:rPr>
                <w:sz w:val="19"/>
              </w:rPr>
              <w:t>7.2</w:t>
            </w:r>
          </w:p>
        </w:tc>
        <w:tc>
          <w:tcPr>
            <w:tcW w:type="dxa" w:w="4082"/>
            <w:shd w:val="clear" w:color="auto" w:fill="F5F7FA"/>
          </w:tcPr>
          <w:p>
            <w:pPr>
              <w:spacing w:after="40"/>
            </w:pPr>
            <w:r/>
            <w:r>
              <w:rPr>
                <w:sz w:val="19"/>
              </w:rPr>
              <w:t>Each IMS role has required competences; gaps are closed by training, mentoring or hiring; evidence is kept.</w:t>
            </w:r>
          </w:p>
        </w:tc>
        <w:tc>
          <w:tcPr>
            <w:tcW w:type="dxa" w:w="1984"/>
            <w:shd w:val="clear" w:color="auto" w:fill="F5F7FA"/>
          </w:tcPr>
          <w:p>
            <w:pPr>
              <w:spacing w:after="40"/>
            </w:pPr>
            <w:r/>
            <w:r>
              <w:rPr>
                <w:sz w:val="19"/>
              </w:rPr>
              <w:t>IMS-PRO-003; IMS-REG-004</w:t>
            </w:r>
          </w:p>
        </w:tc>
      </w:tr>
      <w:tr>
        <w:tc>
          <w:tcPr>
            <w:tcW w:type="dxa" w:w="1474"/>
          </w:tcPr>
          <w:p>
            <w:pPr>
              <w:spacing w:after="40"/>
            </w:pPr>
            <w:r/>
            <w:r>
              <w:rPr>
                <w:sz w:val="19"/>
              </w:rPr>
              <w:t>Awareness</w:t>
            </w:r>
          </w:p>
        </w:tc>
        <w:tc>
          <w:tcPr>
            <w:tcW w:type="dxa" w:w="907"/>
          </w:tcPr>
          <w:p>
            <w:pPr>
              <w:spacing w:after="40"/>
            </w:pPr>
            <w:r/>
            <w:r>
              <w:rPr>
                <w:sz w:val="19"/>
              </w:rPr>
              <w:t>7.3</w:t>
            </w:r>
          </w:p>
        </w:tc>
        <w:tc>
          <w:tcPr>
            <w:tcW w:type="dxa" w:w="907"/>
          </w:tcPr>
          <w:p>
            <w:pPr>
              <w:spacing w:after="40"/>
            </w:pPr>
            <w:r/>
            <w:r>
              <w:rPr>
                <w:sz w:val="19"/>
              </w:rPr>
              <w:t>7.3</w:t>
            </w:r>
          </w:p>
        </w:tc>
        <w:tc>
          <w:tcPr>
            <w:tcW w:type="dxa" w:w="4082"/>
          </w:tcPr>
          <w:p>
            <w:pPr>
              <w:spacing w:after="40"/>
            </w:pPr>
            <w:r/>
            <w:r>
              <w:rPr>
                <w:sz w:val="19"/>
              </w:rPr>
              <w:t>Combined security and responsible-AI awareness training within 30 days of joining and every year after; monthly phishing simulation.</w:t>
            </w:r>
          </w:p>
        </w:tc>
        <w:tc>
          <w:tcPr>
            <w:tcW w:type="dxa" w:w="1984"/>
          </w:tcPr>
          <w:p>
            <w:pPr>
              <w:spacing w:after="40"/>
            </w:pPr>
            <w:r/>
            <w:r>
              <w:rPr>
                <w:sz w:val="19"/>
              </w:rPr>
              <w:t>IMS-PRO-003; IMS-REG-004</w:t>
            </w:r>
          </w:p>
        </w:tc>
      </w:tr>
      <w:tr>
        <w:tc>
          <w:tcPr>
            <w:tcW w:type="dxa" w:w="1474"/>
            <w:shd w:val="clear" w:color="auto" w:fill="F5F7FA"/>
          </w:tcPr>
          <w:p>
            <w:pPr>
              <w:spacing w:after="40"/>
            </w:pPr>
            <w:r/>
            <w:r>
              <w:rPr>
                <w:sz w:val="19"/>
              </w:rPr>
              <w:t>Communication</w:t>
            </w:r>
          </w:p>
        </w:tc>
        <w:tc>
          <w:tcPr>
            <w:tcW w:type="dxa" w:w="907"/>
            <w:shd w:val="clear" w:color="auto" w:fill="F5F7FA"/>
          </w:tcPr>
          <w:p>
            <w:pPr>
              <w:spacing w:after="40"/>
            </w:pPr>
            <w:r/>
            <w:r>
              <w:rPr>
                <w:sz w:val="19"/>
              </w:rPr>
              <w:t>7.4</w:t>
            </w:r>
          </w:p>
        </w:tc>
        <w:tc>
          <w:tcPr>
            <w:tcW w:type="dxa" w:w="907"/>
            <w:shd w:val="clear" w:color="auto" w:fill="F5F7FA"/>
          </w:tcPr>
          <w:p>
            <w:pPr>
              <w:spacing w:after="40"/>
            </w:pPr>
            <w:r/>
            <w:r>
              <w:rPr>
                <w:sz w:val="19"/>
              </w:rPr>
              <w:t>7.4</w:t>
            </w:r>
          </w:p>
        </w:tc>
        <w:tc>
          <w:tcPr>
            <w:tcW w:type="dxa" w:w="4082"/>
            <w:shd w:val="clear" w:color="auto" w:fill="F5F7FA"/>
          </w:tcPr>
          <w:p>
            <w:pPr>
              <w:spacing w:after="40"/>
            </w:pPr>
            <w:r/>
            <w:r>
              <w:rPr>
                <w:sz w:val="19"/>
              </w:rPr>
              <w:t>One communication plan: what, when, with whom, by whom — internal and external (customers, artists, regulators).</w:t>
            </w:r>
          </w:p>
        </w:tc>
        <w:tc>
          <w:tcPr>
            <w:tcW w:type="dxa" w:w="1984"/>
            <w:shd w:val="clear" w:color="auto" w:fill="F5F7FA"/>
          </w:tcPr>
          <w:p>
            <w:pPr>
              <w:spacing w:after="40"/>
            </w:pPr>
            <w:r/>
            <w:r>
              <w:rPr>
                <w:sz w:val="19"/>
              </w:rPr>
              <w:t>IMS-REG-004 communication plan</w:t>
            </w:r>
          </w:p>
        </w:tc>
      </w:tr>
      <w:tr>
        <w:tc>
          <w:tcPr>
            <w:tcW w:type="dxa" w:w="1474"/>
          </w:tcPr>
          <w:p>
            <w:pPr>
              <w:spacing w:after="40"/>
            </w:pPr>
            <w:r/>
            <w:r>
              <w:rPr>
                <w:sz w:val="19"/>
              </w:rPr>
              <w:t>Documented information</w:t>
            </w:r>
          </w:p>
        </w:tc>
        <w:tc>
          <w:tcPr>
            <w:tcW w:type="dxa" w:w="907"/>
          </w:tcPr>
          <w:p>
            <w:pPr>
              <w:spacing w:after="40"/>
            </w:pPr>
            <w:r/>
            <w:r>
              <w:rPr>
                <w:sz w:val="19"/>
              </w:rPr>
              <w:t>7.5</w:t>
            </w:r>
          </w:p>
        </w:tc>
        <w:tc>
          <w:tcPr>
            <w:tcW w:type="dxa" w:w="907"/>
          </w:tcPr>
          <w:p>
            <w:pPr>
              <w:spacing w:after="40"/>
            </w:pPr>
            <w:r/>
            <w:r>
              <w:rPr>
                <w:sz w:val="19"/>
              </w:rPr>
              <w:t>7.5</w:t>
            </w:r>
          </w:p>
        </w:tc>
        <w:tc>
          <w:tcPr>
            <w:tcW w:type="dxa" w:w="4082"/>
          </w:tcPr>
          <w:p>
            <w:pPr>
              <w:spacing w:after="40"/>
            </w:pPr>
            <w:r/>
            <w:r>
              <w:rPr>
                <w:sz w:val="19"/>
              </w:rPr>
              <w:t>Documents have an ID, owner, version and approval; records are kept in defined systems for defined periods.</w:t>
            </w:r>
          </w:p>
        </w:tc>
        <w:tc>
          <w:tcPr>
            <w:tcW w:type="dxa" w:w="1984"/>
          </w:tcPr>
          <w:p>
            <w:pPr>
              <w:spacing w:after="40"/>
            </w:pPr>
            <w:r/>
            <w:r>
              <w:rPr>
                <w:sz w:val="19"/>
              </w:rPr>
              <w:t>IMS-PRO-004; IMS-WBK-001 register</w:t>
            </w:r>
          </w:p>
        </w:tc>
      </w:tr>
    </w:tbl>
    <w:p/>
    <w:p>
      <w:pPr>
        <w:pStyle w:val="Heading1"/>
      </w:pPr>
      <w:r>
        <w:t>9. Clause 8 — Operation</w:t>
      </w:r>
    </w:p>
    <w:p>
      <w:r>
        <w:rPr/>
        <w:t>Operation is where the plans become daily practice. Most of the Annex A controls of both standards live here, inside our topic policies and procedures.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474"/>
            <w:shd w:val="clear" w:color="auto" w:fill="142B4C"/>
          </w:tcPr>
          <w:p>
            <w:r/>
            <w:r>
              <w:rPr>
                <w:b/>
                <w:color w:val="FFFFFF"/>
                <w:sz w:val="19"/>
              </w:rPr>
              <w:t>Topic</w:t>
            </w:r>
          </w:p>
        </w:tc>
        <w:tc>
          <w:tcPr>
            <w:tcW w:type="dxa" w:w="907"/>
            <w:shd w:val="clear" w:color="auto" w:fill="142B4C"/>
          </w:tcPr>
          <w:p>
            <w:r/>
            <w:r>
              <w:rPr>
                <w:b/>
                <w:color w:val="FFFFFF"/>
                <w:sz w:val="19"/>
              </w:rPr>
              <w:t>ISO/IEC 27001</w:t>
            </w:r>
          </w:p>
        </w:tc>
        <w:tc>
          <w:tcPr>
            <w:tcW w:type="dxa" w:w="907"/>
            <w:shd w:val="clear" w:color="auto" w:fill="142B4C"/>
          </w:tcPr>
          <w:p>
            <w:r/>
            <w:r>
              <w:rPr>
                <w:b/>
                <w:color w:val="FFFFFF"/>
                <w:sz w:val="19"/>
              </w:rPr>
              <w:t>ISO/IEC 42001</w:t>
            </w:r>
          </w:p>
        </w:tc>
        <w:tc>
          <w:tcPr>
            <w:tcW w:type="dxa" w:w="4082"/>
            <w:shd w:val="clear" w:color="auto" w:fill="142B4C"/>
          </w:tcPr>
          <w:p>
            <w:r/>
            <w:r>
              <w:rPr>
                <w:b/>
                <w:color w:val="FFFFFF"/>
                <w:sz w:val="19"/>
              </w:rPr>
              <w:t>How Quillfen Studio meets both</w:t>
            </w:r>
          </w:p>
        </w:tc>
        <w:tc>
          <w:tcPr>
            <w:tcW w:type="dxa" w:w="1984"/>
            <w:shd w:val="clear" w:color="auto" w:fill="142B4C"/>
          </w:tcPr>
          <w:p>
            <w:r/>
            <w:r>
              <w:rPr>
                <w:b/>
                <w:color w:val="FFFFFF"/>
                <w:sz w:val="19"/>
              </w:rPr>
              <w:t>Where to find it</w:t>
            </w:r>
          </w:p>
        </w:tc>
      </w:tr>
      <w:tr>
        <w:tc>
          <w:tcPr>
            <w:tcW w:type="dxa" w:w="1474"/>
          </w:tcPr>
          <w:p>
            <w:pPr>
              <w:spacing w:after="40"/>
            </w:pPr>
            <w:r/>
            <w:r>
              <w:rPr>
                <w:sz w:val="19"/>
              </w:rPr>
              <w:t>Operational planning and control</w:t>
            </w:r>
          </w:p>
        </w:tc>
        <w:tc>
          <w:tcPr>
            <w:tcW w:type="dxa" w:w="907"/>
          </w:tcPr>
          <w:p>
            <w:pPr>
              <w:spacing w:after="40"/>
            </w:pPr>
            <w:r/>
            <w:r>
              <w:rPr>
                <w:sz w:val="19"/>
              </w:rPr>
              <w:t>8.1</w:t>
            </w:r>
          </w:p>
        </w:tc>
        <w:tc>
          <w:tcPr>
            <w:tcW w:type="dxa" w:w="907"/>
          </w:tcPr>
          <w:p>
            <w:pPr>
              <w:spacing w:after="40"/>
            </w:pPr>
            <w:r/>
            <w:r>
              <w:rPr>
                <w:sz w:val="19"/>
              </w:rPr>
              <w:t>8.1</w:t>
            </w:r>
          </w:p>
        </w:tc>
        <w:tc>
          <w:tcPr>
            <w:tcW w:type="dxa" w:w="4082"/>
          </w:tcPr>
          <w:p>
            <w:pPr>
              <w:spacing w:after="40"/>
            </w:pPr>
            <w:r/>
            <w:r>
              <w:rPr>
                <w:sz w:val="19"/>
              </w:rPr>
              <w:t>Processes run as described in the topic policies; changes are controlled through pull requests and the change triggers; outsourced processes (cloud, model APIs, moderation) are controlled through supplier management.</w:t>
            </w:r>
          </w:p>
        </w:tc>
        <w:tc>
          <w:tcPr>
            <w:tcW w:type="dxa" w:w="1984"/>
          </w:tcPr>
          <w:p>
            <w:pPr>
              <w:spacing w:after="40"/>
            </w:pPr>
            <w:r/>
            <w:r>
              <w:rPr>
                <w:sz w:val="19"/>
              </w:rPr>
              <w:t>IMS-POL-002 to IMS-POL-006</w:t>
            </w:r>
          </w:p>
        </w:tc>
      </w:tr>
      <w:tr>
        <w:tc>
          <w:tcPr>
            <w:tcW w:type="dxa" w:w="1474"/>
            <w:shd w:val="clear" w:color="auto" w:fill="F5F7FA"/>
          </w:tcPr>
          <w:p>
            <w:pPr>
              <w:spacing w:after="40"/>
            </w:pPr>
            <w:r/>
            <w:r>
              <w:rPr>
                <w:sz w:val="19"/>
              </w:rPr>
              <w:t>Risk assessment at planned intervals</w:t>
            </w:r>
          </w:p>
        </w:tc>
        <w:tc>
          <w:tcPr>
            <w:tcW w:type="dxa" w:w="907"/>
            <w:shd w:val="clear" w:color="auto" w:fill="F5F7FA"/>
          </w:tcPr>
          <w:p>
            <w:pPr>
              <w:spacing w:after="40"/>
            </w:pPr>
            <w:r/>
            <w:r>
              <w:rPr>
                <w:sz w:val="19"/>
              </w:rPr>
              <w:t>8.2</w:t>
            </w:r>
          </w:p>
        </w:tc>
        <w:tc>
          <w:tcPr>
            <w:tcW w:type="dxa" w:w="907"/>
            <w:shd w:val="clear" w:color="auto" w:fill="F5F7FA"/>
          </w:tcPr>
          <w:p>
            <w:pPr>
              <w:spacing w:after="40"/>
            </w:pPr>
            <w:r/>
            <w:r>
              <w:rPr>
                <w:sz w:val="19"/>
              </w:rPr>
              <w:t>8.2</w:t>
            </w:r>
          </w:p>
        </w:tc>
        <w:tc>
          <w:tcPr>
            <w:tcW w:type="dxa" w:w="4082"/>
            <w:shd w:val="clear" w:color="auto" w:fill="F5F7FA"/>
          </w:tcPr>
          <w:p>
            <w:pPr>
              <w:spacing w:after="40"/>
            </w:pPr>
            <w:r/>
            <w:r>
              <w:rPr>
                <w:sz w:val="19"/>
              </w:rPr>
              <w:t>Yearly full review plus trigger-based reviews; results recorded in the register.</w:t>
            </w:r>
          </w:p>
        </w:tc>
        <w:tc>
          <w:tcPr>
            <w:tcW w:type="dxa" w:w="1984"/>
            <w:shd w:val="clear" w:color="auto" w:fill="F5F7FA"/>
          </w:tcPr>
          <w:p>
            <w:pPr>
              <w:spacing w:after="40"/>
            </w:pPr>
            <w:r/>
            <w:r>
              <w:rPr>
                <w:sz w:val="19"/>
              </w:rPr>
              <w:t>IMS-REG-002</w:t>
            </w:r>
          </w:p>
        </w:tc>
      </w:tr>
      <w:tr>
        <w:tc>
          <w:tcPr>
            <w:tcW w:type="dxa" w:w="1474"/>
          </w:tcPr>
          <w:p>
            <w:pPr>
              <w:spacing w:after="40"/>
            </w:pPr>
            <w:r/>
            <w:r>
              <w:rPr>
                <w:sz w:val="19"/>
              </w:rPr>
              <w:t>Risk treatment</w:t>
            </w:r>
          </w:p>
        </w:tc>
        <w:tc>
          <w:tcPr>
            <w:tcW w:type="dxa" w:w="907"/>
          </w:tcPr>
          <w:p>
            <w:pPr>
              <w:spacing w:after="40"/>
            </w:pPr>
            <w:r/>
            <w:r>
              <w:rPr>
                <w:sz w:val="19"/>
              </w:rPr>
              <w:t>8.3</w:t>
            </w:r>
          </w:p>
        </w:tc>
        <w:tc>
          <w:tcPr>
            <w:tcW w:type="dxa" w:w="907"/>
          </w:tcPr>
          <w:p>
            <w:pPr>
              <w:spacing w:after="40"/>
            </w:pPr>
            <w:r/>
            <w:r>
              <w:rPr>
                <w:sz w:val="19"/>
              </w:rPr>
              <w:t>8.3</w:t>
            </w:r>
          </w:p>
        </w:tc>
        <w:tc>
          <w:tcPr>
            <w:tcW w:type="dxa" w:w="4082"/>
          </w:tcPr>
          <w:p>
            <w:pPr>
              <w:spacing w:after="40"/>
            </w:pPr>
            <w:r/>
            <w:r>
              <w:rPr>
                <w:sz w:val="19"/>
              </w:rPr>
              <w:t>Treatment actions tracked to completion; owners report progress to the Trust Council monthly.</w:t>
            </w:r>
          </w:p>
        </w:tc>
        <w:tc>
          <w:tcPr>
            <w:tcW w:type="dxa" w:w="1984"/>
          </w:tcPr>
          <w:p>
            <w:pPr>
              <w:spacing w:after="40"/>
            </w:pPr>
            <w:r/>
            <w:r>
              <w:rPr>
                <w:sz w:val="19"/>
              </w:rPr>
              <w:t>IMS-REG-002</w:t>
            </w:r>
          </w:p>
        </w:tc>
      </w:tr>
      <w:tr>
        <w:tc>
          <w:tcPr>
            <w:tcW w:type="dxa" w:w="1474"/>
            <w:shd w:val="clear" w:color="auto" w:fill="F5F7FA"/>
          </w:tcPr>
          <w:p>
            <w:pPr>
              <w:spacing w:after="40"/>
            </w:pPr>
            <w:r/>
            <w:r>
              <w:rPr>
                <w:sz w:val="19"/>
              </w:rPr>
              <w:t>AI system impact assessment (performing it)</w:t>
            </w:r>
          </w:p>
        </w:tc>
        <w:tc>
          <w:tcPr>
            <w:tcW w:type="dxa" w:w="907"/>
            <w:shd w:val="clear" w:color="auto" w:fill="F5F7FA"/>
          </w:tcPr>
          <w:p>
            <w:pPr>
              <w:spacing w:after="40"/>
            </w:pPr>
            <w:r/>
            <w:r>
              <w:rPr>
                <w:sz w:val="19"/>
              </w:rPr>
              <w:t>—</w:t>
            </w:r>
          </w:p>
        </w:tc>
        <w:tc>
          <w:tcPr>
            <w:tcW w:type="dxa" w:w="907"/>
            <w:shd w:val="clear" w:color="auto" w:fill="F5F7FA"/>
          </w:tcPr>
          <w:p>
            <w:pPr>
              <w:spacing w:after="40"/>
            </w:pPr>
            <w:r/>
            <w:r>
              <w:rPr>
                <w:sz w:val="19"/>
              </w:rPr>
              <w:t>8.4</w:t>
            </w:r>
          </w:p>
        </w:tc>
        <w:tc>
          <w:tcPr>
            <w:tcW w:type="dxa" w:w="4082"/>
            <w:shd w:val="clear" w:color="auto" w:fill="F5F7FA"/>
          </w:tcPr>
          <w:p>
            <w:pPr>
              <w:spacing w:after="40"/>
            </w:pPr>
            <w:r/>
            <w:r>
              <w:rPr>
                <w:sz w:val="19"/>
              </w:rPr>
              <w:t>Done at planned intervals and on significant change; approval is a condition of the AI Release Review go decision.</w:t>
            </w:r>
          </w:p>
        </w:tc>
        <w:tc>
          <w:tcPr>
            <w:tcW w:type="dxa" w:w="1984"/>
            <w:shd w:val="clear" w:color="auto" w:fill="F5F7FA"/>
          </w:tcPr>
          <w:p>
            <w:pPr>
              <w:spacing w:after="40"/>
            </w:pPr>
            <w:r/>
            <w:r>
              <w:rPr>
                <w:sz w:val="19"/>
              </w:rPr>
              <w:t>IMS-PRO-002</w:t>
            </w:r>
          </w:p>
        </w:tc>
      </w:tr>
    </w:tbl>
    <w:p/>
    <w:p>
      <w:r>
        <w:rPr/>
        <w:t>How the operational controls are organised:</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835"/>
            <w:shd w:val="clear" w:color="auto" w:fill="142B4C"/>
          </w:tcPr>
          <w:p>
            <w:r/>
            <w:r>
              <w:rPr>
                <w:b/>
                <w:color w:val="FFFFFF"/>
                <w:sz w:val="19"/>
              </w:rPr>
              <w:t>Area</w:t>
            </w:r>
          </w:p>
        </w:tc>
        <w:tc>
          <w:tcPr>
            <w:tcW w:type="dxa" w:w="2268"/>
            <w:shd w:val="clear" w:color="auto" w:fill="142B4C"/>
          </w:tcPr>
          <w:p>
            <w:r/>
            <w:r>
              <w:rPr>
                <w:b/>
                <w:color w:val="FFFFFF"/>
                <w:sz w:val="19"/>
              </w:rPr>
              <w:t>Main documents</w:t>
            </w:r>
          </w:p>
        </w:tc>
        <w:tc>
          <w:tcPr>
            <w:tcW w:type="dxa" w:w="4252"/>
            <w:shd w:val="clear" w:color="auto" w:fill="142B4C"/>
          </w:tcPr>
          <w:p>
            <w:r/>
            <w:r>
              <w:rPr>
                <w:b/>
                <w:color w:val="FFFFFF"/>
                <w:sz w:val="19"/>
              </w:rPr>
              <w:t>Typical controls (27001 / 42001)</w:t>
            </w:r>
          </w:p>
        </w:tc>
      </w:tr>
      <w:tr>
        <w:tc>
          <w:tcPr>
            <w:tcW w:type="dxa" w:w="2835"/>
          </w:tcPr>
          <w:p>
            <w:pPr>
              <w:spacing w:after="40"/>
            </w:pPr>
            <w:r/>
            <w:r>
              <w:rPr>
                <w:sz w:val="19"/>
              </w:rPr>
              <w:t>Secure and responsible development</w:t>
            </w:r>
          </w:p>
        </w:tc>
        <w:tc>
          <w:tcPr>
            <w:tcW w:type="dxa" w:w="2268"/>
          </w:tcPr>
          <w:p>
            <w:pPr>
              <w:spacing w:after="40"/>
            </w:pPr>
            <w:r/>
            <w:r>
              <w:rPr>
                <w:sz w:val="19"/>
              </w:rPr>
              <w:t>IMS-POL-002</w:t>
            </w:r>
          </w:p>
        </w:tc>
        <w:tc>
          <w:tcPr>
            <w:tcW w:type="dxa" w:w="4252"/>
          </w:tcPr>
          <w:p>
            <w:pPr>
              <w:spacing w:after="40"/>
            </w:pPr>
            <w:r/>
            <w:r>
              <w:rPr>
                <w:sz w:val="19"/>
              </w:rPr>
              <w:t>8.25–8.29, 8.31, 8.32 / A.6.1.2–A.6.2.8</w:t>
            </w:r>
          </w:p>
        </w:tc>
      </w:tr>
      <w:tr>
        <w:tc>
          <w:tcPr>
            <w:tcW w:type="dxa" w:w="2835"/>
            <w:shd w:val="clear" w:color="auto" w:fill="F5F7FA"/>
          </w:tcPr>
          <w:p>
            <w:pPr>
              <w:spacing w:after="40"/>
            </w:pPr>
            <w:r/>
            <w:r>
              <w:rPr>
                <w:sz w:val="19"/>
              </w:rPr>
              <w:t>Data governance and privacy for AI</w:t>
            </w:r>
          </w:p>
        </w:tc>
        <w:tc>
          <w:tcPr>
            <w:tcW w:type="dxa" w:w="2268"/>
            <w:shd w:val="clear" w:color="auto" w:fill="F5F7FA"/>
          </w:tcPr>
          <w:p>
            <w:pPr>
              <w:spacing w:after="40"/>
            </w:pPr>
            <w:r/>
            <w:r>
              <w:rPr>
                <w:sz w:val="19"/>
              </w:rPr>
              <w:t>IMS-POL-003</w:t>
            </w:r>
          </w:p>
        </w:tc>
        <w:tc>
          <w:tcPr>
            <w:tcW w:type="dxa" w:w="4252"/>
            <w:shd w:val="clear" w:color="auto" w:fill="F5F7FA"/>
          </w:tcPr>
          <w:p>
            <w:pPr>
              <w:spacing w:after="40"/>
            </w:pPr>
            <w:r/>
            <w:r>
              <w:rPr>
                <w:sz w:val="19"/>
              </w:rPr>
              <w:t>5.12, 5.34, 8.10–8.12 / A.7.2–A.7.6</w:t>
            </w:r>
          </w:p>
        </w:tc>
      </w:tr>
      <w:tr>
        <w:tc>
          <w:tcPr>
            <w:tcW w:type="dxa" w:w="2835"/>
          </w:tcPr>
          <w:p>
            <w:pPr>
              <w:spacing w:after="40"/>
            </w:pPr>
            <w:r/>
            <w:r>
              <w:rPr>
                <w:sz w:val="19"/>
              </w:rPr>
              <w:t>Access control</w:t>
            </w:r>
          </w:p>
        </w:tc>
        <w:tc>
          <w:tcPr>
            <w:tcW w:type="dxa" w:w="2268"/>
          </w:tcPr>
          <w:p>
            <w:pPr>
              <w:spacing w:after="40"/>
            </w:pPr>
            <w:r/>
            <w:r>
              <w:rPr>
                <w:sz w:val="19"/>
              </w:rPr>
              <w:t>IMS-POL-004</w:t>
            </w:r>
          </w:p>
        </w:tc>
        <w:tc>
          <w:tcPr>
            <w:tcW w:type="dxa" w:w="4252"/>
          </w:tcPr>
          <w:p>
            <w:pPr>
              <w:spacing w:after="40"/>
            </w:pPr>
            <w:r/>
            <w:r>
              <w:rPr>
                <w:sz w:val="19"/>
              </w:rPr>
              <w:t>5.15–5.18, 8.2–8.5</w:t>
            </w:r>
          </w:p>
        </w:tc>
      </w:tr>
      <w:tr>
        <w:tc>
          <w:tcPr>
            <w:tcW w:type="dxa" w:w="2835"/>
            <w:shd w:val="clear" w:color="auto" w:fill="F5F7FA"/>
          </w:tcPr>
          <w:p>
            <w:pPr>
              <w:spacing w:after="40"/>
            </w:pPr>
            <w:r/>
            <w:r>
              <w:rPr>
                <w:sz w:val="19"/>
              </w:rPr>
              <w:t>Acceptable use incl. generative AI</w:t>
            </w:r>
          </w:p>
        </w:tc>
        <w:tc>
          <w:tcPr>
            <w:tcW w:type="dxa" w:w="2268"/>
            <w:shd w:val="clear" w:color="auto" w:fill="F5F7FA"/>
          </w:tcPr>
          <w:p>
            <w:pPr>
              <w:spacing w:after="40"/>
            </w:pPr>
            <w:r/>
            <w:r>
              <w:rPr>
                <w:sz w:val="19"/>
              </w:rPr>
              <w:t>IMS-POL-005</w:t>
            </w:r>
          </w:p>
        </w:tc>
        <w:tc>
          <w:tcPr>
            <w:tcW w:type="dxa" w:w="4252"/>
            <w:shd w:val="clear" w:color="auto" w:fill="F5F7FA"/>
          </w:tcPr>
          <w:p>
            <w:pPr>
              <w:spacing w:after="40"/>
            </w:pPr>
            <w:r/>
            <w:r>
              <w:rPr>
                <w:sz w:val="19"/>
              </w:rPr>
              <w:t>5.10, 6.7, 8.1 / A.9.2–A.9.4</w:t>
            </w:r>
          </w:p>
        </w:tc>
      </w:tr>
      <w:tr>
        <w:tc>
          <w:tcPr>
            <w:tcW w:type="dxa" w:w="2835"/>
          </w:tcPr>
          <w:p>
            <w:pPr>
              <w:spacing w:after="40"/>
            </w:pPr>
            <w:r/>
            <w:r>
              <w:rPr>
                <w:sz w:val="19"/>
              </w:rPr>
              <w:t>Suppliers and third-party AI</w:t>
            </w:r>
          </w:p>
        </w:tc>
        <w:tc>
          <w:tcPr>
            <w:tcW w:type="dxa" w:w="2268"/>
          </w:tcPr>
          <w:p>
            <w:pPr>
              <w:spacing w:after="40"/>
            </w:pPr>
            <w:r/>
            <w:r>
              <w:rPr>
                <w:sz w:val="19"/>
              </w:rPr>
              <w:t>IMS-POL-006</w:t>
            </w:r>
          </w:p>
        </w:tc>
        <w:tc>
          <w:tcPr>
            <w:tcW w:type="dxa" w:w="4252"/>
          </w:tcPr>
          <w:p>
            <w:pPr>
              <w:spacing w:after="40"/>
            </w:pPr>
            <w:r/>
            <w:r>
              <w:rPr>
                <w:sz w:val="19"/>
              </w:rPr>
              <w:t>5.19–5.23 / A.10.2–A.10.4</w:t>
            </w:r>
          </w:p>
        </w:tc>
      </w:tr>
      <w:tr>
        <w:tc>
          <w:tcPr>
            <w:tcW w:type="dxa" w:w="2835"/>
            <w:shd w:val="clear" w:color="auto" w:fill="F5F7FA"/>
          </w:tcPr>
          <w:p>
            <w:pPr>
              <w:spacing w:after="40"/>
            </w:pPr>
            <w:r/>
            <w:r>
              <w:rPr>
                <w:sz w:val="19"/>
              </w:rPr>
              <w:t>Incidents</w:t>
            </w:r>
          </w:p>
        </w:tc>
        <w:tc>
          <w:tcPr>
            <w:tcW w:type="dxa" w:w="2268"/>
            <w:shd w:val="clear" w:color="auto" w:fill="F5F7FA"/>
          </w:tcPr>
          <w:p>
            <w:pPr>
              <w:spacing w:after="40"/>
            </w:pPr>
            <w:r/>
            <w:r>
              <w:rPr>
                <w:sz w:val="19"/>
              </w:rPr>
              <w:t>IMS-PRO-005, IMS-REG-006</w:t>
            </w:r>
          </w:p>
        </w:tc>
        <w:tc>
          <w:tcPr>
            <w:tcW w:type="dxa" w:w="4252"/>
            <w:shd w:val="clear" w:color="auto" w:fill="F5F7FA"/>
          </w:tcPr>
          <w:p>
            <w:pPr>
              <w:spacing w:after="40"/>
            </w:pPr>
            <w:r/>
            <w:r>
              <w:rPr>
                <w:sz w:val="19"/>
              </w:rPr>
              <w:t>5.24–5.28, 6.8 / A.8.4</w:t>
            </w:r>
          </w:p>
        </w:tc>
      </w:tr>
      <w:tr>
        <w:tc>
          <w:tcPr>
            <w:tcW w:type="dxa" w:w="2835"/>
          </w:tcPr>
          <w:p>
            <w:pPr>
              <w:spacing w:after="40"/>
            </w:pPr>
            <w:r/>
            <w:r>
              <w:rPr>
                <w:sz w:val="19"/>
              </w:rPr>
              <w:t>Continuity</w:t>
            </w:r>
          </w:p>
        </w:tc>
        <w:tc>
          <w:tcPr>
            <w:tcW w:type="dxa" w:w="2268"/>
          </w:tcPr>
          <w:p>
            <w:pPr>
              <w:spacing w:after="40"/>
            </w:pPr>
            <w:r/>
            <w:r>
              <w:rPr>
                <w:sz w:val="19"/>
              </w:rPr>
              <w:t>IMS-PRO-006</w:t>
            </w:r>
          </w:p>
        </w:tc>
        <w:tc>
          <w:tcPr>
            <w:tcW w:type="dxa" w:w="4252"/>
          </w:tcPr>
          <w:p>
            <w:pPr>
              <w:spacing w:after="40"/>
            </w:pPr>
            <w:r/>
            <w:r>
              <w:rPr>
                <w:sz w:val="19"/>
              </w:rPr>
              <w:t>5.29, 5.30, 8.13, 8.14</w:t>
            </w:r>
          </w:p>
        </w:tc>
      </w:tr>
      <w:tr>
        <w:tc>
          <w:tcPr>
            <w:tcW w:type="dxa" w:w="2835"/>
            <w:shd w:val="clear" w:color="auto" w:fill="F5F7FA"/>
          </w:tcPr>
          <w:p>
            <w:pPr>
              <w:spacing w:after="40"/>
            </w:pPr>
            <w:r/>
            <w:r>
              <w:rPr>
                <w:sz w:val="19"/>
              </w:rPr>
              <w:t>Assets and AI system inventory</w:t>
            </w:r>
          </w:p>
        </w:tc>
        <w:tc>
          <w:tcPr>
            <w:tcW w:type="dxa" w:w="2268"/>
            <w:shd w:val="clear" w:color="auto" w:fill="F5F7FA"/>
          </w:tcPr>
          <w:p>
            <w:pPr>
              <w:spacing w:after="40"/>
            </w:pPr>
            <w:r/>
            <w:r>
              <w:rPr>
                <w:sz w:val="19"/>
              </w:rPr>
              <w:t>IMS-REG-005</w:t>
            </w:r>
          </w:p>
        </w:tc>
        <w:tc>
          <w:tcPr>
            <w:tcW w:type="dxa" w:w="4252"/>
            <w:shd w:val="clear" w:color="auto" w:fill="F5F7FA"/>
          </w:tcPr>
          <w:p>
            <w:pPr>
              <w:spacing w:after="40"/>
            </w:pPr>
            <w:r/>
            <w:r>
              <w:rPr>
                <w:sz w:val="19"/>
              </w:rPr>
              <w:t>5.9–5.12 / A.4.2–A.4.6</w:t>
            </w:r>
          </w:p>
        </w:tc>
      </w:tr>
    </w:tbl>
    <w:p/>
    <w:p>
      <w:pPr>
        <w:pStyle w:val="Heading1"/>
      </w:pPr>
      <w:r>
        <w:t>10. Clause 9 — Performance evaluation</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474"/>
            <w:shd w:val="clear" w:color="auto" w:fill="142B4C"/>
          </w:tcPr>
          <w:p>
            <w:r/>
            <w:r>
              <w:rPr>
                <w:b/>
                <w:color w:val="FFFFFF"/>
                <w:sz w:val="19"/>
              </w:rPr>
              <w:t>Topic</w:t>
            </w:r>
          </w:p>
        </w:tc>
        <w:tc>
          <w:tcPr>
            <w:tcW w:type="dxa" w:w="907"/>
            <w:shd w:val="clear" w:color="auto" w:fill="142B4C"/>
          </w:tcPr>
          <w:p>
            <w:r/>
            <w:r>
              <w:rPr>
                <w:b/>
                <w:color w:val="FFFFFF"/>
                <w:sz w:val="19"/>
              </w:rPr>
              <w:t>ISO/IEC 27001</w:t>
            </w:r>
          </w:p>
        </w:tc>
        <w:tc>
          <w:tcPr>
            <w:tcW w:type="dxa" w:w="907"/>
            <w:shd w:val="clear" w:color="auto" w:fill="142B4C"/>
          </w:tcPr>
          <w:p>
            <w:r/>
            <w:r>
              <w:rPr>
                <w:b/>
                <w:color w:val="FFFFFF"/>
                <w:sz w:val="19"/>
              </w:rPr>
              <w:t>ISO/IEC 42001</w:t>
            </w:r>
          </w:p>
        </w:tc>
        <w:tc>
          <w:tcPr>
            <w:tcW w:type="dxa" w:w="4082"/>
            <w:shd w:val="clear" w:color="auto" w:fill="142B4C"/>
          </w:tcPr>
          <w:p>
            <w:r/>
            <w:r>
              <w:rPr>
                <w:b/>
                <w:color w:val="FFFFFF"/>
                <w:sz w:val="19"/>
              </w:rPr>
              <w:t>How Quillfen Studio meets both</w:t>
            </w:r>
          </w:p>
        </w:tc>
        <w:tc>
          <w:tcPr>
            <w:tcW w:type="dxa" w:w="1984"/>
            <w:shd w:val="clear" w:color="auto" w:fill="142B4C"/>
          </w:tcPr>
          <w:p>
            <w:r/>
            <w:r>
              <w:rPr>
                <w:b/>
                <w:color w:val="FFFFFF"/>
                <w:sz w:val="19"/>
              </w:rPr>
              <w:t>Where to find it</w:t>
            </w:r>
          </w:p>
        </w:tc>
      </w:tr>
      <w:tr>
        <w:tc>
          <w:tcPr>
            <w:tcW w:type="dxa" w:w="1474"/>
          </w:tcPr>
          <w:p>
            <w:pPr>
              <w:spacing w:after="40"/>
            </w:pPr>
            <w:r/>
            <w:r>
              <w:rPr>
                <w:sz w:val="19"/>
              </w:rPr>
              <w:t>Monitoring, measurement, analysis</w:t>
            </w:r>
          </w:p>
        </w:tc>
        <w:tc>
          <w:tcPr>
            <w:tcW w:type="dxa" w:w="907"/>
          </w:tcPr>
          <w:p>
            <w:pPr>
              <w:spacing w:after="40"/>
            </w:pPr>
            <w:r/>
            <w:r>
              <w:rPr>
                <w:sz w:val="19"/>
              </w:rPr>
              <w:t>9.1</w:t>
            </w:r>
          </w:p>
        </w:tc>
        <w:tc>
          <w:tcPr>
            <w:tcW w:type="dxa" w:w="907"/>
          </w:tcPr>
          <w:p>
            <w:pPr>
              <w:spacing w:after="40"/>
            </w:pPr>
            <w:r/>
            <w:r>
              <w:rPr>
                <w:sz w:val="19"/>
              </w:rPr>
              <w:t>9.1</w:t>
            </w:r>
          </w:p>
        </w:tc>
        <w:tc>
          <w:tcPr>
            <w:tcW w:type="dxa" w:w="4082"/>
          </w:tcPr>
          <w:p>
            <w:pPr>
              <w:spacing w:after="40"/>
            </w:pPr>
            <w:r/>
            <w:r>
              <w:rPr>
                <w:sz w:val="19"/>
              </w:rPr>
              <w:t>Each objective and key control has a metric, an owner and a frequency. The Compliance Coordinator prepares a one-page dashboard for every Trust Council meeting.</w:t>
            </w:r>
          </w:p>
        </w:tc>
        <w:tc>
          <w:tcPr>
            <w:tcW w:type="dxa" w:w="1984"/>
          </w:tcPr>
          <w:p>
            <w:pPr>
              <w:spacing w:after="40"/>
            </w:pPr>
            <w:r/>
            <w:r>
              <w:rPr>
                <w:sz w:val="19"/>
              </w:rPr>
              <w:t>IMS-REG-003</w:t>
            </w:r>
          </w:p>
        </w:tc>
      </w:tr>
      <w:tr>
        <w:tc>
          <w:tcPr>
            <w:tcW w:type="dxa" w:w="1474"/>
            <w:shd w:val="clear" w:color="auto" w:fill="F5F7FA"/>
          </w:tcPr>
          <w:p>
            <w:pPr>
              <w:spacing w:after="40"/>
            </w:pPr>
            <w:r/>
            <w:r>
              <w:rPr>
                <w:sz w:val="19"/>
              </w:rPr>
              <w:t>Internal audit</w:t>
            </w:r>
          </w:p>
        </w:tc>
        <w:tc>
          <w:tcPr>
            <w:tcW w:type="dxa" w:w="907"/>
            <w:shd w:val="clear" w:color="auto" w:fill="F5F7FA"/>
          </w:tcPr>
          <w:p>
            <w:pPr>
              <w:spacing w:after="40"/>
            </w:pPr>
            <w:r/>
            <w:r>
              <w:rPr>
                <w:sz w:val="19"/>
              </w:rPr>
              <w:t>9.2</w:t>
            </w:r>
          </w:p>
        </w:tc>
        <w:tc>
          <w:tcPr>
            <w:tcW w:type="dxa" w:w="907"/>
            <w:shd w:val="clear" w:color="auto" w:fill="F5F7FA"/>
          </w:tcPr>
          <w:p>
            <w:pPr>
              <w:spacing w:after="40"/>
            </w:pPr>
            <w:r/>
            <w:r>
              <w:rPr>
                <w:sz w:val="19"/>
              </w:rPr>
              <w:t>9.2</w:t>
            </w:r>
          </w:p>
        </w:tc>
        <w:tc>
          <w:tcPr>
            <w:tcW w:type="dxa" w:w="4082"/>
            <w:shd w:val="clear" w:color="auto" w:fill="F5F7FA"/>
          </w:tcPr>
          <w:p>
            <w:pPr>
              <w:spacing w:after="40"/>
            </w:pPr>
            <w:r/>
            <w:r>
              <w:rPr>
                <w:sz w:val="19"/>
              </w:rPr>
              <w:t>One audit programme covering both standards over 12 months, run by an independent contracted auditor with the Compliance Coordinator as audit coordinator.</w:t>
            </w:r>
          </w:p>
        </w:tc>
        <w:tc>
          <w:tcPr>
            <w:tcW w:type="dxa" w:w="1984"/>
            <w:shd w:val="clear" w:color="auto" w:fill="F5F7FA"/>
          </w:tcPr>
          <w:p>
            <w:pPr>
              <w:spacing w:after="40"/>
            </w:pPr>
            <w:r/>
            <w:r>
              <w:rPr>
                <w:sz w:val="19"/>
              </w:rPr>
              <w:t>IMS-PRO-007; IMS-REG-007</w:t>
            </w:r>
          </w:p>
        </w:tc>
      </w:tr>
      <w:tr>
        <w:tc>
          <w:tcPr>
            <w:tcW w:type="dxa" w:w="1474"/>
          </w:tcPr>
          <w:p>
            <w:pPr>
              <w:spacing w:after="40"/>
            </w:pPr>
            <w:r/>
            <w:r>
              <w:rPr>
                <w:sz w:val="19"/>
              </w:rPr>
              <w:t>Management review</w:t>
            </w:r>
          </w:p>
        </w:tc>
        <w:tc>
          <w:tcPr>
            <w:tcW w:type="dxa" w:w="907"/>
          </w:tcPr>
          <w:p>
            <w:pPr>
              <w:spacing w:after="40"/>
            </w:pPr>
            <w:r/>
            <w:r>
              <w:rPr>
                <w:sz w:val="19"/>
              </w:rPr>
              <w:t>9.3</w:t>
            </w:r>
          </w:p>
        </w:tc>
        <w:tc>
          <w:tcPr>
            <w:tcW w:type="dxa" w:w="907"/>
          </w:tcPr>
          <w:p>
            <w:pPr>
              <w:spacing w:after="40"/>
            </w:pPr>
            <w:r/>
            <w:r>
              <w:rPr>
                <w:sz w:val="19"/>
              </w:rPr>
              <w:t>9.3</w:t>
            </w:r>
          </w:p>
        </w:tc>
        <w:tc>
          <w:tcPr>
            <w:tcW w:type="dxa" w:w="4082"/>
          </w:tcPr>
          <w:p>
            <w:pPr>
              <w:spacing w:after="40"/>
            </w:pPr>
            <w:r/>
            <w:r>
              <w:rPr>
                <w:sz w:val="19"/>
              </w:rPr>
              <w:t>The Trust Council acts as the management review twice a year, with a fixed agenda covering every input both standards require.</w:t>
            </w:r>
          </w:p>
        </w:tc>
        <w:tc>
          <w:tcPr>
            <w:tcW w:type="dxa" w:w="1984"/>
          </w:tcPr>
          <w:p>
            <w:pPr>
              <w:spacing w:after="40"/>
            </w:pPr>
            <w:r/>
            <w:r>
              <w:rPr>
                <w:sz w:val="19"/>
              </w:rPr>
              <w:t>IMS-PRO-008</w:t>
            </w:r>
          </w:p>
        </w:tc>
      </w:tr>
    </w:tbl>
    <w:p/>
    <w:p>
      <w:pPr>
        <w:pStyle w:val="Heading1"/>
      </w:pPr>
      <w:r>
        <w:t>11. Clause 10 — Improvement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882"/>
        <w:gridCol w:w="1882"/>
        <w:gridCol w:w="1882"/>
        <w:gridCol w:w="1882"/>
        <w:gridCol w:w="1882"/>
      </w:tblGrid>
      <w:tr>
        <w:trPr>
          <w:tblHeader w:val="true"/>
        </w:trPr>
        <w:tc>
          <w:tcPr>
            <w:tcW w:type="dxa" w:w="1474"/>
            <w:shd w:val="clear" w:color="auto" w:fill="142B4C"/>
          </w:tcPr>
          <w:p>
            <w:r/>
            <w:r>
              <w:rPr>
                <w:b/>
                <w:color w:val="FFFFFF"/>
                <w:sz w:val="19"/>
              </w:rPr>
              <w:t>Topic</w:t>
            </w:r>
          </w:p>
        </w:tc>
        <w:tc>
          <w:tcPr>
            <w:tcW w:type="dxa" w:w="907"/>
            <w:shd w:val="clear" w:color="auto" w:fill="142B4C"/>
          </w:tcPr>
          <w:p>
            <w:r/>
            <w:r>
              <w:rPr>
                <w:b/>
                <w:color w:val="FFFFFF"/>
                <w:sz w:val="19"/>
              </w:rPr>
              <w:t>ISO/IEC 27001</w:t>
            </w:r>
          </w:p>
        </w:tc>
        <w:tc>
          <w:tcPr>
            <w:tcW w:type="dxa" w:w="907"/>
            <w:shd w:val="clear" w:color="auto" w:fill="142B4C"/>
          </w:tcPr>
          <w:p>
            <w:r/>
            <w:r>
              <w:rPr>
                <w:b/>
                <w:color w:val="FFFFFF"/>
                <w:sz w:val="19"/>
              </w:rPr>
              <w:t>ISO/IEC 42001</w:t>
            </w:r>
          </w:p>
        </w:tc>
        <w:tc>
          <w:tcPr>
            <w:tcW w:type="dxa" w:w="4082"/>
            <w:shd w:val="clear" w:color="auto" w:fill="142B4C"/>
          </w:tcPr>
          <w:p>
            <w:r/>
            <w:r>
              <w:rPr>
                <w:b/>
                <w:color w:val="FFFFFF"/>
                <w:sz w:val="19"/>
              </w:rPr>
              <w:t>How Quillfen Studio meets both</w:t>
            </w:r>
          </w:p>
        </w:tc>
        <w:tc>
          <w:tcPr>
            <w:tcW w:type="dxa" w:w="1984"/>
            <w:shd w:val="clear" w:color="auto" w:fill="142B4C"/>
          </w:tcPr>
          <w:p>
            <w:r/>
            <w:r>
              <w:rPr>
                <w:b/>
                <w:color w:val="FFFFFF"/>
                <w:sz w:val="19"/>
              </w:rPr>
              <w:t>Where to find it</w:t>
            </w:r>
          </w:p>
        </w:tc>
      </w:tr>
      <w:tr>
        <w:tc>
          <w:tcPr>
            <w:tcW w:type="dxa" w:w="1474"/>
          </w:tcPr>
          <w:p>
            <w:pPr>
              <w:spacing w:after="40"/>
            </w:pPr>
            <w:r/>
            <w:r>
              <w:rPr>
                <w:sz w:val="19"/>
              </w:rPr>
              <w:t>Continual improvement</w:t>
            </w:r>
          </w:p>
        </w:tc>
        <w:tc>
          <w:tcPr>
            <w:tcW w:type="dxa" w:w="907"/>
          </w:tcPr>
          <w:p>
            <w:pPr>
              <w:spacing w:after="40"/>
            </w:pPr>
            <w:r/>
            <w:r>
              <w:rPr>
                <w:sz w:val="19"/>
              </w:rPr>
              <w:t>10.1</w:t>
            </w:r>
          </w:p>
        </w:tc>
        <w:tc>
          <w:tcPr>
            <w:tcW w:type="dxa" w:w="907"/>
          </w:tcPr>
          <w:p>
            <w:pPr>
              <w:spacing w:after="40"/>
            </w:pPr>
            <w:r/>
            <w:r>
              <w:rPr>
                <w:sz w:val="19"/>
              </w:rPr>
              <w:t>10.1</w:t>
            </w:r>
          </w:p>
        </w:tc>
        <w:tc>
          <w:tcPr>
            <w:tcW w:type="dxa" w:w="4082"/>
          </w:tcPr>
          <w:p>
            <w:pPr>
              <w:spacing w:after="40"/>
            </w:pPr>
            <w:r/>
            <w:r>
              <w:rPr>
                <w:sz w:val="19"/>
              </w:rPr>
              <w:t>Improvement ideas from staff, audits, incidents and customers are logged and prioritised by the Trust Council.</w:t>
            </w:r>
          </w:p>
        </w:tc>
        <w:tc>
          <w:tcPr>
            <w:tcW w:type="dxa" w:w="1984"/>
          </w:tcPr>
          <w:p>
            <w:pPr>
              <w:spacing w:after="40"/>
            </w:pPr>
            <w:r/>
            <w:r>
              <w:rPr>
                <w:sz w:val="19"/>
              </w:rPr>
              <w:t>IMS-REG-008</w:t>
            </w:r>
          </w:p>
        </w:tc>
      </w:tr>
      <w:tr>
        <w:tc>
          <w:tcPr>
            <w:tcW w:type="dxa" w:w="1474"/>
            <w:shd w:val="clear" w:color="auto" w:fill="F5F7FA"/>
          </w:tcPr>
          <w:p>
            <w:pPr>
              <w:spacing w:after="40"/>
            </w:pPr>
            <w:r/>
            <w:r>
              <w:rPr>
                <w:sz w:val="19"/>
              </w:rPr>
              <w:t>Nonconformity and corrective action</w:t>
            </w:r>
          </w:p>
        </w:tc>
        <w:tc>
          <w:tcPr>
            <w:tcW w:type="dxa" w:w="907"/>
            <w:shd w:val="clear" w:color="auto" w:fill="F5F7FA"/>
          </w:tcPr>
          <w:p>
            <w:pPr>
              <w:spacing w:after="40"/>
            </w:pPr>
            <w:r/>
            <w:r>
              <w:rPr>
                <w:sz w:val="19"/>
              </w:rPr>
              <w:t>10.2</w:t>
            </w:r>
          </w:p>
        </w:tc>
        <w:tc>
          <w:tcPr>
            <w:tcW w:type="dxa" w:w="907"/>
            <w:shd w:val="clear" w:color="auto" w:fill="F5F7FA"/>
          </w:tcPr>
          <w:p>
            <w:pPr>
              <w:spacing w:after="40"/>
            </w:pPr>
            <w:r/>
            <w:r>
              <w:rPr>
                <w:sz w:val="19"/>
              </w:rPr>
              <w:t>10.2</w:t>
            </w:r>
          </w:p>
        </w:tc>
        <w:tc>
          <w:tcPr>
            <w:tcW w:type="dxa" w:w="4082"/>
            <w:shd w:val="clear" w:color="auto" w:fill="F5F7FA"/>
          </w:tcPr>
          <w:p>
            <w:pPr>
              <w:spacing w:after="40"/>
            </w:pPr>
            <w:r/>
            <w:r>
              <w:rPr>
                <w:sz w:val="19"/>
              </w:rPr>
              <w:t>Every nonconformity is recorded, contained, root-caused and corrected; effectiveness is checked before closure.</w:t>
            </w:r>
          </w:p>
        </w:tc>
        <w:tc>
          <w:tcPr>
            <w:tcW w:type="dxa" w:w="1984"/>
            <w:shd w:val="clear" w:color="auto" w:fill="F5F7FA"/>
          </w:tcPr>
          <w:p>
            <w:pPr>
              <w:spacing w:after="40"/>
            </w:pPr>
            <w:r/>
            <w:r>
              <w:rPr>
                <w:sz w:val="19"/>
              </w:rPr>
              <w:t>IMS-PRO-009; IMS-REG-008</w:t>
            </w:r>
          </w:p>
        </w:tc>
      </w:tr>
    </w:tbl>
    <w:p/>
    <w:p>
      <w:pPr>
        <w:pStyle w:val="Heading1"/>
      </w:pPr>
      <w:r>
        <w:t>12. How Annex A controls are selected — the two SoAs</w:t>
      </w:r>
    </w:p>
    <w:p>
      <w:r>
        <w:rPr/>
        <w:t>We do not start from the control lists. We start from our risks and then use the lists as a checklist to make sure nothing important is missing:</w:t>
      </w:r>
    </w:p>
    <w:p>
      <w:pPr>
        <w:pStyle w:val="ListNumber"/>
        <w:spacing w:after="60"/>
        <w:numPr>
          <w:ilvl w:val="0"/>
          <w:numId w:val="1003"/>
        </w:numPr>
      </w:pPr>
      <w:r>
        <w:rPr/>
        <w:t>Assess risks and AI impacts (Clause 6.1.2 and, for AI, 6.1.4).</w:t>
      </w:r>
    </w:p>
    <w:p>
      <w:pPr>
        <w:pStyle w:val="ListNumber"/>
        <w:spacing w:after="60"/>
        <w:numPr>
          <w:ilvl w:val="0"/>
          <w:numId w:val="1003"/>
        </w:numPr>
      </w:pPr>
      <w:r>
        <w:rPr/>
        <w:t>For each risk the owner chooses a treatment and the controls needed — from anywhere, including contracts, technical settings and training.</w:t>
      </w:r>
    </w:p>
    <w:p>
      <w:pPr>
        <w:pStyle w:val="ListNumber"/>
        <w:spacing w:after="60"/>
        <w:numPr>
          <w:ilvl w:val="0"/>
          <w:numId w:val="1003"/>
        </w:numPr>
      </w:pPr>
      <w:r>
        <w:rPr/>
        <w:t>Compare the chosen controls with ISO/IEC 27001 Annex A and ISO/IEC 42001 Annex A, control by control. Add any control we missed.</w:t>
      </w:r>
    </w:p>
    <w:p>
      <w:pPr>
        <w:pStyle w:val="ListNumber"/>
        <w:spacing w:after="60"/>
        <w:numPr>
          <w:ilvl w:val="0"/>
          <w:numId w:val="1003"/>
        </w:numPr>
      </w:pPr>
      <w:r>
        <w:rPr/>
        <w:t>Record every Annex A control in the right SoA: applicable or not, the justification, the risks or requirements it addresses, its implementation status and the evidence.</w:t>
      </w:r>
    </w:p>
    <w:p>
      <w:pPr>
        <w:pStyle w:val="ListNumber"/>
        <w:spacing w:after="60"/>
        <w:numPr>
          <w:ilvl w:val="0"/>
          <w:numId w:val="1003"/>
        </w:numPr>
      </w:pPr>
      <w:r>
        <w:rPr/>
        <w:t>The Trust Council approves both SoAs together with the risk treatment plan and the residual risks.</w:t>
      </w:r>
    </w:p>
    <w:p>
      <w:pPr>
        <w:pStyle w:val="ListNumber"/>
        <w:spacing w:after="60"/>
        <w:numPr>
          <w:ilvl w:val="0"/>
          <w:numId w:val="1003"/>
        </w:numPr>
      </w:pPr>
      <w:r>
        <w:rPr/>
        <w:t>Review the SoAs whenever risks change, and at least yearly before the management review.</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From one risk to two SoAs — RSK-AI-005</w:t>
            </w:r>
          </w:p>
          <w:p>
            <w:pPr>
              <w:spacing w:after="60"/>
            </w:pPr>
            <w:r>
              <w:rPr>
                <w:sz w:val="20"/>
              </w:rPr>
              <w:t>•  Risk: SafeFrame vendor model update silently lowers detection of prohibited content (SafeFrame). Owner: [Creative Director]. Inherent score 3 x 5 = 15; residual 2 x 5 = 10.</w:t>
            </w:r>
          </w:p>
          <w:p>
            <w:pPr>
              <w:spacing w:after="60"/>
            </w:pPr>
            <w:r>
              <w:rPr>
                <w:sz w:val="20"/>
              </w:rPr>
              <w:t>•  Controls chosen: 42001 A.10.3, A.6.2.6; 27001 5.22.</w:t>
            </w:r>
          </w:p>
          <w:p>
            <w:pPr>
              <w:spacing w:after="60"/>
            </w:pPr>
            <w:r>
              <w:rPr>
                <w:sz w:val="20"/>
              </w:rPr>
              <w:t>•  In IMS-SOA-002 the AI supplier control (A.10.3) and the AI system deployment and verification controls point to this risk. In IMS-SOA-001 the supplier-change monitoring control (5.22) points to the same risk. One risk, one treatment plan, two SoA entries.</w:t>
            </w:r>
          </w:p>
          <w:p>
            <w:pPr>
              <w:spacing w:after="60"/>
            </w:pPr>
            <w:r>
              <w:rPr>
                <w:sz w:val="20"/>
              </w:rPr>
              <w:t>•  When incident INC-2026-007 showed the supplier control was weak, the SoA entries, the risk and the supplier contract were updated together through corrective action CA-2026-004.</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A control is only 'not applicable' when there is a real reason — for example the activity does not exist in your scope. 'Too expensive' is not a reason to exclude; it is a reason to accept a risk, which needs a risk owner's signature.</w:t>
            </w:r>
          </w:p>
        </w:tc>
      </w:tr>
    </w:tbl>
    <w:p/>
    <w:p>
      <w:pPr>
        <w:pStyle w:val="Heading1"/>
      </w:pPr>
      <w:r>
        <w:t>13. Documented-information map</w:t>
      </w:r>
    </w:p>
    <w:p>
      <w:r>
        <w:rPr/>
        <w:t>Both standards require certain information to be documented. This map shows where we keep each item. Other documents and records we decided we need are listed in the document register.</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3118"/>
            <w:shd w:val="clear" w:color="auto" w:fill="142B4C"/>
          </w:tcPr>
          <w:p>
            <w:r/>
            <w:r>
              <w:rPr>
                <w:b/>
                <w:color w:val="FFFFFF"/>
                <w:sz w:val="19"/>
              </w:rPr>
              <w:t>Documented information</w:t>
            </w:r>
          </w:p>
        </w:tc>
        <w:tc>
          <w:tcPr>
            <w:tcW w:type="dxa" w:w="907"/>
            <w:shd w:val="clear" w:color="auto" w:fill="142B4C"/>
          </w:tcPr>
          <w:p>
            <w:r/>
            <w:r>
              <w:rPr>
                <w:b/>
                <w:color w:val="FFFFFF"/>
                <w:sz w:val="19"/>
              </w:rPr>
              <w:t>27001</w:t>
            </w:r>
          </w:p>
        </w:tc>
        <w:tc>
          <w:tcPr>
            <w:tcW w:type="dxa" w:w="907"/>
            <w:shd w:val="clear" w:color="auto" w:fill="142B4C"/>
          </w:tcPr>
          <w:p>
            <w:r/>
            <w:r>
              <w:rPr>
                <w:b/>
                <w:color w:val="FFFFFF"/>
                <w:sz w:val="19"/>
              </w:rPr>
              <w:t>42001</w:t>
            </w:r>
          </w:p>
        </w:tc>
        <w:tc>
          <w:tcPr>
            <w:tcW w:type="dxa" w:w="4422"/>
            <w:shd w:val="clear" w:color="auto" w:fill="142B4C"/>
          </w:tcPr>
          <w:p>
            <w:r/>
            <w:r>
              <w:rPr>
                <w:b/>
                <w:color w:val="FFFFFF"/>
                <w:sz w:val="19"/>
              </w:rPr>
              <w:t>Where it is held</w:t>
            </w:r>
          </w:p>
        </w:tc>
      </w:tr>
      <w:tr>
        <w:tc>
          <w:tcPr>
            <w:tcW w:type="dxa" w:w="3118"/>
          </w:tcPr>
          <w:p>
            <w:pPr>
              <w:spacing w:after="40"/>
            </w:pPr>
            <w:r/>
            <w:r>
              <w:rPr>
                <w:sz w:val="19"/>
              </w:rPr>
              <w:t>Scope of the management system</w:t>
            </w:r>
          </w:p>
        </w:tc>
        <w:tc>
          <w:tcPr>
            <w:tcW w:type="dxa" w:w="907"/>
          </w:tcPr>
          <w:p>
            <w:pPr>
              <w:spacing w:after="40"/>
            </w:pPr>
            <w:r/>
            <w:r>
              <w:rPr>
                <w:sz w:val="19"/>
              </w:rPr>
              <w:t>4.3</w:t>
            </w:r>
          </w:p>
        </w:tc>
        <w:tc>
          <w:tcPr>
            <w:tcW w:type="dxa" w:w="907"/>
          </w:tcPr>
          <w:p>
            <w:pPr>
              <w:spacing w:after="40"/>
            </w:pPr>
            <w:r/>
            <w:r>
              <w:rPr>
                <w:sz w:val="19"/>
              </w:rPr>
              <w:t>4.3</w:t>
            </w:r>
          </w:p>
        </w:tc>
        <w:tc>
          <w:tcPr>
            <w:tcW w:type="dxa" w:w="4422"/>
          </w:tcPr>
          <w:p>
            <w:pPr>
              <w:spacing w:after="40"/>
            </w:pPr>
            <w:r/>
            <w:r>
              <w:rPr>
                <w:sz w:val="19"/>
              </w:rPr>
              <w:t>IMS-REG-001; section 2 of this manual</w:t>
            </w:r>
          </w:p>
        </w:tc>
      </w:tr>
      <w:tr>
        <w:tc>
          <w:tcPr>
            <w:tcW w:type="dxa" w:w="3118"/>
            <w:shd w:val="clear" w:color="auto" w:fill="F5F7FA"/>
          </w:tcPr>
          <w:p>
            <w:pPr>
              <w:spacing w:after="40"/>
            </w:pPr>
            <w:r/>
            <w:r>
              <w:rPr>
                <w:sz w:val="19"/>
              </w:rPr>
              <w:t>Policy</w:t>
            </w:r>
          </w:p>
        </w:tc>
        <w:tc>
          <w:tcPr>
            <w:tcW w:type="dxa" w:w="907"/>
            <w:shd w:val="clear" w:color="auto" w:fill="F5F7FA"/>
          </w:tcPr>
          <w:p>
            <w:pPr>
              <w:spacing w:after="40"/>
            </w:pPr>
            <w:r/>
            <w:r>
              <w:rPr>
                <w:sz w:val="19"/>
              </w:rPr>
              <w:t>5.2</w:t>
            </w:r>
          </w:p>
        </w:tc>
        <w:tc>
          <w:tcPr>
            <w:tcW w:type="dxa" w:w="907"/>
            <w:shd w:val="clear" w:color="auto" w:fill="F5F7FA"/>
          </w:tcPr>
          <w:p>
            <w:pPr>
              <w:spacing w:after="40"/>
            </w:pPr>
            <w:r/>
            <w:r>
              <w:rPr>
                <w:sz w:val="19"/>
              </w:rPr>
              <w:t>5.2</w:t>
            </w:r>
          </w:p>
        </w:tc>
        <w:tc>
          <w:tcPr>
            <w:tcW w:type="dxa" w:w="4422"/>
            <w:shd w:val="clear" w:color="auto" w:fill="F5F7FA"/>
          </w:tcPr>
          <w:p>
            <w:pPr>
              <w:spacing w:after="40"/>
            </w:pPr>
            <w:r/>
            <w:r>
              <w:rPr>
                <w:sz w:val="19"/>
              </w:rPr>
              <w:t>IMS-POL-001</w:t>
            </w:r>
          </w:p>
        </w:tc>
      </w:tr>
      <w:tr>
        <w:tc>
          <w:tcPr>
            <w:tcW w:type="dxa" w:w="3118"/>
          </w:tcPr>
          <w:p>
            <w:pPr>
              <w:spacing w:after="40"/>
            </w:pPr>
            <w:r/>
            <w:r>
              <w:rPr>
                <w:sz w:val="19"/>
              </w:rPr>
              <w:t>Risk assessment process</w:t>
            </w:r>
          </w:p>
        </w:tc>
        <w:tc>
          <w:tcPr>
            <w:tcW w:type="dxa" w:w="907"/>
          </w:tcPr>
          <w:p>
            <w:pPr>
              <w:spacing w:after="40"/>
            </w:pPr>
            <w:r/>
            <w:r>
              <w:rPr>
                <w:sz w:val="19"/>
              </w:rPr>
              <w:t>6.1.2</w:t>
            </w:r>
          </w:p>
        </w:tc>
        <w:tc>
          <w:tcPr>
            <w:tcW w:type="dxa" w:w="907"/>
          </w:tcPr>
          <w:p>
            <w:pPr>
              <w:spacing w:after="40"/>
            </w:pPr>
            <w:r/>
            <w:r>
              <w:rPr>
                <w:sz w:val="19"/>
              </w:rPr>
              <w:t>6.1.2</w:t>
            </w:r>
          </w:p>
        </w:tc>
        <w:tc>
          <w:tcPr>
            <w:tcW w:type="dxa" w:w="4422"/>
          </w:tcPr>
          <w:p>
            <w:pPr>
              <w:spacing w:after="40"/>
            </w:pPr>
            <w:r/>
            <w:r>
              <w:rPr>
                <w:sz w:val="19"/>
              </w:rPr>
              <w:t>IMS-PRO-001</w:t>
            </w:r>
          </w:p>
        </w:tc>
      </w:tr>
      <w:tr>
        <w:tc>
          <w:tcPr>
            <w:tcW w:type="dxa" w:w="3118"/>
            <w:shd w:val="clear" w:color="auto" w:fill="F5F7FA"/>
          </w:tcPr>
          <w:p>
            <w:pPr>
              <w:spacing w:after="40"/>
            </w:pPr>
            <w:r/>
            <w:r>
              <w:rPr>
                <w:sz w:val="19"/>
              </w:rPr>
              <w:t>Risk treatment process</w:t>
            </w:r>
          </w:p>
        </w:tc>
        <w:tc>
          <w:tcPr>
            <w:tcW w:type="dxa" w:w="907"/>
            <w:shd w:val="clear" w:color="auto" w:fill="F5F7FA"/>
          </w:tcPr>
          <w:p>
            <w:pPr>
              <w:spacing w:after="40"/>
            </w:pPr>
            <w:r/>
            <w:r>
              <w:rPr>
                <w:sz w:val="19"/>
              </w:rPr>
              <w:t>6.1.3</w:t>
            </w:r>
          </w:p>
        </w:tc>
        <w:tc>
          <w:tcPr>
            <w:tcW w:type="dxa" w:w="907"/>
            <w:shd w:val="clear" w:color="auto" w:fill="F5F7FA"/>
          </w:tcPr>
          <w:p>
            <w:pPr>
              <w:spacing w:after="40"/>
            </w:pPr>
            <w:r/>
            <w:r>
              <w:rPr>
                <w:sz w:val="19"/>
              </w:rPr>
              <w:t>6.1.3</w:t>
            </w:r>
          </w:p>
        </w:tc>
        <w:tc>
          <w:tcPr>
            <w:tcW w:type="dxa" w:w="4422"/>
            <w:shd w:val="clear" w:color="auto" w:fill="F5F7FA"/>
          </w:tcPr>
          <w:p>
            <w:pPr>
              <w:spacing w:after="40"/>
            </w:pPr>
            <w:r/>
            <w:r>
              <w:rPr>
                <w:sz w:val="19"/>
              </w:rPr>
              <w:t>IMS-PRO-001</w:t>
            </w:r>
          </w:p>
        </w:tc>
      </w:tr>
      <w:tr>
        <w:tc>
          <w:tcPr>
            <w:tcW w:type="dxa" w:w="3118"/>
          </w:tcPr>
          <w:p>
            <w:pPr>
              <w:spacing w:after="40"/>
            </w:pPr>
            <w:r/>
            <w:r>
              <w:rPr>
                <w:sz w:val="19"/>
              </w:rPr>
              <w:t>Statements of Applicability</w:t>
            </w:r>
          </w:p>
        </w:tc>
        <w:tc>
          <w:tcPr>
            <w:tcW w:type="dxa" w:w="907"/>
          </w:tcPr>
          <w:p>
            <w:pPr>
              <w:spacing w:after="40"/>
            </w:pPr>
            <w:r/>
            <w:r>
              <w:rPr>
                <w:sz w:val="19"/>
              </w:rPr>
              <w:t>6.1.3</w:t>
            </w:r>
          </w:p>
        </w:tc>
        <w:tc>
          <w:tcPr>
            <w:tcW w:type="dxa" w:w="907"/>
          </w:tcPr>
          <w:p>
            <w:pPr>
              <w:spacing w:after="40"/>
            </w:pPr>
            <w:r/>
            <w:r>
              <w:rPr>
                <w:sz w:val="19"/>
              </w:rPr>
              <w:t>6.1.3</w:t>
            </w:r>
          </w:p>
        </w:tc>
        <w:tc>
          <w:tcPr>
            <w:tcW w:type="dxa" w:w="4422"/>
          </w:tcPr>
          <w:p>
            <w:pPr>
              <w:spacing w:after="40"/>
            </w:pPr>
            <w:r/>
            <w:r>
              <w:rPr>
                <w:sz w:val="19"/>
              </w:rPr>
              <w:t>IMS-SOA-001; IMS-SOA-002</w:t>
            </w:r>
          </w:p>
        </w:tc>
      </w:tr>
      <w:tr>
        <w:tc>
          <w:tcPr>
            <w:tcW w:type="dxa" w:w="3118"/>
            <w:shd w:val="clear" w:color="auto" w:fill="F5F7FA"/>
          </w:tcPr>
          <w:p>
            <w:pPr>
              <w:spacing w:after="40"/>
            </w:pPr>
            <w:r/>
            <w:r>
              <w:rPr>
                <w:sz w:val="19"/>
              </w:rPr>
              <w:t>Risk treatment plan</w:t>
            </w:r>
          </w:p>
        </w:tc>
        <w:tc>
          <w:tcPr>
            <w:tcW w:type="dxa" w:w="907"/>
            <w:shd w:val="clear" w:color="auto" w:fill="F5F7FA"/>
          </w:tcPr>
          <w:p>
            <w:pPr>
              <w:spacing w:after="40"/>
            </w:pPr>
            <w:r/>
            <w:r>
              <w:rPr>
                <w:sz w:val="19"/>
              </w:rPr>
              <w:t>6.1.3</w:t>
            </w:r>
          </w:p>
        </w:tc>
        <w:tc>
          <w:tcPr>
            <w:tcW w:type="dxa" w:w="907"/>
            <w:shd w:val="clear" w:color="auto" w:fill="F5F7FA"/>
          </w:tcPr>
          <w:p>
            <w:pPr>
              <w:spacing w:after="40"/>
            </w:pPr>
            <w:r/>
            <w:r>
              <w:rPr>
                <w:sz w:val="19"/>
              </w:rPr>
              <w:t>6.1.3</w:t>
            </w:r>
          </w:p>
        </w:tc>
        <w:tc>
          <w:tcPr>
            <w:tcW w:type="dxa" w:w="4422"/>
            <w:shd w:val="clear" w:color="auto" w:fill="F5F7FA"/>
          </w:tcPr>
          <w:p>
            <w:pPr>
              <w:spacing w:after="40"/>
            </w:pPr>
            <w:r/>
            <w:r>
              <w:rPr>
                <w:sz w:val="19"/>
              </w:rPr>
              <w:t>IMS-REG-002</w:t>
            </w:r>
          </w:p>
        </w:tc>
      </w:tr>
      <w:tr>
        <w:tc>
          <w:tcPr>
            <w:tcW w:type="dxa" w:w="3118"/>
          </w:tcPr>
          <w:p>
            <w:pPr>
              <w:spacing w:after="40"/>
            </w:pPr>
            <w:r/>
            <w:r>
              <w:rPr>
                <w:sz w:val="19"/>
              </w:rPr>
              <w:t>AI system impact assessment process</w:t>
            </w:r>
          </w:p>
        </w:tc>
        <w:tc>
          <w:tcPr>
            <w:tcW w:type="dxa" w:w="907"/>
          </w:tcPr>
          <w:p>
            <w:pPr>
              <w:spacing w:after="40"/>
            </w:pPr>
            <w:r/>
            <w:r>
              <w:rPr>
                <w:sz w:val="19"/>
              </w:rPr>
              <w:t>—</w:t>
            </w:r>
          </w:p>
        </w:tc>
        <w:tc>
          <w:tcPr>
            <w:tcW w:type="dxa" w:w="907"/>
          </w:tcPr>
          <w:p>
            <w:pPr>
              <w:spacing w:after="40"/>
            </w:pPr>
            <w:r/>
            <w:r>
              <w:rPr>
                <w:sz w:val="19"/>
              </w:rPr>
              <w:t>6.1.4</w:t>
            </w:r>
          </w:p>
        </w:tc>
        <w:tc>
          <w:tcPr>
            <w:tcW w:type="dxa" w:w="4422"/>
          </w:tcPr>
          <w:p>
            <w:pPr>
              <w:spacing w:after="40"/>
            </w:pPr>
            <w:r/>
            <w:r>
              <w:rPr>
                <w:sz w:val="19"/>
              </w:rPr>
              <w:t>IMS-PRO-002</w:t>
            </w:r>
          </w:p>
        </w:tc>
      </w:tr>
      <w:tr>
        <w:tc>
          <w:tcPr>
            <w:tcW w:type="dxa" w:w="3118"/>
            <w:shd w:val="clear" w:color="auto" w:fill="F5F7FA"/>
          </w:tcPr>
          <w:p>
            <w:pPr>
              <w:spacing w:after="40"/>
            </w:pPr>
            <w:r/>
            <w:r>
              <w:rPr>
                <w:sz w:val="19"/>
              </w:rPr>
              <w:t>Objectives</w:t>
            </w:r>
          </w:p>
        </w:tc>
        <w:tc>
          <w:tcPr>
            <w:tcW w:type="dxa" w:w="907"/>
            <w:shd w:val="clear" w:color="auto" w:fill="F5F7FA"/>
          </w:tcPr>
          <w:p>
            <w:pPr>
              <w:spacing w:after="40"/>
            </w:pPr>
            <w:r/>
            <w:r>
              <w:rPr>
                <w:sz w:val="19"/>
              </w:rPr>
              <w:t>6.2</w:t>
            </w:r>
          </w:p>
        </w:tc>
        <w:tc>
          <w:tcPr>
            <w:tcW w:type="dxa" w:w="907"/>
            <w:shd w:val="clear" w:color="auto" w:fill="F5F7FA"/>
          </w:tcPr>
          <w:p>
            <w:pPr>
              <w:spacing w:after="40"/>
            </w:pPr>
            <w:r/>
            <w:r>
              <w:rPr>
                <w:sz w:val="19"/>
              </w:rPr>
              <w:t>6.2</w:t>
            </w:r>
          </w:p>
        </w:tc>
        <w:tc>
          <w:tcPr>
            <w:tcW w:type="dxa" w:w="4422"/>
            <w:shd w:val="clear" w:color="auto" w:fill="F5F7FA"/>
          </w:tcPr>
          <w:p>
            <w:pPr>
              <w:spacing w:after="40"/>
            </w:pPr>
            <w:r/>
            <w:r>
              <w:rPr>
                <w:sz w:val="19"/>
              </w:rPr>
              <w:t>IMS-REG-003</w:t>
            </w:r>
          </w:p>
        </w:tc>
      </w:tr>
      <w:tr>
        <w:tc>
          <w:tcPr>
            <w:tcW w:type="dxa" w:w="3118"/>
          </w:tcPr>
          <w:p>
            <w:pPr>
              <w:spacing w:after="40"/>
            </w:pPr>
            <w:r/>
            <w:r>
              <w:rPr>
                <w:sz w:val="19"/>
              </w:rPr>
              <w:t>Evidence of competence</w:t>
            </w:r>
          </w:p>
        </w:tc>
        <w:tc>
          <w:tcPr>
            <w:tcW w:type="dxa" w:w="907"/>
          </w:tcPr>
          <w:p>
            <w:pPr>
              <w:spacing w:after="40"/>
            </w:pPr>
            <w:r/>
            <w:r>
              <w:rPr>
                <w:sz w:val="19"/>
              </w:rPr>
              <w:t>7.2</w:t>
            </w:r>
          </w:p>
        </w:tc>
        <w:tc>
          <w:tcPr>
            <w:tcW w:type="dxa" w:w="907"/>
          </w:tcPr>
          <w:p>
            <w:pPr>
              <w:spacing w:after="40"/>
            </w:pPr>
            <w:r/>
            <w:r>
              <w:rPr>
                <w:sz w:val="19"/>
              </w:rPr>
              <w:t>7.2</w:t>
            </w:r>
          </w:p>
        </w:tc>
        <w:tc>
          <w:tcPr>
            <w:tcW w:type="dxa" w:w="4422"/>
          </w:tcPr>
          <w:p>
            <w:pPr>
              <w:spacing w:after="40"/>
            </w:pPr>
            <w:r/>
            <w:r>
              <w:rPr>
                <w:sz w:val="19"/>
              </w:rPr>
              <w:t>IMS-REG-004</w:t>
            </w:r>
          </w:p>
        </w:tc>
      </w:tr>
      <w:tr>
        <w:tc>
          <w:tcPr>
            <w:tcW w:type="dxa" w:w="3118"/>
            <w:shd w:val="clear" w:color="auto" w:fill="F5F7FA"/>
          </w:tcPr>
          <w:p>
            <w:pPr>
              <w:spacing w:after="40"/>
            </w:pPr>
            <w:r/>
            <w:r>
              <w:rPr>
                <w:sz w:val="19"/>
              </w:rPr>
              <w:t>Documents the organisation decides it needs</w:t>
            </w:r>
          </w:p>
        </w:tc>
        <w:tc>
          <w:tcPr>
            <w:tcW w:type="dxa" w:w="907"/>
            <w:shd w:val="clear" w:color="auto" w:fill="F5F7FA"/>
          </w:tcPr>
          <w:p>
            <w:pPr>
              <w:spacing w:after="40"/>
            </w:pPr>
            <w:r/>
            <w:r>
              <w:rPr>
                <w:sz w:val="19"/>
              </w:rPr>
              <w:t>7.5.1</w:t>
            </w:r>
          </w:p>
        </w:tc>
        <w:tc>
          <w:tcPr>
            <w:tcW w:type="dxa" w:w="907"/>
            <w:shd w:val="clear" w:color="auto" w:fill="F5F7FA"/>
          </w:tcPr>
          <w:p>
            <w:pPr>
              <w:spacing w:after="40"/>
            </w:pPr>
            <w:r/>
            <w:r>
              <w:rPr>
                <w:sz w:val="19"/>
              </w:rPr>
              <w:t>7.5.1</w:t>
            </w:r>
          </w:p>
        </w:tc>
        <w:tc>
          <w:tcPr>
            <w:tcW w:type="dxa" w:w="4422"/>
            <w:shd w:val="clear" w:color="auto" w:fill="F5F7FA"/>
          </w:tcPr>
          <w:p>
            <w:pPr>
              <w:spacing w:after="40"/>
            </w:pPr>
            <w:r/>
            <w:r>
              <w:rPr>
                <w:sz w:val="19"/>
              </w:rPr>
              <w:t>IMS-WBK-001 document register</w:t>
            </w:r>
          </w:p>
        </w:tc>
      </w:tr>
      <w:tr>
        <w:tc>
          <w:tcPr>
            <w:tcW w:type="dxa" w:w="3118"/>
          </w:tcPr>
          <w:p>
            <w:pPr>
              <w:spacing w:after="40"/>
            </w:pPr>
            <w:r/>
            <w:r>
              <w:rPr>
                <w:sz w:val="19"/>
              </w:rPr>
              <w:t>Operational planning and control records</w:t>
            </w:r>
          </w:p>
        </w:tc>
        <w:tc>
          <w:tcPr>
            <w:tcW w:type="dxa" w:w="907"/>
          </w:tcPr>
          <w:p>
            <w:pPr>
              <w:spacing w:after="40"/>
            </w:pPr>
            <w:r/>
            <w:r>
              <w:rPr>
                <w:sz w:val="19"/>
              </w:rPr>
              <w:t>8.1</w:t>
            </w:r>
          </w:p>
        </w:tc>
        <w:tc>
          <w:tcPr>
            <w:tcW w:type="dxa" w:w="907"/>
          </w:tcPr>
          <w:p>
            <w:pPr>
              <w:spacing w:after="40"/>
            </w:pPr>
            <w:r/>
            <w:r>
              <w:rPr>
                <w:sz w:val="19"/>
              </w:rPr>
              <w:t>8.1</w:t>
            </w:r>
          </w:p>
        </w:tc>
        <w:tc>
          <w:tcPr>
            <w:tcW w:type="dxa" w:w="4422"/>
          </w:tcPr>
          <w:p>
            <w:pPr>
              <w:spacing w:after="40"/>
            </w:pPr>
            <w:r/>
            <w:r>
              <w:rPr>
                <w:sz w:val="19"/>
              </w:rPr>
              <w:t>Pull requests, AI Release Review records, supplier reviews</w:t>
            </w:r>
          </w:p>
        </w:tc>
      </w:tr>
      <w:tr>
        <w:tc>
          <w:tcPr>
            <w:tcW w:type="dxa" w:w="3118"/>
            <w:shd w:val="clear" w:color="auto" w:fill="F5F7FA"/>
          </w:tcPr>
          <w:p>
            <w:pPr>
              <w:spacing w:after="40"/>
            </w:pPr>
            <w:r/>
            <w:r>
              <w:rPr>
                <w:sz w:val="19"/>
              </w:rPr>
              <w:t>Risk assessment results</w:t>
            </w:r>
          </w:p>
        </w:tc>
        <w:tc>
          <w:tcPr>
            <w:tcW w:type="dxa" w:w="907"/>
            <w:shd w:val="clear" w:color="auto" w:fill="F5F7FA"/>
          </w:tcPr>
          <w:p>
            <w:pPr>
              <w:spacing w:after="40"/>
            </w:pPr>
            <w:r/>
            <w:r>
              <w:rPr>
                <w:sz w:val="19"/>
              </w:rPr>
              <w:t>8.2</w:t>
            </w:r>
          </w:p>
        </w:tc>
        <w:tc>
          <w:tcPr>
            <w:tcW w:type="dxa" w:w="907"/>
            <w:shd w:val="clear" w:color="auto" w:fill="F5F7FA"/>
          </w:tcPr>
          <w:p>
            <w:pPr>
              <w:spacing w:after="40"/>
            </w:pPr>
            <w:r/>
            <w:r>
              <w:rPr>
                <w:sz w:val="19"/>
              </w:rPr>
              <w:t>8.2</w:t>
            </w:r>
          </w:p>
        </w:tc>
        <w:tc>
          <w:tcPr>
            <w:tcW w:type="dxa" w:w="4422"/>
            <w:shd w:val="clear" w:color="auto" w:fill="F5F7FA"/>
          </w:tcPr>
          <w:p>
            <w:pPr>
              <w:spacing w:after="40"/>
            </w:pPr>
            <w:r/>
            <w:r>
              <w:rPr>
                <w:sz w:val="19"/>
              </w:rPr>
              <w:t>IMS-REG-002</w:t>
            </w:r>
          </w:p>
        </w:tc>
      </w:tr>
      <w:tr>
        <w:tc>
          <w:tcPr>
            <w:tcW w:type="dxa" w:w="3118"/>
          </w:tcPr>
          <w:p>
            <w:pPr>
              <w:spacing w:after="40"/>
            </w:pPr>
            <w:r/>
            <w:r>
              <w:rPr>
                <w:sz w:val="19"/>
              </w:rPr>
              <w:t>Risk treatment results</w:t>
            </w:r>
          </w:p>
        </w:tc>
        <w:tc>
          <w:tcPr>
            <w:tcW w:type="dxa" w:w="907"/>
          </w:tcPr>
          <w:p>
            <w:pPr>
              <w:spacing w:after="40"/>
            </w:pPr>
            <w:r/>
            <w:r>
              <w:rPr>
                <w:sz w:val="19"/>
              </w:rPr>
              <w:t>8.3</w:t>
            </w:r>
          </w:p>
        </w:tc>
        <w:tc>
          <w:tcPr>
            <w:tcW w:type="dxa" w:w="907"/>
          </w:tcPr>
          <w:p>
            <w:pPr>
              <w:spacing w:after="40"/>
            </w:pPr>
            <w:r/>
            <w:r>
              <w:rPr>
                <w:sz w:val="19"/>
              </w:rPr>
              <w:t>8.3</w:t>
            </w:r>
          </w:p>
        </w:tc>
        <w:tc>
          <w:tcPr>
            <w:tcW w:type="dxa" w:w="4422"/>
          </w:tcPr>
          <w:p>
            <w:pPr>
              <w:spacing w:after="40"/>
            </w:pPr>
            <w:r/>
            <w:r>
              <w:rPr>
                <w:sz w:val="19"/>
              </w:rPr>
              <w:t>IMS-REG-002</w:t>
            </w:r>
          </w:p>
        </w:tc>
      </w:tr>
      <w:tr>
        <w:tc>
          <w:tcPr>
            <w:tcW w:type="dxa" w:w="3118"/>
            <w:shd w:val="clear" w:color="auto" w:fill="F5F7FA"/>
          </w:tcPr>
          <w:p>
            <w:pPr>
              <w:spacing w:after="40"/>
            </w:pPr>
            <w:r/>
            <w:r>
              <w:rPr>
                <w:sz w:val="19"/>
              </w:rPr>
              <w:t>AI system impact assessment results</w:t>
            </w:r>
          </w:p>
        </w:tc>
        <w:tc>
          <w:tcPr>
            <w:tcW w:type="dxa" w:w="907"/>
            <w:shd w:val="clear" w:color="auto" w:fill="F5F7FA"/>
          </w:tcPr>
          <w:p>
            <w:pPr>
              <w:spacing w:after="40"/>
            </w:pPr>
            <w:r/>
            <w:r>
              <w:rPr>
                <w:sz w:val="19"/>
              </w:rPr>
              <w:t>—</w:t>
            </w:r>
          </w:p>
        </w:tc>
        <w:tc>
          <w:tcPr>
            <w:tcW w:type="dxa" w:w="907"/>
            <w:shd w:val="clear" w:color="auto" w:fill="F5F7FA"/>
          </w:tcPr>
          <w:p>
            <w:pPr>
              <w:spacing w:after="40"/>
            </w:pPr>
            <w:r/>
            <w:r>
              <w:rPr>
                <w:sz w:val="19"/>
              </w:rPr>
              <w:t>8.4</w:t>
            </w:r>
          </w:p>
        </w:tc>
        <w:tc>
          <w:tcPr>
            <w:tcW w:type="dxa" w:w="4422"/>
            <w:shd w:val="clear" w:color="auto" w:fill="F5F7FA"/>
          </w:tcPr>
          <w:p>
            <w:pPr>
              <w:spacing w:after="40"/>
            </w:pPr>
            <w:r/>
            <w:r>
              <w:rPr>
                <w:sz w:val="19"/>
              </w:rPr>
              <w:t>Completed assessments filed per IMS-PRO-002</w:t>
            </w:r>
          </w:p>
        </w:tc>
      </w:tr>
      <w:tr>
        <w:tc>
          <w:tcPr>
            <w:tcW w:type="dxa" w:w="3118"/>
          </w:tcPr>
          <w:p>
            <w:pPr>
              <w:spacing w:after="40"/>
            </w:pPr>
            <w:r/>
            <w:r>
              <w:rPr>
                <w:sz w:val="19"/>
              </w:rPr>
              <w:t>Monitoring and measurement results</w:t>
            </w:r>
          </w:p>
        </w:tc>
        <w:tc>
          <w:tcPr>
            <w:tcW w:type="dxa" w:w="907"/>
          </w:tcPr>
          <w:p>
            <w:pPr>
              <w:spacing w:after="40"/>
            </w:pPr>
            <w:r/>
            <w:r>
              <w:rPr>
                <w:sz w:val="19"/>
              </w:rPr>
              <w:t>9.1</w:t>
            </w:r>
          </w:p>
        </w:tc>
        <w:tc>
          <w:tcPr>
            <w:tcW w:type="dxa" w:w="907"/>
          </w:tcPr>
          <w:p>
            <w:pPr>
              <w:spacing w:after="40"/>
            </w:pPr>
            <w:r/>
            <w:r>
              <w:rPr>
                <w:sz w:val="19"/>
              </w:rPr>
              <w:t>9.1</w:t>
            </w:r>
          </w:p>
        </w:tc>
        <w:tc>
          <w:tcPr>
            <w:tcW w:type="dxa" w:w="4422"/>
          </w:tcPr>
          <w:p>
            <w:pPr>
              <w:spacing w:after="40"/>
            </w:pPr>
            <w:r/>
            <w:r>
              <w:rPr>
                <w:sz w:val="19"/>
              </w:rPr>
              <w:t>IMS-REG-003 and dashboards</w:t>
            </w:r>
          </w:p>
        </w:tc>
      </w:tr>
      <w:tr>
        <w:tc>
          <w:tcPr>
            <w:tcW w:type="dxa" w:w="3118"/>
            <w:shd w:val="clear" w:color="auto" w:fill="F5F7FA"/>
          </w:tcPr>
          <w:p>
            <w:pPr>
              <w:spacing w:after="40"/>
            </w:pPr>
            <w:r/>
            <w:r>
              <w:rPr>
                <w:sz w:val="19"/>
              </w:rPr>
              <w:t>Audit programme and audit results</w:t>
            </w:r>
          </w:p>
        </w:tc>
        <w:tc>
          <w:tcPr>
            <w:tcW w:type="dxa" w:w="907"/>
            <w:shd w:val="clear" w:color="auto" w:fill="F5F7FA"/>
          </w:tcPr>
          <w:p>
            <w:pPr>
              <w:spacing w:after="40"/>
            </w:pPr>
            <w:r/>
            <w:r>
              <w:rPr>
                <w:sz w:val="19"/>
              </w:rPr>
              <w:t>9.2.2</w:t>
            </w:r>
          </w:p>
        </w:tc>
        <w:tc>
          <w:tcPr>
            <w:tcW w:type="dxa" w:w="907"/>
            <w:shd w:val="clear" w:color="auto" w:fill="F5F7FA"/>
          </w:tcPr>
          <w:p>
            <w:pPr>
              <w:spacing w:after="40"/>
            </w:pPr>
            <w:r/>
            <w:r>
              <w:rPr>
                <w:sz w:val="19"/>
              </w:rPr>
              <w:t>9.2.2</w:t>
            </w:r>
          </w:p>
        </w:tc>
        <w:tc>
          <w:tcPr>
            <w:tcW w:type="dxa" w:w="4422"/>
            <w:shd w:val="clear" w:color="auto" w:fill="F5F7FA"/>
          </w:tcPr>
          <w:p>
            <w:pPr>
              <w:spacing w:after="40"/>
            </w:pPr>
            <w:r/>
            <w:r>
              <w:rPr>
                <w:sz w:val="19"/>
              </w:rPr>
              <w:t>IMS-REG-007; audit reports per IMS-PRO-007</w:t>
            </w:r>
          </w:p>
        </w:tc>
      </w:tr>
      <w:tr>
        <w:tc>
          <w:tcPr>
            <w:tcW w:type="dxa" w:w="3118"/>
          </w:tcPr>
          <w:p>
            <w:pPr>
              <w:spacing w:after="40"/>
            </w:pPr>
            <w:r/>
            <w:r>
              <w:rPr>
                <w:sz w:val="19"/>
              </w:rPr>
              <w:t>Management review results</w:t>
            </w:r>
          </w:p>
        </w:tc>
        <w:tc>
          <w:tcPr>
            <w:tcW w:type="dxa" w:w="907"/>
          </w:tcPr>
          <w:p>
            <w:pPr>
              <w:spacing w:after="40"/>
            </w:pPr>
            <w:r/>
            <w:r>
              <w:rPr>
                <w:sz w:val="19"/>
              </w:rPr>
              <w:t>9.3.3</w:t>
            </w:r>
          </w:p>
        </w:tc>
        <w:tc>
          <w:tcPr>
            <w:tcW w:type="dxa" w:w="907"/>
          </w:tcPr>
          <w:p>
            <w:pPr>
              <w:spacing w:after="40"/>
            </w:pPr>
            <w:r/>
            <w:r>
              <w:rPr>
                <w:sz w:val="19"/>
              </w:rPr>
              <w:t>9.3.3</w:t>
            </w:r>
          </w:p>
        </w:tc>
        <w:tc>
          <w:tcPr>
            <w:tcW w:type="dxa" w:w="4422"/>
          </w:tcPr>
          <w:p>
            <w:pPr>
              <w:spacing w:after="40"/>
            </w:pPr>
            <w:r/>
            <w:r>
              <w:rPr>
                <w:sz w:val="19"/>
              </w:rPr>
              <w:t>Minutes per IMS-PRO-008</w:t>
            </w:r>
          </w:p>
        </w:tc>
      </w:tr>
      <w:tr>
        <w:tc>
          <w:tcPr>
            <w:tcW w:type="dxa" w:w="3118"/>
            <w:shd w:val="clear" w:color="auto" w:fill="F5F7FA"/>
          </w:tcPr>
          <w:p>
            <w:pPr>
              <w:spacing w:after="40"/>
            </w:pPr>
            <w:r/>
            <w:r>
              <w:rPr>
                <w:sz w:val="19"/>
              </w:rPr>
              <w:t>Nonconformities and corrective actions</w:t>
            </w:r>
          </w:p>
        </w:tc>
        <w:tc>
          <w:tcPr>
            <w:tcW w:type="dxa" w:w="907"/>
            <w:shd w:val="clear" w:color="auto" w:fill="F5F7FA"/>
          </w:tcPr>
          <w:p>
            <w:pPr>
              <w:spacing w:after="40"/>
            </w:pPr>
            <w:r/>
            <w:r>
              <w:rPr>
                <w:sz w:val="19"/>
              </w:rPr>
              <w:t>10.2</w:t>
            </w:r>
          </w:p>
        </w:tc>
        <w:tc>
          <w:tcPr>
            <w:tcW w:type="dxa" w:w="907"/>
            <w:shd w:val="clear" w:color="auto" w:fill="F5F7FA"/>
          </w:tcPr>
          <w:p>
            <w:pPr>
              <w:spacing w:after="40"/>
            </w:pPr>
            <w:r/>
            <w:r>
              <w:rPr>
                <w:sz w:val="19"/>
              </w:rPr>
              <w:t>10.2</w:t>
            </w:r>
          </w:p>
        </w:tc>
        <w:tc>
          <w:tcPr>
            <w:tcW w:type="dxa" w:w="4422"/>
            <w:shd w:val="clear" w:color="auto" w:fill="F5F7FA"/>
          </w:tcPr>
          <w:p>
            <w:pPr>
              <w:spacing w:after="40"/>
            </w:pPr>
            <w:r/>
            <w:r>
              <w:rPr>
                <w:sz w:val="19"/>
              </w:rPr>
              <w:t>IMS-REG-008</w:t>
            </w:r>
          </w:p>
        </w:tc>
      </w:tr>
    </w:tbl>
    <w:p/>
    <w:p>
      <w:pPr>
        <w:pStyle w:val="Heading1"/>
      </w:pPr>
      <w:r>
        <w:t>14. Review and approval</w:t>
      </w:r>
    </w:p>
    <w:p>
      <w:r>
        <w:rPr/>
        <w:t>The Compliance Coordinator, [Compliance Coordinator], keeps this manual current. It is reviewed at least yearly and after any change to scope, AI systems, structure or roles, and approved by the CEO on behalf of the Trust Council. Related documents: IMS-REG-001 Context, Interested Parties and Scope Register; IMS-GOV-001 Governance Charter, Roles and Responsibilities; IMS-POL-001 Information Security and Responsible AI Policy; IMS-GDE-001 Start Here — Build Your ISMS and AIMS with TWYNTRUST.</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2551"/>
            <w:shd w:val="clear" w:color="auto" w:fill="142B4C"/>
          </w:tcPr>
          <w:p>
            <w:r/>
            <w:r>
              <w:rPr>
                <w:b/>
                <w:color w:val="FFFFFF"/>
                <w:sz w:val="19"/>
              </w:rPr>
              <w:t>Name</w:t>
            </w:r>
          </w:p>
        </w:tc>
        <w:tc>
          <w:tcPr>
            <w:tcW w:type="dxa" w:w="3118"/>
            <w:shd w:val="clear" w:color="auto" w:fill="142B4C"/>
          </w:tcPr>
          <w:p>
            <w:r/>
            <w:r>
              <w:rPr>
                <w:b/>
                <w:color w:val="FFFFFF"/>
                <w:sz w:val="19"/>
              </w:rPr>
              <w:t>Role</w:t>
            </w:r>
          </w:p>
        </w:tc>
        <w:tc>
          <w:tcPr>
            <w:tcW w:type="dxa" w:w="1984"/>
            <w:shd w:val="clear" w:color="auto" w:fill="142B4C"/>
          </w:tcPr>
          <w:p>
            <w:r/>
            <w:r>
              <w:rPr>
                <w:b/>
                <w:color w:val="FFFFFF"/>
                <w:sz w:val="19"/>
              </w:rPr>
              <w:t>Signature</w:t>
            </w:r>
          </w:p>
        </w:tc>
        <w:tc>
          <w:tcPr>
            <w:tcW w:type="dxa" w:w="1701"/>
            <w:shd w:val="clear" w:color="auto" w:fill="142B4C"/>
          </w:tcPr>
          <w:p>
            <w:r/>
            <w:r>
              <w:rPr>
                <w:b/>
                <w:color w:val="FFFFFF"/>
                <w:sz w:val="19"/>
              </w:rPr>
              <w:t>Date</w:t>
            </w:r>
          </w:p>
        </w:tc>
      </w:tr>
      <w:tr>
        <w:tc>
          <w:tcPr>
            <w:tcW w:type="dxa" w:w="2551"/>
          </w:tcPr>
          <w:p>
            <w:pPr>
              <w:spacing w:after="40"/>
            </w:pPr>
            <w:r/>
            <w:r>
              <w:rPr>
                <w:sz w:val="19"/>
              </w:rPr>
              <w:t>[CEO]</w:t>
            </w:r>
          </w:p>
        </w:tc>
        <w:tc>
          <w:tcPr>
            <w:tcW w:type="dxa" w:w="3118"/>
          </w:tcPr>
          <w:p>
            <w:pPr>
              <w:spacing w:after="40"/>
            </w:pPr>
            <w:r/>
            <w:r>
              <w:rPr>
                <w:sz w:val="19"/>
              </w:rPr>
              <w:t>Chief Executive Officer and co-founder, for the Trust Council</w:t>
            </w:r>
          </w:p>
        </w:tc>
        <w:tc>
          <w:tcPr>
            <w:tcW w:type="dxa" w:w="1984"/>
          </w:tcPr>
          <w:p>
            <w:pPr>
              <w:spacing w:after="40"/>
            </w:pPr>
            <w:r/>
            <w:r>
              <w:rPr>
                <w:sz w:val="19"/>
                <w:highlight w:val="yellow"/>
              </w:rPr>
              <w:t>[signature]</w:t>
            </w:r>
          </w:p>
        </w:tc>
        <w:tc>
          <w:tcPr>
            <w:tcW w:type="dxa" w:w="1701"/>
          </w:tcPr>
          <w:p>
            <w:pPr>
              <w:spacing w:after="40"/>
            </w:pPr>
            <w:r/>
            <w:r>
              <w:rPr>
                <w:sz w:val="19"/>
                <w:highlight w:val="yellow"/>
              </w:rPr>
              <w:t>[date]</w:t>
            </w:r>
          </w:p>
        </w:tc>
      </w:tr>
    </w:tbl>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IMS-MAN-001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IMS-MAN-001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Management System Manual (ISMS + AIMS)</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