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766E"/>
          <w:sz w:val="20"/>
        </w:rPr>
        <w:t>TWYNTRUST FRAMEWORK  ·  QUILLFEN STUDIO</w:t>
      </w:r>
    </w:p>
    <w:p>
      <w:pPr>
        <w:pStyle w:val="Title"/>
      </w:pPr>
      <w:r>
        <w:t>Information Security and Responsible AI Policy</w:t>
      </w:r>
    </w:p>
    <w:p>
      <w:r>
        <w:rPr>
          <w:color w:val="595959"/>
          <w:sz w:val="23"/>
        </w:rPr>
        <w:t>The one top-level policy that commits Quillfen Studio to protecting information and to developing, providing and using AI responsibly. Every other policy and procedure in the kit hangs from it.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85" w:type="dxa"/>
          <w:bottom w:w="85" w:type="dxa"/>
          <w:left w:w="85" w:type="dxa"/>
          <w:right w:w="85" w:type="dxa"/>
        </w:tblCellMar>
      </w:tblPr>
      <w:tblGrid>
        <w:gridCol w:w="4706"/>
        <w:gridCol w:w="4706"/>
      </w:tblGrid>
      <w:tr>
        <w:tc>
          <w:tcPr>
            <w:tcW w:type="dxa" w:w="2835"/>
            <w:shd w:val="clear" w:color="auto" w:fill="EEF2F7"/>
          </w:tcPr>
          <w:p>
            <w:r/>
            <w:r>
              <w:rPr>
                <w:b/>
                <w:sz w:val="19"/>
              </w:rPr>
              <w:t>Document ID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IMS-POL-001</w:t>
            </w:r>
          </w:p>
        </w:tc>
      </w:tr>
      <w:tr>
        <w:tc>
          <w:tcPr>
            <w:tcW w:type="dxa" w:w="2835"/>
            <w:shd w:val="clear" w:color="auto" w:fill="EEF2F7"/>
          </w:tcPr>
          <w:p>
            <w:r/>
            <w:r>
              <w:rPr>
                <w:b/>
                <w:sz w:val="19"/>
              </w:rPr>
              <w:t>Version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2.0</w:t>
            </w:r>
          </w:p>
        </w:tc>
      </w:tr>
      <w:tr>
        <w:tc>
          <w:tcPr>
            <w:tcW w:type="dxa" w:w="2835"/>
            <w:shd w:val="clear" w:color="auto" w:fill="EEF2F7"/>
          </w:tcPr>
          <w:p>
            <w:r/>
            <w:r>
              <w:rPr>
                <w:b/>
                <w:sz w:val="19"/>
              </w:rPr>
              <w:t>Prepared by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Prof. Dr. Mohamed Fawzi Elgendi (Fawzooz), Fawzooz.ai</w:t>
            </w:r>
          </w:p>
        </w:tc>
      </w:tr>
      <w:tr>
        <w:tc>
          <w:tcPr>
            <w:tcW w:type="dxa" w:w="2835"/>
            <w:shd w:val="clear" w:color="auto" w:fill="EEF2F7"/>
          </w:tcPr>
          <w:p>
            <w:r/>
            <w:r>
              <w:rPr>
                <w:b/>
                <w:sz w:val="19"/>
              </w:rPr>
              <w:t>License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CC BY 4.0 — free to share and adapt, including commercially, with credit to Prof. Dr. Mohamed Fawzi Elgendi (Fawzooz), Fawzooz.ai · creativecommons.org/licenses/by/4.0</w:t>
            </w:r>
          </w:p>
        </w:tc>
      </w:tr>
      <w:tr>
        <w:tc>
          <w:tcPr>
            <w:tcW w:type="dxa" w:w="2835"/>
            <w:shd w:val="clear" w:color="auto" w:fill="EEF2F7"/>
          </w:tcPr>
          <w:p>
            <w:r/>
            <w:r>
              <w:rPr>
                <w:b/>
                <w:sz w:val="19"/>
              </w:rPr>
              <w:t>Status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Approved — SAMPLE for adaptation</w:t>
            </w:r>
          </w:p>
        </w:tc>
      </w:tr>
      <w:tr>
        <w:tc>
          <w:tcPr>
            <w:tcW w:type="dxa" w:w="2835"/>
            <w:shd w:val="clear" w:color="auto" w:fill="EEF2F7"/>
          </w:tcPr>
          <w:p>
            <w:r/>
            <w:r>
              <w:rPr>
                <w:b/>
                <w:sz w:val="19"/>
              </w:rPr>
              <w:t>Classification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Internal</w:t>
            </w:r>
          </w:p>
        </w:tc>
      </w:tr>
      <w:tr>
        <w:tc>
          <w:tcPr>
            <w:tcW w:type="dxa" w:w="2835"/>
            <w:shd w:val="clear" w:color="auto" w:fill="EEF2F7"/>
          </w:tcPr>
          <w:p>
            <w:r/>
            <w:r>
              <w:rPr>
                <w:b/>
                <w:sz w:val="19"/>
              </w:rPr>
              <w:t>Document owner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[CEO]</w:t>
            </w:r>
          </w:p>
        </w:tc>
      </w:tr>
      <w:tr>
        <w:tc>
          <w:tcPr>
            <w:tcW w:type="dxa" w:w="2835"/>
            <w:shd w:val="clear" w:color="auto" w:fill="EEF2F7"/>
          </w:tcPr>
          <w:p>
            <w:r/>
            <w:r>
              <w:rPr>
                <w:b/>
                <w:sz w:val="19"/>
              </w:rPr>
              <w:t>Approved by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[CEO], on behalf of the Trust Council</w:t>
            </w:r>
          </w:p>
        </w:tc>
      </w:tr>
      <w:tr>
        <w:tc>
          <w:tcPr>
            <w:tcW w:type="dxa" w:w="2835"/>
            <w:shd w:val="clear" w:color="auto" w:fill="EEF2F7"/>
          </w:tcPr>
          <w:p>
            <w:r/>
            <w:r>
              <w:rPr>
                <w:b/>
                <w:sz w:val="19"/>
              </w:rPr>
              <w:t>Effective date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2026-11-01</w:t>
            </w:r>
          </w:p>
        </w:tc>
      </w:tr>
      <w:tr>
        <w:tc>
          <w:tcPr>
            <w:tcW w:type="dxa" w:w="2835"/>
            <w:shd w:val="clear" w:color="auto" w:fill="EEF2F7"/>
          </w:tcPr>
          <w:p>
            <w:r/>
            <w:r>
              <w:rPr>
                <w:b/>
                <w:sz w:val="19"/>
              </w:rPr>
              <w:t>Next review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2027-11-01 or after a significant change</w:t>
            </w:r>
          </w:p>
        </w:tc>
      </w:tr>
      <w:tr>
        <w:tc>
          <w:tcPr>
            <w:tcW w:type="dxa" w:w="2835"/>
            <w:shd w:val="clear" w:color="auto" w:fill="EEF2F7"/>
          </w:tcPr>
          <w:p>
            <w:r/>
            <w:r>
              <w:rPr>
                <w:b/>
                <w:sz w:val="19"/>
              </w:rPr>
              <w:t>TWYNTRUST strand / kit folder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01 Ground - Context and Leadership</w:t>
            </w:r>
          </w:p>
        </w:tc>
      </w:tr>
      <w:tr>
        <w:tc>
          <w:tcPr>
            <w:tcW w:type="dxa" w:w="2835"/>
            <w:shd w:val="clear" w:color="auto" w:fill="EEF2F7"/>
          </w:tcPr>
          <w:p>
            <w:r/>
            <w:r>
              <w:rPr>
                <w:b/>
                <w:sz w:val="19"/>
              </w:rPr>
              <w:t>ISO/IEC 27001:2022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5.2 Information security policy; Annex A 5.1</w:t>
            </w:r>
          </w:p>
        </w:tc>
      </w:tr>
      <w:tr>
        <w:tc>
          <w:tcPr>
            <w:tcW w:type="dxa" w:w="2835"/>
            <w:shd w:val="clear" w:color="auto" w:fill="EEF2F7"/>
          </w:tcPr>
          <w:p>
            <w:r/>
            <w:r>
              <w:rPr>
                <w:b/>
                <w:sz w:val="19"/>
              </w:rPr>
              <w:t>ISO/IEC 42001:2023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5.2 AI policy; Annex A.2.2–A.2.4</w:t>
            </w:r>
          </w:p>
        </w:tc>
      </w:tr>
    </w:tbl>
    <w:p/>
    <w:p>
      <w:pPr>
        <w:pStyle w:val="Heading3"/>
      </w:pPr>
      <w:r>
        <w:t>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85" w:type="dxa"/>
          <w:bottom w:w="85" w:type="dxa"/>
          <w:left w:w="85" w:type="dxa"/>
          <w:right w:w="85" w:type="dxa"/>
        </w:tblCellMar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1134"/>
            <w:shd w:val="clear" w:color="auto" w:fill="142B4C"/>
          </w:tcPr>
          <w:p>
            <w:r/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1417"/>
            <w:shd w:val="clear" w:color="auto" w:fill="142B4C"/>
          </w:tcPr>
          <w:p>
            <w:r/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1984"/>
            <w:shd w:val="clear" w:color="auto" w:fill="142B4C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  <w:tc>
          <w:tcPr>
            <w:tcW w:type="dxa" w:w="4819"/>
            <w:shd w:val="clear" w:color="auto" w:fill="142B4C"/>
          </w:tcPr>
          <w:p>
            <w:r/>
            <w:r>
              <w:rPr>
                <w:b/>
                <w:color w:val="FFFFFF"/>
                <w:sz w:val="19"/>
              </w:rPr>
              <w:t>Change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sz w:val="19"/>
              </w:rPr>
              <w:t>1.0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sz w:val="19"/>
              </w:rPr>
              <w:t>2025-05-19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sz w:val="19"/>
              </w:rPr>
              <w:t>Prof. Dr. Mohamed Fawzi Elgendi (Fawzooz)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sz w:val="19"/>
              </w:rPr>
              <w:t>First release under the earlier TRACE framework (AIMS only).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pPr>
              <w:spacing w:after="40"/>
            </w:pPr>
            <w:r/>
            <w:r>
              <w:rPr>
                <w:sz w:val="19"/>
              </w:rPr>
              <w:t>2.0</w:t>
            </w:r>
          </w:p>
        </w:tc>
        <w:tc>
          <w:tcPr>
            <w:tcW w:type="dxa" w:w="1417"/>
            <w:shd w:val="clear" w:color="auto" w:fill="F5F7FA"/>
          </w:tcPr>
          <w:p>
            <w:pPr>
              <w:spacing w:after="40"/>
            </w:pPr>
            <w:r/>
            <w:r>
              <w:rPr>
                <w:sz w:val="19"/>
              </w:rPr>
              <w:t>2026-11-01</w:t>
            </w:r>
          </w:p>
        </w:tc>
        <w:tc>
          <w:tcPr>
            <w:tcW w:type="dxa" w:w="1984"/>
            <w:shd w:val="clear" w:color="auto" w:fill="F5F7FA"/>
          </w:tcPr>
          <w:p>
            <w:pPr>
              <w:spacing w:after="40"/>
            </w:pPr>
            <w:r/>
            <w:r>
              <w:rPr>
                <w:sz w:val="19"/>
              </w:rPr>
              <w:t>Prof. Dr. Mohamed Fawzi Elgendi (Fawzooz)</w:t>
            </w:r>
          </w:p>
        </w:tc>
        <w:tc>
          <w:tcPr>
            <w:tcW w:type="dxa" w:w="4819"/>
            <w:shd w:val="clear" w:color="auto" w:fill="F5F7FA"/>
          </w:tcPr>
          <w:p>
            <w:pPr>
              <w:spacing w:after="40"/>
            </w:pPr>
            <w:r/>
            <w:r>
              <w:rPr>
                <w:sz w:val="19"/>
              </w:rPr>
              <w:t>Rebuilt as an integrated ISMS + AIMS document under the TWYNTRUST framework.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CellMar>
          <w:top w:w="141" w:type="dxa"/>
          <w:bottom w:w="141" w:type="dxa"/>
          <w:left w:w="141" w:type="dxa"/>
          <w:right w:w="141" w:type="dxa"/>
        </w:tblCellMar>
      </w:tblPr>
      <w:tblGrid>
        <w:gridCol w:w="9412"/>
      </w:tblGrid>
      <w:tr>
        <w:tc>
          <w:tcPr>
            <w:tcW w:type="dxa" w:w="9412"/>
            <w:shd w:val="clear" w:color="auto" w:fill="E8F1FB"/>
          </w:tcPr>
          <w:p>
            <w:r>
              <w:rPr>
                <w:b/>
                <w:color w:val="142B4C"/>
                <w:sz w:val="20"/>
              </w:rPr>
              <w:t>Starter tip — How to use this document</w:t>
            </w:r>
          </w:p>
          <w:p>
            <w:pPr>
              <w:spacing w:after="60"/>
            </w:pPr>
            <w:r>
              <w:rPr>
                <w:sz w:val="20"/>
              </w:rPr>
              <w:t xml:space="preserve">•  This is a </w:t>
            </w:r>
            <w:r>
              <w:rPr>
                <w:b/>
                <w:sz w:val="20"/>
              </w:rPr>
              <w:t>sample</w:t>
            </w:r>
            <w:r>
              <w:rPr>
                <w:sz w:val="20"/>
              </w:rPr>
              <w:t>. Text is written for the example company Quillfen Studio. Replace names, systems and numbers with your own before approval.</w:t>
            </w:r>
          </w:p>
          <w:p>
            <w:pPr>
              <w:spacing w:after="60"/>
            </w:pPr>
            <w:r>
              <w:rPr>
                <w:sz w:val="20"/>
              </w:rPr>
              <w:t xml:space="preserve">•  Yellow </w:t>
            </w:r>
            <w:r>
              <w:rPr>
                <w:sz w:val="20"/>
                <w:highlight w:val="yellow"/>
              </w:rPr>
              <w:t>[highlighted brackets]</w:t>
            </w:r>
            <w:r>
              <w:rPr>
                <w:sz w:val="20"/>
              </w:rPr>
              <w:t xml:space="preserve"> mark values you must fill in or confirm.</w:t>
            </w:r>
          </w:p>
          <w:p>
            <w:pPr>
              <w:spacing w:after="60"/>
            </w:pPr>
            <w:r>
              <w:rPr>
                <w:sz w:val="20"/>
              </w:rPr>
              <w:t>•  Green 'Worked example' boxes show what a good answer looks like. Blue boxes like this one are guidance for you — delete them in your final version.</w:t>
            </w:r>
          </w:p>
          <w:p>
            <w:pPr>
              <w:spacing w:after="60"/>
            </w:pPr>
            <w:r>
              <w:rPr>
                <w:sz w:val="20"/>
              </w:rPr>
              <w:t>•  Keep this policy short (2–3 pages of body text). Detail belongs in the topic policies it points to.</w:t>
            </w:r>
          </w:p>
          <w:p>
            <w:pPr>
              <w:spacing w:after="60"/>
            </w:pPr>
            <w:r>
              <w:rPr>
                <w:sz w:val="20"/>
              </w:rPr>
              <w:t>•  Both standards require the policy to include a commitment to meet requirements and a commitment to continual improvement — keep sections 4 and 7 even if you rewrite everything else.</w:t>
            </w:r>
          </w:p>
        </w:tc>
      </w:tr>
    </w:tbl>
    <w:p/>
    <w:p>
      <w:r>
        <w:br w:type="page"/>
      </w:r>
    </w:p>
    <w:p>
      <w:pPr>
        <w:pStyle w:val="Heading1"/>
      </w:pPr>
      <w:r>
        <w:t>1. Purpose</w:t>
      </w:r>
    </w:p>
    <w:p>
      <w:r>
        <w:rPr/>
        <w:t>Quillfen Studio turns writers' ideas into visual stories with the help of AI and of human artists. Our customers trust us with unreleased scripts and brand material; our artists trust us with their portfolios, their income and their creative rights; the public trusts that what we help produce is honest about how it was made. This policy states how we protect that trust.</w:t>
      </w:r>
    </w:p>
    <w:p>
      <w:r>
        <w:rPr/>
        <w:t xml:space="preserve">It sets the direction for our integrated management system — the information security management system (ISMS) under ISO/IEC 27001:2022 and the AI management system (AIMS) under ISO/IEC 42001:2023 — which we run as </w:t>
      </w:r>
      <w:r>
        <w:rPr>
          <w:b/>
        </w:rPr>
        <w:t>one system</w:t>
      </w:r>
      <w:r>
        <w:rPr/>
        <w:t xml:space="preserve"> under the TWYNTRUST framework.</w:t>
      </w:r>
    </w:p>
    <w:p>
      <w:pPr>
        <w:pStyle w:val="Heading1"/>
      </w:pPr>
      <w:r>
        <w:t>2. Scope</w:t>
      </w:r>
    </w:p>
    <w:p>
      <w:r>
        <w:rPr/>
        <w:t>This policy applies to everyone who works for or with Quillfen Studio — employees, freelance contractors, and suppliers who handle our information — and to all information, systems and AI systems inside the scope defined in IMS-REG-001 Context, Interested Parties and Scope Register.</w:t>
      </w:r>
    </w:p>
    <w:p>
      <w:pPr>
        <w:pStyle w:val="Heading1"/>
      </w:pPr>
      <w:r>
        <w:t>3. Our principles</w:t>
      </w:r>
    </w:p>
    <w:p>
      <w:pPr>
        <w:pStyle w:val="Heading2"/>
      </w:pPr>
      <w:r>
        <w:t>3.1 Information security</w:t>
      </w:r>
    </w:p>
    <w:p>
      <w:pPr>
        <w:pStyle w:val="ListBullet"/>
        <w:spacing w:after="60"/>
      </w:pPr>
      <w:r>
        <w:rPr>
          <w:b/>
        </w:rPr>
        <w:t>Confidentiality</w:t>
      </w:r>
      <w:r>
        <w:rPr/>
        <w:t xml:space="preserve"> — customer scripts, artwork, personal data and our own source code are seen only by people and systems that need them.</w:t>
      </w:r>
    </w:p>
    <w:p>
      <w:pPr>
        <w:pStyle w:val="ListBullet"/>
        <w:spacing w:after="60"/>
      </w:pPr>
      <w:r>
        <w:rPr>
          <w:b/>
        </w:rPr>
        <w:t>Integrity</w:t>
      </w:r>
      <w:r>
        <w:rPr/>
        <w:t xml:space="preserve"> — information, models and generated outputs are accurate and are not changed without authorisation.</w:t>
      </w:r>
    </w:p>
    <w:p>
      <w:pPr>
        <w:pStyle w:val="ListBullet"/>
        <w:spacing w:after="60"/>
      </w:pPr>
      <w:r>
        <w:rPr>
          <w:b/>
        </w:rPr>
        <w:t>Availability</w:t>
      </w:r>
      <w:r>
        <w:rPr/>
        <w:t xml:space="preserve"> — Canvas, Commons and the API are available when customers and artists need them, and we can recover quickly when they are not.</w:t>
      </w:r>
    </w:p>
    <w:p>
      <w:pPr>
        <w:pStyle w:val="Heading2"/>
      </w:pPr>
      <w:r>
        <w:t>3.2 Responsible AI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85" w:type="dxa"/>
          <w:bottom w:w="85" w:type="dxa"/>
          <w:left w:w="85" w:type="dxa"/>
          <w:right w:w="85" w:type="dxa"/>
        </w:tblCellMar>
      </w:tblPr>
      <w:tblGrid>
        <w:gridCol w:w="4706"/>
        <w:gridCol w:w="4706"/>
      </w:tblGrid>
      <w:tr>
        <w:trPr>
          <w:tblHeader w:val="true"/>
        </w:trPr>
        <w:tc>
          <w:tcPr>
            <w:tcW w:type="dxa" w:w="2551"/>
            <w:shd w:val="clear" w:color="auto" w:fill="142B4C"/>
          </w:tcPr>
          <w:p>
            <w:r/>
            <w:r>
              <w:rPr>
                <w:b/>
                <w:color w:val="FFFFFF"/>
                <w:sz w:val="19"/>
              </w:rPr>
              <w:t>Principle</w:t>
            </w:r>
          </w:p>
        </w:tc>
        <w:tc>
          <w:tcPr>
            <w:tcW w:type="dxa" w:w="6803"/>
            <w:shd w:val="clear" w:color="auto" w:fill="142B4C"/>
          </w:tcPr>
          <w:p>
            <w:r/>
            <w:r>
              <w:rPr>
                <w:b/>
                <w:color w:val="FFFFFF"/>
                <w:sz w:val="19"/>
              </w:rPr>
              <w:t>What it means at Quillfen Studio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sz w:val="19"/>
              </w:rPr>
              <w:t>Respect for creators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sz w:val="19"/>
              </w:rPr>
              <w:t>We train or fine-tune only on work we own, have licensed, or have explicit artist consent for. We honour opt-outs. Artists are paid fairly for commissions.</w:t>
            </w:r>
          </w:p>
        </w:tc>
      </w:tr>
      <w:tr>
        <w:tc>
          <w:tcPr>
            <w:tcW w:type="dxa" w:w="2551"/>
            <w:shd w:val="clear" w:color="auto" w:fill="F5F7FA"/>
          </w:tcPr>
          <w:p>
            <w:pPr>
              <w:spacing w:after="40"/>
            </w:pPr>
            <w:r/>
            <w:r>
              <w:rPr>
                <w:sz w:val="19"/>
              </w:rPr>
              <w:t>Transparency</w:t>
            </w:r>
          </w:p>
        </w:tc>
        <w:tc>
          <w:tcPr>
            <w:tcW w:type="dxa" w:w="6803"/>
            <w:shd w:val="clear" w:color="auto" w:fill="F5F7FA"/>
          </w:tcPr>
          <w:p>
            <w:pPr>
              <w:spacing w:after="40"/>
            </w:pPr>
            <w:r/>
            <w:r>
              <w:rPr>
                <w:sz w:val="19"/>
              </w:rPr>
              <w:t>AI-generated and AI-assisted outputs are labelled and carry content credentials. Customers and artists can find out how ArtistMatch ranks people.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sz w:val="19"/>
              </w:rPr>
              <w:t>Fairness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sz w:val="19"/>
              </w:rPr>
              <w:t>Our AI does not systematically disadvantage artists or depicted groups; we test for it before release and monitor it after.</w:t>
            </w:r>
          </w:p>
        </w:tc>
      </w:tr>
      <w:tr>
        <w:tc>
          <w:tcPr>
            <w:tcW w:type="dxa" w:w="2551"/>
            <w:shd w:val="clear" w:color="auto" w:fill="F5F7FA"/>
          </w:tcPr>
          <w:p>
            <w:pPr>
              <w:spacing w:after="40"/>
            </w:pPr>
            <w:r/>
            <w:r>
              <w:rPr>
                <w:sz w:val="19"/>
              </w:rPr>
              <w:t>Safety and integrity of content</w:t>
            </w:r>
          </w:p>
        </w:tc>
        <w:tc>
          <w:tcPr>
            <w:tcW w:type="dxa" w:w="6803"/>
            <w:shd w:val="clear" w:color="auto" w:fill="F5F7FA"/>
          </w:tcPr>
          <w:p>
            <w:pPr>
              <w:spacing w:after="40"/>
            </w:pPr>
            <w:r/>
            <w:r>
              <w:rPr>
                <w:sz w:val="19"/>
              </w:rPr>
              <w:t>We block prohibited content, including sexual content involving minors and deceptive deepfakes of real people, and we do not help anyone mislead the public.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sz w:val="19"/>
              </w:rPr>
              <w:t>Human oversight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sz w:val="19"/>
              </w:rPr>
              <w:t>A named person is accountable for every AI system, and people can override, correct or switch off AI features.</w:t>
            </w:r>
          </w:p>
        </w:tc>
      </w:tr>
      <w:tr>
        <w:tc>
          <w:tcPr>
            <w:tcW w:type="dxa" w:w="2551"/>
            <w:shd w:val="clear" w:color="auto" w:fill="F5F7FA"/>
          </w:tcPr>
          <w:p>
            <w:pPr>
              <w:spacing w:after="40"/>
            </w:pPr>
            <w:r/>
            <w:r>
              <w:rPr>
                <w:sz w:val="19"/>
              </w:rPr>
              <w:t>Privacy</w:t>
            </w:r>
          </w:p>
        </w:tc>
        <w:tc>
          <w:tcPr>
            <w:tcW w:type="dxa" w:w="6803"/>
            <w:shd w:val="clear" w:color="auto" w:fill="F5F7FA"/>
          </w:tcPr>
          <w:p>
            <w:pPr>
              <w:spacing w:after="40"/>
            </w:pPr>
            <w:r/>
            <w:r>
              <w:rPr>
                <w:sz w:val="19"/>
              </w:rPr>
              <w:t>We use the minimum personal data we need and never use customer scripts or artwork to train models unless the customer has opted in.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sz w:val="19"/>
              </w:rPr>
              <w:t>Security by design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sz w:val="19"/>
              </w:rPr>
              <w:t>AI systems get the same security engineering as the rest of our software, plus protection against AI-specific attacks such as prompt injection and data poisoning.</w:t>
            </w:r>
          </w:p>
        </w:tc>
      </w:tr>
      <w:tr>
        <w:tc>
          <w:tcPr>
            <w:tcW w:type="dxa" w:w="2551"/>
            <w:shd w:val="clear" w:color="auto" w:fill="F5F7FA"/>
          </w:tcPr>
          <w:p>
            <w:pPr>
              <w:spacing w:after="40"/>
            </w:pPr>
            <w:r/>
            <w:r>
              <w:rPr>
                <w:sz w:val="19"/>
              </w:rPr>
              <w:t>Accountability</w:t>
            </w:r>
          </w:p>
        </w:tc>
        <w:tc>
          <w:tcPr>
            <w:tcW w:type="dxa" w:w="6803"/>
            <w:shd w:val="clear" w:color="auto" w:fill="F5F7FA"/>
          </w:tcPr>
          <w:p>
            <w:pPr>
              <w:spacing w:after="40"/>
            </w:pPr>
            <w:r/>
            <w:r>
              <w:rPr>
                <w:sz w:val="19"/>
              </w:rPr>
              <w:t>We record our decisions about AI, we can explain them, and we learn from mistakes.</w:t>
            </w:r>
          </w:p>
        </w:tc>
      </w:tr>
    </w:tbl>
    <w:p/>
    <w:p>
      <w:pPr>
        <w:pStyle w:val="Heading1"/>
      </w:pPr>
      <w:r>
        <w:t>4. Commitments</w:t>
      </w:r>
    </w:p>
    <w:p>
      <w:r>
        <w:rPr/>
        <w:t>Top management commits to:</w:t>
      </w:r>
    </w:p>
    <w:p>
      <w:pPr>
        <w:pStyle w:val="ListNumber"/>
        <w:spacing w:after="60"/>
        <w:numPr>
          <w:ilvl w:val="0"/>
          <w:numId w:val="1004"/>
        </w:numPr>
      </w:pPr>
      <w:r>
        <w:rPr/>
        <w:t>Meet applicable legal, regulatory and contractual requirements, including those listed in IMS-REG-001 Context, Interested Parties and Scope Register.</w:t>
      </w:r>
    </w:p>
    <w:p>
      <w:pPr>
        <w:pStyle w:val="ListNumber"/>
        <w:spacing w:after="60"/>
        <w:numPr>
          <w:ilvl w:val="0"/>
          <w:numId w:val="1004"/>
        </w:numPr>
      </w:pPr>
      <w:r>
        <w:rPr/>
        <w:t>Set and review information-security and AI objectives each year (IMS-REG-003 Objectives, Metrics and Monitoring Plan).</w:t>
      </w:r>
    </w:p>
    <w:p>
      <w:pPr>
        <w:pStyle w:val="ListNumber"/>
        <w:spacing w:after="60"/>
        <w:numPr>
          <w:ilvl w:val="0"/>
          <w:numId w:val="1004"/>
        </w:numPr>
      </w:pPr>
      <w:r>
        <w:rPr/>
        <w:t>Identify, assess and treat risks to information and from AI systems, and assess the impact of our AI systems on individuals, groups and society, before release and when they change.</w:t>
      </w:r>
    </w:p>
    <w:p>
      <w:pPr>
        <w:pStyle w:val="ListNumber"/>
        <w:spacing w:after="60"/>
        <w:numPr>
          <w:ilvl w:val="0"/>
          <w:numId w:val="1004"/>
        </w:numPr>
      </w:pPr>
      <w:r>
        <w:rPr/>
        <w:t>Provide the people, budget, tools and time needed to run the management system.</w:t>
      </w:r>
    </w:p>
    <w:p>
      <w:pPr>
        <w:pStyle w:val="ListNumber"/>
        <w:spacing w:after="60"/>
        <w:numPr>
          <w:ilvl w:val="0"/>
          <w:numId w:val="1004"/>
        </w:numPr>
      </w:pPr>
      <w:r>
        <w:rPr/>
        <w:t>Make sure everyone understands this policy and their part in it.</w:t>
      </w:r>
    </w:p>
    <w:p>
      <w:pPr>
        <w:pStyle w:val="ListNumber"/>
        <w:spacing w:after="60"/>
        <w:numPr>
          <w:ilvl w:val="0"/>
          <w:numId w:val="1004"/>
        </w:numPr>
      </w:pPr>
      <w:r>
        <w:rPr/>
        <w:t>Continually improve the suitability, adequacy and effectiveness of the management system.</w:t>
      </w:r>
    </w:p>
    <w:p>
      <w:pPr>
        <w:pStyle w:val="Heading1"/>
      </w:pPr>
      <w:r>
        <w:t>5.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85" w:type="dxa"/>
          <w:bottom w:w="85" w:type="dxa"/>
          <w:left w:w="85" w:type="dxa"/>
          <w:right w:w="85" w:type="dxa"/>
        </w:tblCellMar>
      </w:tblPr>
      <w:tblGrid>
        <w:gridCol w:w="4706"/>
        <w:gridCol w:w="4706"/>
      </w:tblGrid>
      <w:tr>
        <w:trPr>
          <w:tblHeader w:val="true"/>
        </w:trPr>
        <w:tc>
          <w:tcPr>
            <w:tcW w:type="dxa" w:w="3118"/>
            <w:shd w:val="clear" w:color="auto" w:fill="142B4C"/>
          </w:tcPr>
          <w:p>
            <w:r/>
            <w:r>
              <w:rPr>
                <w:b/>
                <w:color w:val="FFFFFF"/>
                <w:sz w:val="19"/>
              </w:rPr>
              <w:t>Who</w:t>
            </w:r>
          </w:p>
        </w:tc>
        <w:tc>
          <w:tcPr>
            <w:tcW w:type="dxa" w:w="6236"/>
            <w:shd w:val="clear" w:color="auto" w:fill="142B4C"/>
          </w:tcPr>
          <w:p>
            <w:r/>
            <w:r>
              <w:rPr>
                <w:b/>
                <w:color w:val="FFFFFF"/>
                <w:sz w:val="19"/>
              </w:rPr>
              <w:t>Responsibility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sz w:val="19"/>
              </w:rPr>
              <w:t>[CEO]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sz w:val="19"/>
              </w:rPr>
              <w:t>Owns this policy; chairs the Trust Council; is accountable for the management system.</w:t>
            </w:r>
          </w:p>
        </w:tc>
      </w:tr>
      <w:tr>
        <w:tc>
          <w:tcPr>
            <w:tcW w:type="dxa" w:w="3118"/>
            <w:shd w:val="clear" w:color="auto" w:fill="F5F7FA"/>
          </w:tcPr>
          <w:p>
            <w:pPr>
              <w:spacing w:after="40"/>
            </w:pPr>
            <w:r/>
            <w:r>
              <w:rPr>
                <w:sz w:val="19"/>
              </w:rPr>
              <w:t>[Security Lead]</w:t>
            </w:r>
          </w:p>
        </w:tc>
        <w:tc>
          <w:tcPr>
            <w:tcW w:type="dxa" w:w="6236"/>
            <w:shd w:val="clear" w:color="auto" w:fill="F5F7FA"/>
          </w:tcPr>
          <w:p>
            <w:pPr>
              <w:spacing w:after="40"/>
            </w:pPr>
            <w:r/>
            <w:r>
              <w:rPr>
                <w:sz w:val="19"/>
              </w:rPr>
              <w:t>Runs the ISMS; maintains the information-security risk register and Annex A controls.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sz w:val="19"/>
              </w:rPr>
              <w:t>[Head of AI]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sz w:val="19"/>
              </w:rPr>
              <w:t>Runs the AIMS; chairs the AI Release Review; owns AI impact assessments.</w:t>
            </w:r>
          </w:p>
        </w:tc>
      </w:tr>
      <w:tr>
        <w:tc>
          <w:tcPr>
            <w:tcW w:type="dxa" w:w="3118"/>
            <w:shd w:val="clear" w:color="auto" w:fill="F5F7FA"/>
          </w:tcPr>
          <w:p>
            <w:pPr>
              <w:spacing w:after="40"/>
            </w:pPr>
            <w:r/>
            <w:r>
              <w:rPr>
                <w:sz w:val="19"/>
              </w:rPr>
              <w:t>[Creative Director]</w:t>
            </w:r>
          </w:p>
        </w:tc>
        <w:tc>
          <w:tcPr>
            <w:tcW w:type="dxa" w:w="6236"/>
            <w:shd w:val="clear" w:color="auto" w:fill="F5F7FA"/>
          </w:tcPr>
          <w:p>
            <w:pPr>
              <w:spacing w:after="40"/>
            </w:pPr>
            <w:r/>
            <w:r>
              <w:rPr>
                <w:sz w:val="19"/>
              </w:rPr>
              <w:t>Represents artists and audiences; signs off content-safety controls.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sz w:val="19"/>
              </w:rPr>
              <w:t>[Privacy and Legal Lead]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sz w:val="19"/>
              </w:rPr>
              <w:t>Advises on privacy and legal requirements; handles data-subject requests.</w:t>
            </w:r>
          </w:p>
        </w:tc>
      </w:tr>
      <w:tr>
        <w:tc>
          <w:tcPr>
            <w:tcW w:type="dxa" w:w="3118"/>
            <w:shd w:val="clear" w:color="auto" w:fill="F5F7FA"/>
          </w:tcPr>
          <w:p>
            <w:pPr>
              <w:spacing w:after="40"/>
            </w:pPr>
            <w:r/>
            <w:r>
              <w:rPr>
                <w:sz w:val="19"/>
              </w:rPr>
              <w:t>All managers</w:t>
            </w:r>
          </w:p>
        </w:tc>
        <w:tc>
          <w:tcPr>
            <w:tcW w:type="dxa" w:w="6236"/>
            <w:shd w:val="clear" w:color="auto" w:fill="F5F7FA"/>
          </w:tcPr>
          <w:p>
            <w:pPr>
              <w:spacing w:after="40"/>
            </w:pPr>
            <w:r/>
            <w:r>
              <w:rPr>
                <w:sz w:val="19"/>
              </w:rPr>
              <w:t>Make sure their teams follow this policy and have time for training.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sz w:val="19"/>
              </w:rPr>
              <w:t>Everyone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sz w:val="19"/>
              </w:rPr>
              <w:t>Follow this policy and the policies under it; report incidents, weaknesses and AI concerns straight away through #trust-report or trust@quillfen.example.</w:t>
            </w:r>
          </w:p>
        </w:tc>
      </w:tr>
    </w:tbl>
    <w:p/>
    <w:p>
      <w:r>
        <w:rPr/>
        <w:t>Full roles and the RACI chart are in IMS-GOV-001 Governance Charter, Roles and Responsibilities.</w:t>
      </w:r>
    </w:p>
    <w:p>
      <w:pPr>
        <w:pStyle w:val="Heading1"/>
      </w:pPr>
      <w:r>
        <w:t>6. Supporting policies</w:t>
      </w:r>
    </w:p>
    <w:p>
      <w:r>
        <w:rPr/>
        <w:t>This policy is supported by the topic-specific policies below. Together they form the policy set required by ISO/IEC 27001 Annex A 5.1 and ISO/IEC 42001 Annex A.2.</w:t>
      </w:r>
    </w:p>
    <w:p>
      <w:pPr>
        <w:pStyle w:val="ListBullet"/>
        <w:spacing w:after="60"/>
      </w:pPr>
      <w:r>
        <w:rPr/>
        <w:t>IMS-POL-002 Secure and Responsible Development Lifecycle Policy (AppSec + AI)</w:t>
      </w:r>
    </w:p>
    <w:p>
      <w:pPr>
        <w:pStyle w:val="ListBullet"/>
        <w:spacing w:after="60"/>
      </w:pPr>
      <w:r>
        <w:rPr/>
        <w:t>IMS-POL-003 Data Governance and Privacy Policy for AI</w:t>
      </w:r>
    </w:p>
    <w:p>
      <w:pPr>
        <w:pStyle w:val="ListBullet"/>
        <w:spacing w:after="60"/>
      </w:pPr>
      <w:r>
        <w:rPr/>
        <w:t>IMS-POL-004 Access Control Policy</w:t>
      </w:r>
    </w:p>
    <w:p>
      <w:pPr>
        <w:pStyle w:val="ListBullet"/>
        <w:spacing w:after="60"/>
      </w:pPr>
      <w:r>
        <w:rPr/>
        <w:t>IMS-POL-005 Acceptable Use Policy (including Generative AI)</w:t>
      </w:r>
    </w:p>
    <w:p>
      <w:pPr>
        <w:pStyle w:val="ListBullet"/>
        <w:spacing w:after="60"/>
      </w:pPr>
      <w:r>
        <w:rPr/>
        <w:t>IMS-POL-006 Supplier and Third-Party AI Policy</w:t>
      </w:r>
    </w:p>
    <w:p>
      <w:pPr>
        <w:pStyle w:val="Heading1"/>
      </w:pPr>
      <w:r>
        <w:t>7. Compliance, exceptions and review</w:t>
      </w:r>
    </w:p>
    <w:p>
      <w:pPr>
        <w:pStyle w:val="ListBullet"/>
        <w:spacing w:after="60"/>
      </w:pPr>
      <w:r>
        <w:rPr/>
        <w:t>Breaches of this policy are handled through the disciplinary process or contract terms, in proportion to their seriousness.</w:t>
      </w:r>
    </w:p>
    <w:p>
      <w:pPr>
        <w:pStyle w:val="ListBullet"/>
        <w:spacing w:after="60"/>
      </w:pPr>
      <w:r>
        <w:rPr/>
        <w:t>Exceptions must be requested in writing, risk-assessed, approved by the Security Lead or the Head of AI, recorded in the risk register and given an expiry date (maximum 12 months).</w:t>
      </w:r>
    </w:p>
    <w:p>
      <w:pPr>
        <w:pStyle w:val="ListBullet"/>
        <w:spacing w:after="60"/>
      </w:pPr>
      <w:r>
        <w:rPr/>
        <w:t>The Trust Council reviews this policy at least once a year, and after major changes in law, technology (for example a new AI model), business or risk.</w:t>
      </w:r>
    </w:p>
    <w:tbl>
      <w:tblPr>
        <w:tblW w:type="auto" w:w="0"/>
        <w:jc w:val="center"/>
        <w:tblLook w:firstColumn="1" w:firstRow="1" w:lastColumn="0" w:lastRow="0" w:noHBand="0" w:noVBand="1" w:val="04A0"/>
        <w:tblCellMar>
          <w:top w:w="141" w:type="dxa"/>
          <w:bottom w:w="141" w:type="dxa"/>
          <w:left w:w="141" w:type="dxa"/>
          <w:right w:w="141" w:type="dxa"/>
        </w:tblCellMar>
      </w:tblPr>
      <w:tblGrid>
        <w:gridCol w:w="9412"/>
      </w:tblGrid>
      <w:tr>
        <w:tc>
          <w:tcPr>
            <w:tcW w:type="dxa" w:w="9412"/>
            <w:shd w:val="clear" w:color="auto" w:fill="E8F1FB"/>
          </w:tcPr>
          <w:p>
            <w:r>
              <w:rPr>
                <w:b/>
                <w:color w:val="142B4C"/>
                <w:sz w:val="20"/>
              </w:rPr>
              <w:t>Starter tip</w:t>
            </w:r>
          </w:p>
          <w:p>
            <w:pPr>
              <w:spacing w:after="60"/>
            </w:pPr>
            <w:r>
              <w:rPr>
                <w:sz w:val="20"/>
              </w:rPr>
              <w:t>Auditors will ask staff 'What does the policy say about you?'. Pick two or three sentences from sections 3 and 5 and use them in onboarding and in the awareness campaign (IMS-REG-004 Competence Matrix, Training Records and Communication Plan).</w:t>
            </w:r>
          </w:p>
        </w:tc>
      </w:tr>
    </w:tbl>
    <w:p/>
    <w:p>
      <w:pPr>
        <w:pStyle w:val="Heading1"/>
      </w:pPr>
      <w:r>
        <w:t>8. Approval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85" w:type="dxa"/>
          <w:bottom w:w="85" w:type="dxa"/>
          <w:left w:w="85" w:type="dxa"/>
          <w:right w:w="85" w:type="dxa"/>
        </w:tblCellMar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551"/>
            <w:shd w:val="clear" w:color="auto" w:fill="142B4C"/>
          </w:tcPr>
          <w:p>
            <w:r/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3118"/>
            <w:shd w:val="clear" w:color="auto" w:fill="142B4C"/>
          </w:tcPr>
          <w:p>
            <w:r/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1984"/>
            <w:shd w:val="clear" w:color="auto" w:fill="142B4C"/>
          </w:tcPr>
          <w:p>
            <w:r/>
            <w:r>
              <w:rPr>
                <w:b/>
                <w:color w:val="FFFFFF"/>
                <w:sz w:val="19"/>
              </w:rPr>
              <w:t>Signature</w:t>
            </w:r>
          </w:p>
        </w:tc>
        <w:tc>
          <w:tcPr>
            <w:tcW w:type="dxa" w:w="1701"/>
            <w:shd w:val="clear" w:color="auto" w:fill="142B4C"/>
          </w:tcPr>
          <w:p>
            <w:r/>
            <w:r>
              <w:rPr>
                <w:b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sz w:val="19"/>
              </w:rPr>
              <w:t>[CEO]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sz w:val="19"/>
              </w:rPr>
              <w:t>CEO, for the Trust Council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sz w:val="19"/>
                <w:highlight w:val="yellow"/>
              </w:rPr>
              <w:t>[signature]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19"/>
                <w:highlight w:val="yellow"/>
              </w:rPr>
              <w:t>[date]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95959"/>
        <w:sz w:val="16"/>
      </w:rPr>
      <w:t xml:space="preserve">IMS-POL-001 · v2.0 · Classification: Internal · Uncontrolled when printed · Page </w:t>
    </w:r>
    <w:r>
      <w:rPr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color w:val="595959"/>
        <w:sz w:val="16"/>
      </w:rPr>
      <w:t xml:space="preserve"> of </w:t>
    </w:r>
    <w:r>
      <w:rPr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7"/>
      </w:rPr>
      <w:t>Quillfen Studio  ·  TWYNTRUST Integrated Management System</w:t>
    </w:r>
    <w:r>
      <w:tab/>
      <w:tab/>
    </w:r>
    <w:r>
      <w:rPr>
        <w:b/>
        <w:color w:val="595959"/>
        <w:sz w:val="17"/>
      </w:rPr>
      <w:t>IMS-POL-001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4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="Calibri" w:hAnsi="Calibri"/>
      <w:b/>
      <w:bCs/>
      <w:color w:val="142B4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Calibri" w:hAnsi="Calibri"/>
      <w:b/>
      <w:bCs/>
      <w:color w:val="0F76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="Calibri" w:hAnsi="Calibri"/>
      <w:b/>
      <w:bCs/>
      <w:color w:val="142B4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="Calibri" w:hAnsi="Calibri"/>
      <w:b/>
      <w:color w:val="142B4C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Information Security and Responsible AI Policy</dc:title>
  <dc:subject>TWYNTRUST Framework — one integrated management system for ISO/IEC 27001:2022 and ISO/IEC 42001:2023</dc:subject>
  <dc:creator>Prof. Dr. Mohamed Fawzi Elgendi (Fawzooz)</dc:creator>
  <cp:keywords/>
  <dc:description>generated by python-docx</dc:description>
  <cp:lastModifiedBy>Prof. Dr. Mohamed Fawzi Elgendi (Fawzooz)</cp:lastModifiedBy>
  <cp:revision>1</cp:revision>
  <dcterms:created xsi:type="dcterms:W3CDTF">2013-12-23T23:15:00Z</dcterms:created>
  <dcterms:modified xsi:type="dcterms:W3CDTF">2013-12-23T23:15:00Z</dcterms:modified>
  <cp:category/>
</cp:coreProperties>
</file>