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F766E"/>
          <w:sz w:val="20"/>
        </w:rPr>
        <w:t>TWYNTRUST FRAMEWORK  ·  QUILLFEN STUDIO</w:t>
      </w:r>
    </w:p>
    <w:p>
      <w:pPr>
        <w:pStyle w:val="Title"/>
      </w:pPr>
      <w:r>
        <w:t>AI System Impact Assessment Procedure and Worked Example</w:t>
      </w:r>
    </w:p>
    <w:p>
      <w:r>
        <w:rPr>
          <w:color w:val="595959"/>
          <w:sz w:val="23"/>
        </w:rPr>
        <w:t>How Quillfen Studio assesses the effects of its AI systems on individuals, groups and society before release and when they change — with a full worked assessment for StoryFrame, a short one for ArtistMatch, and a blank template.</w:t>
      </w:r>
    </w:p>
    <w:tbl>
      <w:tblPr>
        <w:tblStyle w:val="TableGrid"/>
        <w:tblW w:type="auto" w:w="0"/>
        <w:tblLook w:firstColumn="1" w:firstRow="1" w:lastColumn="0" w:lastRow="0" w:noHBand="0" w:noVBand="1" w:val="04A0"/>
        <w:tblCellMar>
          <w:top w:w="85" w:type="dxa"/>
          <w:bottom w:w="85" w:type="dxa"/>
          <w:left w:w="85" w:type="dxa"/>
          <w:right w:w="85" w:type="dxa"/>
        </w:tblCellMar>
      </w:tblPr>
      <w:tblGrid>
        <w:gridCol w:w="4706"/>
        <w:gridCol w:w="4706"/>
      </w:tblGrid>
      <w:tr>
        <w:tc>
          <w:tcPr>
            <w:tcW w:type="dxa" w:w="2835"/>
            <w:shd w:val="clear" w:color="auto" w:fill="EEF2F7"/>
          </w:tcPr>
          <w:p>
            <w:r/>
            <w:r>
              <w:rPr>
                <w:b/>
                <w:sz w:val="19"/>
              </w:rPr>
              <w:t>Document ID</w:t>
            </w:r>
          </w:p>
        </w:tc>
        <w:tc>
          <w:tcPr>
            <w:tcW w:type="dxa" w:w="6520"/>
          </w:tcPr>
          <w:p>
            <w:r/>
            <w:r>
              <w:rPr>
                <w:sz w:val="19"/>
              </w:rPr>
              <w:t>IMS-PRO-002</w:t>
            </w:r>
          </w:p>
        </w:tc>
      </w:tr>
      <w:tr>
        <w:tc>
          <w:tcPr>
            <w:tcW w:type="dxa" w:w="2835"/>
            <w:shd w:val="clear" w:color="auto" w:fill="EEF2F7"/>
          </w:tcPr>
          <w:p>
            <w:r/>
            <w:r>
              <w:rPr>
                <w:b/>
                <w:sz w:val="19"/>
              </w:rPr>
              <w:t>Version</w:t>
            </w:r>
          </w:p>
        </w:tc>
        <w:tc>
          <w:tcPr>
            <w:tcW w:type="dxa" w:w="6520"/>
          </w:tcPr>
          <w:p>
            <w:r/>
            <w:r>
              <w:rPr>
                <w:sz w:val="19"/>
              </w:rPr>
              <w:t>2.0</w:t>
            </w:r>
          </w:p>
        </w:tc>
      </w:tr>
      <w:tr>
        <w:tc>
          <w:tcPr>
            <w:tcW w:type="dxa" w:w="2835"/>
            <w:shd w:val="clear" w:color="auto" w:fill="EEF2F7"/>
          </w:tcPr>
          <w:p>
            <w:r/>
            <w:r>
              <w:rPr>
                <w:b/>
                <w:sz w:val="19"/>
              </w:rPr>
              <w:t>Prepared by</w:t>
            </w:r>
          </w:p>
        </w:tc>
        <w:tc>
          <w:tcPr>
            <w:tcW w:type="dxa" w:w="6520"/>
          </w:tcPr>
          <w:p>
            <w:r/>
            <w:r>
              <w:rPr>
                <w:sz w:val="19"/>
              </w:rPr>
              <w:t>Prof. Dr. Mohamed Fawzi Elgendi (Fawzooz), Fawzooz.ai</w:t>
            </w:r>
          </w:p>
        </w:tc>
      </w:tr>
      <w:tr>
        <w:tc>
          <w:tcPr>
            <w:tcW w:type="dxa" w:w="2835"/>
            <w:shd w:val="clear" w:color="auto" w:fill="EEF2F7"/>
          </w:tcPr>
          <w:p>
            <w:r/>
            <w:r>
              <w:rPr>
                <w:b/>
                <w:sz w:val="19"/>
              </w:rPr>
              <w:t>License</w:t>
            </w:r>
          </w:p>
        </w:tc>
        <w:tc>
          <w:tcPr>
            <w:tcW w:type="dxa" w:w="6520"/>
          </w:tcPr>
          <w:p>
            <w:r/>
            <w:r>
              <w:rPr>
                <w:sz w:val="19"/>
              </w:rPr>
              <w:t>CC BY 4.0 — free to share and adapt, including commercially, with credit to Prof. Dr. Mohamed Fawzi Elgendi (Fawzooz), Fawzooz.ai · creativecommons.org/licenses/by/4.0</w:t>
            </w:r>
          </w:p>
        </w:tc>
      </w:tr>
      <w:tr>
        <w:tc>
          <w:tcPr>
            <w:tcW w:type="dxa" w:w="2835"/>
            <w:shd w:val="clear" w:color="auto" w:fill="EEF2F7"/>
          </w:tcPr>
          <w:p>
            <w:r/>
            <w:r>
              <w:rPr>
                <w:b/>
                <w:sz w:val="19"/>
              </w:rPr>
              <w:t>Status</w:t>
            </w:r>
          </w:p>
        </w:tc>
        <w:tc>
          <w:tcPr>
            <w:tcW w:type="dxa" w:w="6520"/>
          </w:tcPr>
          <w:p>
            <w:r/>
            <w:r>
              <w:rPr>
                <w:sz w:val="19"/>
              </w:rPr>
              <w:t>Approved — SAMPLE for adaptation</w:t>
            </w:r>
          </w:p>
        </w:tc>
      </w:tr>
      <w:tr>
        <w:tc>
          <w:tcPr>
            <w:tcW w:type="dxa" w:w="2835"/>
            <w:shd w:val="clear" w:color="auto" w:fill="EEF2F7"/>
          </w:tcPr>
          <w:p>
            <w:r/>
            <w:r>
              <w:rPr>
                <w:b/>
                <w:sz w:val="19"/>
              </w:rPr>
              <w:t>Classification</w:t>
            </w:r>
          </w:p>
        </w:tc>
        <w:tc>
          <w:tcPr>
            <w:tcW w:type="dxa" w:w="6520"/>
          </w:tcPr>
          <w:p>
            <w:r/>
            <w:r>
              <w:rPr>
                <w:sz w:val="19"/>
              </w:rPr>
              <w:t>Internal</w:t>
            </w:r>
          </w:p>
        </w:tc>
      </w:tr>
      <w:tr>
        <w:tc>
          <w:tcPr>
            <w:tcW w:type="dxa" w:w="2835"/>
            <w:shd w:val="clear" w:color="auto" w:fill="EEF2F7"/>
          </w:tcPr>
          <w:p>
            <w:r/>
            <w:r>
              <w:rPr>
                <w:b/>
                <w:sz w:val="19"/>
              </w:rPr>
              <w:t>Document owner</w:t>
            </w:r>
          </w:p>
        </w:tc>
        <w:tc>
          <w:tcPr>
            <w:tcW w:type="dxa" w:w="6520"/>
          </w:tcPr>
          <w:p>
            <w:r/>
            <w:r>
              <w:rPr>
                <w:sz w:val="19"/>
              </w:rPr>
              <w:t>[Head of AI]</w:t>
            </w:r>
          </w:p>
        </w:tc>
      </w:tr>
      <w:tr>
        <w:tc>
          <w:tcPr>
            <w:tcW w:type="dxa" w:w="2835"/>
            <w:shd w:val="clear" w:color="auto" w:fill="EEF2F7"/>
          </w:tcPr>
          <w:p>
            <w:r/>
            <w:r>
              <w:rPr>
                <w:b/>
                <w:sz w:val="19"/>
              </w:rPr>
              <w:t>Approved by</w:t>
            </w:r>
          </w:p>
        </w:tc>
        <w:tc>
          <w:tcPr>
            <w:tcW w:type="dxa" w:w="6520"/>
          </w:tcPr>
          <w:p>
            <w:r/>
            <w:r>
              <w:rPr>
                <w:sz w:val="19"/>
              </w:rPr>
              <w:t>[CEO], on behalf of the Trust Council</w:t>
            </w:r>
          </w:p>
        </w:tc>
      </w:tr>
      <w:tr>
        <w:tc>
          <w:tcPr>
            <w:tcW w:type="dxa" w:w="2835"/>
            <w:shd w:val="clear" w:color="auto" w:fill="EEF2F7"/>
          </w:tcPr>
          <w:p>
            <w:r/>
            <w:r>
              <w:rPr>
                <w:b/>
                <w:sz w:val="19"/>
              </w:rPr>
              <w:t>Effective date</w:t>
            </w:r>
          </w:p>
        </w:tc>
        <w:tc>
          <w:tcPr>
            <w:tcW w:type="dxa" w:w="6520"/>
          </w:tcPr>
          <w:p>
            <w:r/>
            <w:r>
              <w:rPr>
                <w:sz w:val="19"/>
              </w:rPr>
              <w:t>2026-11-01</w:t>
            </w:r>
          </w:p>
        </w:tc>
      </w:tr>
      <w:tr>
        <w:tc>
          <w:tcPr>
            <w:tcW w:type="dxa" w:w="2835"/>
            <w:shd w:val="clear" w:color="auto" w:fill="EEF2F7"/>
          </w:tcPr>
          <w:p>
            <w:r/>
            <w:r>
              <w:rPr>
                <w:b/>
                <w:sz w:val="19"/>
              </w:rPr>
              <w:t>Next review</w:t>
            </w:r>
          </w:p>
        </w:tc>
        <w:tc>
          <w:tcPr>
            <w:tcW w:type="dxa" w:w="6520"/>
          </w:tcPr>
          <w:p>
            <w:r/>
            <w:r>
              <w:rPr>
                <w:sz w:val="19"/>
              </w:rPr>
              <w:t>2027-11-01 or after a significant change</w:t>
            </w:r>
          </w:p>
        </w:tc>
      </w:tr>
      <w:tr>
        <w:tc>
          <w:tcPr>
            <w:tcW w:type="dxa" w:w="2835"/>
            <w:shd w:val="clear" w:color="auto" w:fill="EEF2F7"/>
          </w:tcPr>
          <w:p>
            <w:r/>
            <w:r>
              <w:rPr>
                <w:b/>
                <w:sz w:val="19"/>
              </w:rPr>
              <w:t>TWYNTRUST strand / kit folder</w:t>
            </w:r>
          </w:p>
        </w:tc>
        <w:tc>
          <w:tcPr>
            <w:tcW w:type="dxa" w:w="6520"/>
          </w:tcPr>
          <w:p>
            <w:r/>
            <w:r>
              <w:rPr>
                <w:sz w:val="19"/>
              </w:rPr>
              <w:t>02 Gauge - Risk and Planning</w:t>
            </w:r>
          </w:p>
        </w:tc>
      </w:tr>
      <w:tr>
        <w:tc>
          <w:tcPr>
            <w:tcW w:type="dxa" w:w="2835"/>
            <w:shd w:val="clear" w:color="auto" w:fill="EEF2F7"/>
          </w:tcPr>
          <w:p>
            <w:r/>
            <w:r>
              <w:rPr>
                <w:b/>
                <w:sz w:val="19"/>
              </w:rPr>
              <w:t>ISO/IEC 27001:2022</w:t>
            </w:r>
          </w:p>
        </w:tc>
        <w:tc>
          <w:tcPr>
            <w:tcW w:type="dxa" w:w="6520"/>
          </w:tcPr>
          <w:p>
            <w:r/>
            <w:r>
              <w:rPr>
                <w:sz w:val="19"/>
              </w:rPr>
              <w:t>Supports 6.1.2 (risk identification) and Annex A 5.34 (privacy and protection of PII)</w:t>
            </w:r>
          </w:p>
        </w:tc>
      </w:tr>
      <w:tr>
        <w:tc>
          <w:tcPr>
            <w:tcW w:type="dxa" w:w="2835"/>
            <w:shd w:val="clear" w:color="auto" w:fill="EEF2F7"/>
          </w:tcPr>
          <w:p>
            <w:r/>
            <w:r>
              <w:rPr>
                <w:b/>
                <w:sz w:val="19"/>
              </w:rPr>
              <w:t>ISO/IEC 42001:2023</w:t>
            </w:r>
          </w:p>
        </w:tc>
        <w:tc>
          <w:tcPr>
            <w:tcW w:type="dxa" w:w="6520"/>
          </w:tcPr>
          <w:p>
            <w:r/>
            <w:r>
              <w:rPr>
                <w:sz w:val="19"/>
              </w:rPr>
              <w:t>6.1.4, 8.4; Annex A.5.2–A.5.5; feeds 6.1.2 and the A.6.2.5 deployment decision</w:t>
            </w:r>
          </w:p>
        </w:tc>
      </w:tr>
    </w:tbl>
    <w:p/>
    <w:p>
      <w:pPr>
        <w:pStyle w:val="Heading3"/>
      </w:pPr>
      <w:r>
        <w:t>Revision history</w:t>
      </w:r>
    </w:p>
    <w:tbl>
      <w:tblPr>
        <w:tblStyle w:val="TableGrid"/>
        <w:tblW w:type="auto" w:w="0"/>
        <w:jc w:val="center"/>
        <w:tblLook w:firstColumn="1" w:firstRow="1" w:lastColumn="0" w:lastRow="0" w:noHBand="0" w:noVBand="1" w:val="04A0"/>
        <w:tblCellMar>
          <w:top w:w="85" w:type="dxa"/>
          <w:bottom w:w="85" w:type="dxa"/>
          <w:left w:w="85" w:type="dxa"/>
          <w:right w:w="85" w:type="dxa"/>
        </w:tblCellMar>
      </w:tblPr>
      <w:tblGrid>
        <w:gridCol w:w="2353"/>
        <w:gridCol w:w="2353"/>
        <w:gridCol w:w="2353"/>
        <w:gridCol w:w="2353"/>
      </w:tblGrid>
      <w:tr>
        <w:trPr>
          <w:tblHeader w:val="true"/>
        </w:trPr>
        <w:tc>
          <w:tcPr>
            <w:tcW w:type="dxa" w:w="1134"/>
            <w:shd w:val="clear" w:color="auto" w:fill="142B4C"/>
          </w:tcPr>
          <w:p>
            <w:r/>
            <w:r>
              <w:rPr>
                <w:b/>
                <w:color w:val="FFFFFF"/>
                <w:sz w:val="19"/>
              </w:rPr>
              <w:t>Version</w:t>
            </w:r>
          </w:p>
        </w:tc>
        <w:tc>
          <w:tcPr>
            <w:tcW w:type="dxa" w:w="1417"/>
            <w:shd w:val="clear" w:color="auto" w:fill="142B4C"/>
          </w:tcPr>
          <w:p>
            <w:r/>
            <w:r>
              <w:rPr>
                <w:b/>
                <w:color w:val="FFFFFF"/>
                <w:sz w:val="19"/>
              </w:rPr>
              <w:t>Date</w:t>
            </w:r>
          </w:p>
        </w:tc>
        <w:tc>
          <w:tcPr>
            <w:tcW w:type="dxa" w:w="1984"/>
            <w:shd w:val="clear" w:color="auto" w:fill="142B4C"/>
          </w:tcPr>
          <w:p>
            <w:r/>
            <w:r>
              <w:rPr>
                <w:b/>
                <w:color w:val="FFFFFF"/>
                <w:sz w:val="19"/>
              </w:rPr>
              <w:t>Author</w:t>
            </w:r>
          </w:p>
        </w:tc>
        <w:tc>
          <w:tcPr>
            <w:tcW w:type="dxa" w:w="4819"/>
            <w:shd w:val="clear" w:color="auto" w:fill="142B4C"/>
          </w:tcPr>
          <w:p>
            <w:r/>
            <w:r>
              <w:rPr>
                <w:b/>
                <w:color w:val="FFFFFF"/>
                <w:sz w:val="19"/>
              </w:rPr>
              <w:t>Change</w:t>
            </w:r>
          </w:p>
        </w:tc>
      </w:tr>
      <w:tr>
        <w:tc>
          <w:tcPr>
            <w:tcW w:type="dxa" w:w="1134"/>
          </w:tcPr>
          <w:p>
            <w:pPr>
              <w:spacing w:after="40"/>
            </w:pPr>
            <w:r/>
            <w:r>
              <w:rPr>
                <w:sz w:val="19"/>
              </w:rPr>
              <w:t>1.0</w:t>
            </w:r>
          </w:p>
        </w:tc>
        <w:tc>
          <w:tcPr>
            <w:tcW w:type="dxa" w:w="1417"/>
          </w:tcPr>
          <w:p>
            <w:pPr>
              <w:spacing w:after="40"/>
            </w:pPr>
            <w:r/>
            <w:r>
              <w:rPr>
                <w:sz w:val="19"/>
              </w:rPr>
              <w:t>2025-05-19</w:t>
            </w:r>
          </w:p>
        </w:tc>
        <w:tc>
          <w:tcPr>
            <w:tcW w:type="dxa" w:w="1984"/>
          </w:tcPr>
          <w:p>
            <w:pPr>
              <w:spacing w:after="40"/>
            </w:pPr>
            <w:r/>
            <w:r>
              <w:rPr>
                <w:sz w:val="19"/>
              </w:rPr>
              <w:t>Prof. Dr. Mohamed Fawzi Elgendi (Fawzooz)</w:t>
            </w:r>
          </w:p>
        </w:tc>
        <w:tc>
          <w:tcPr>
            <w:tcW w:type="dxa" w:w="4819"/>
          </w:tcPr>
          <w:p>
            <w:pPr>
              <w:spacing w:after="40"/>
            </w:pPr>
            <w:r/>
            <w:r>
              <w:rPr>
                <w:sz w:val="19"/>
              </w:rPr>
              <w:t>First release under the earlier TRACE framework (AIMS only).</w:t>
            </w:r>
          </w:p>
        </w:tc>
      </w:tr>
      <w:tr>
        <w:tc>
          <w:tcPr>
            <w:tcW w:type="dxa" w:w="1134"/>
            <w:shd w:val="clear" w:color="auto" w:fill="F5F7FA"/>
          </w:tcPr>
          <w:p>
            <w:pPr>
              <w:spacing w:after="40"/>
            </w:pPr>
            <w:r/>
            <w:r>
              <w:rPr>
                <w:sz w:val="19"/>
              </w:rPr>
              <w:t>2.0</w:t>
            </w:r>
          </w:p>
        </w:tc>
        <w:tc>
          <w:tcPr>
            <w:tcW w:type="dxa" w:w="1417"/>
            <w:shd w:val="clear" w:color="auto" w:fill="F5F7FA"/>
          </w:tcPr>
          <w:p>
            <w:pPr>
              <w:spacing w:after="40"/>
            </w:pPr>
            <w:r/>
            <w:r>
              <w:rPr>
                <w:sz w:val="19"/>
              </w:rPr>
              <w:t>2026-11-01</w:t>
            </w:r>
          </w:p>
        </w:tc>
        <w:tc>
          <w:tcPr>
            <w:tcW w:type="dxa" w:w="1984"/>
            <w:shd w:val="clear" w:color="auto" w:fill="F5F7FA"/>
          </w:tcPr>
          <w:p>
            <w:pPr>
              <w:spacing w:after="40"/>
            </w:pPr>
            <w:r/>
            <w:r>
              <w:rPr>
                <w:sz w:val="19"/>
              </w:rPr>
              <w:t>Prof. Dr. Mohamed Fawzi Elgendi (Fawzooz)</w:t>
            </w:r>
          </w:p>
        </w:tc>
        <w:tc>
          <w:tcPr>
            <w:tcW w:type="dxa" w:w="4819"/>
            <w:shd w:val="clear" w:color="auto" w:fill="F5F7FA"/>
          </w:tcPr>
          <w:p>
            <w:pPr>
              <w:spacing w:after="40"/>
            </w:pPr>
            <w:r/>
            <w:r>
              <w:rPr>
                <w:sz w:val="19"/>
              </w:rPr>
              <w:t>Rebuilt as an integrated ISMS + AIMS document under the TWYNTRUST framework.</w:t>
            </w:r>
          </w:p>
        </w:tc>
      </w:tr>
    </w:tbl>
    <w:p/>
    <w:tbl>
      <w:tblPr>
        <w:tblW w:type="auto" w:w="0"/>
        <w:jc w:val="center"/>
        <w:tblLook w:firstColumn="1" w:firstRow="1" w:lastColumn="0" w:lastRow="0" w:noHBand="0" w:noVBand="1" w:val="04A0"/>
        <w:tblCellMar>
          <w:top w:w="141" w:type="dxa"/>
          <w:bottom w:w="141" w:type="dxa"/>
          <w:left w:w="141" w:type="dxa"/>
          <w:right w:w="141" w:type="dxa"/>
        </w:tblCellMar>
      </w:tblPr>
      <w:tblGrid>
        <w:gridCol w:w="9412"/>
      </w:tblGrid>
      <w:tr>
        <w:tc>
          <w:tcPr>
            <w:tcW w:type="dxa" w:w="9412"/>
            <w:shd w:val="clear" w:color="auto" w:fill="E8F1FB"/>
          </w:tcPr>
          <w:p>
            <w:r>
              <w:rPr>
                <w:b/>
                <w:color w:val="142B4C"/>
                <w:sz w:val="20"/>
              </w:rPr>
              <w:t>Starter tip — How to use this document</w:t>
            </w:r>
          </w:p>
          <w:p>
            <w:pPr>
              <w:spacing w:after="60"/>
            </w:pPr>
            <w:r>
              <w:rPr>
                <w:sz w:val="20"/>
              </w:rPr>
              <w:t xml:space="preserve">•  This is a </w:t>
            </w:r>
            <w:r>
              <w:rPr>
                <w:b/>
                <w:sz w:val="20"/>
              </w:rPr>
              <w:t>sample</w:t>
            </w:r>
            <w:r>
              <w:rPr>
                <w:sz w:val="20"/>
              </w:rPr>
              <w:t>. Text is written for the example company Quillfen Studio. Replace names, systems and numbers with your own before approval.</w:t>
            </w:r>
          </w:p>
          <w:p>
            <w:pPr>
              <w:spacing w:after="60"/>
            </w:pPr>
            <w:r>
              <w:rPr>
                <w:sz w:val="20"/>
              </w:rPr>
              <w:t xml:space="preserve">•  Yellow </w:t>
            </w:r>
            <w:r>
              <w:rPr>
                <w:sz w:val="20"/>
                <w:highlight w:val="yellow"/>
              </w:rPr>
              <w:t>[highlighted brackets]</w:t>
            </w:r>
            <w:r>
              <w:rPr>
                <w:sz w:val="20"/>
              </w:rPr>
              <w:t xml:space="preserve"> mark values you must fill in or confirm.</w:t>
            </w:r>
          </w:p>
          <w:p>
            <w:pPr>
              <w:spacing w:after="60"/>
            </w:pPr>
            <w:r>
              <w:rPr>
                <w:sz w:val="20"/>
              </w:rPr>
              <w:t>•  Green 'Worked example' boxes show what a good answer looks like. Blue boxes like this one are guidance for you — delete them in your final version.</w:t>
            </w:r>
          </w:p>
          <w:p>
            <w:pPr>
              <w:spacing w:after="60"/>
            </w:pPr>
            <w:r>
              <w:rPr>
                <w:sz w:val="20"/>
              </w:rPr>
              <w:t>•  An impact assessment is not a risk assessment with a new name. Risk asks 'what could hurt us and our objectives?'; impact asks 'what could this system do to people, good and bad?'. Do the impact assessment first and feed its results into the risk register.</w:t>
            </w:r>
          </w:p>
          <w:p>
            <w:pPr>
              <w:spacing w:after="60"/>
            </w:pPr>
            <w:r>
              <w:rPr>
                <w:sz w:val="20"/>
              </w:rPr>
              <w:t>•  If you already do data protection impact assessments (DPIAs), run them together with this one and cross-reference — do not ask the team the same questions twice.</w:t>
            </w:r>
          </w:p>
        </w:tc>
      </w:tr>
    </w:tbl>
    <w:p/>
    <w:p>
      <w:r>
        <w:br w:type="page"/>
      </w:r>
    </w:p>
    <w:p>
      <w:pPr>
        <w:pStyle w:val="Heading1"/>
      </w:pPr>
      <w:r>
        <w:t>1. Purpose</w:t>
      </w:r>
    </w:p>
    <w:p>
      <w:r>
        <w:rPr/>
        <w:t>Our AI systems touch people far beyond our customers. A storyboard generated by StoryFrame may depict a real person or borrow from an artist's work; a ranking from ArtistMatch decides which artists get paid work. This procedure makes sure that, before we release or significantly change an AI system, we have thought carefully about who could be affected, how, and what we will do about it — and that we have written it down.</w:t>
      </w:r>
    </w:p>
    <w:p>
      <w:r>
        <w:rPr/>
        <w:t xml:space="preserve">The output is an </w:t>
      </w:r>
      <w:r>
        <w:rPr>
          <w:b/>
        </w:rPr>
        <w:t>AI system impact assessment (AIIA)</w:t>
      </w:r>
      <w:r>
        <w:rPr/>
        <w:t xml:space="preserve"> record. It feeds the risk register (IMS-REG-002 Integrated Risk Register and Treatment Plan) and is a mandatory input to the AI Release Review go / no-go decision.</w:t>
      </w:r>
    </w:p>
    <w:tbl>
      <w:tblPr>
        <w:tblW w:type="auto" w:w="0"/>
        <w:jc w:val="center"/>
        <w:tblLook w:firstColumn="1" w:firstRow="1" w:lastColumn="0" w:lastRow="0" w:noHBand="0" w:noVBand="1" w:val="04A0"/>
        <w:tblCellMar>
          <w:top w:w="141" w:type="dxa"/>
          <w:bottom w:w="141" w:type="dxa"/>
          <w:left w:w="141" w:type="dxa"/>
          <w:right w:w="141" w:type="dxa"/>
        </w:tblCellMar>
      </w:tblPr>
      <w:tblGrid>
        <w:gridCol w:w="9412"/>
      </w:tblGrid>
      <w:tr>
        <w:tc>
          <w:tcPr>
            <w:tcW w:type="dxa" w:w="9412"/>
            <w:shd w:val="clear" w:color="auto" w:fill="FFF6E0"/>
          </w:tcPr>
          <w:p>
            <w:r>
              <w:rPr>
                <w:b/>
                <w:color w:val="142B4C"/>
                <w:sz w:val="20"/>
              </w:rPr>
              <w:t>What the standards expect</w:t>
            </w:r>
          </w:p>
          <w:p>
            <w:pPr>
              <w:spacing w:after="60"/>
            </w:pPr>
            <w:r>
              <w:rPr>
                <w:sz w:val="20"/>
              </w:rPr>
              <w:t>•  ISO/IEC 42001 asks you to define a process for assessing the potential consequences of an AI system for individuals, groups of individuals and societies, considering its intended use, foreseeable misuse and the technical and social context it runs in (6.1.4).</w:t>
            </w:r>
          </w:p>
          <w:p>
            <w:pPr>
              <w:spacing w:after="60"/>
            </w:pPr>
            <w:r>
              <w:rPr>
                <w:sz w:val="20"/>
              </w:rPr>
              <w:t>•  The assessment must be done at planned intervals and when significant changes are proposed, and its results kept as documented information (8.4; Annex A.5.2 and A.5.3).</w:t>
            </w:r>
          </w:p>
          <w:p>
            <w:pPr>
              <w:spacing w:after="60"/>
            </w:pPr>
            <w:r>
              <w:rPr>
                <w:sz w:val="20"/>
              </w:rPr>
              <w:t>•  Annex A.5.4 and A.5.5 ask you to look specifically at impacts on individuals and groups (for example fairness, privacy, safety) and on society (for example the information environment, employment, the environment).</w:t>
            </w:r>
          </w:p>
          <w:p>
            <w:pPr>
              <w:spacing w:after="60"/>
            </w:pPr>
            <w:r>
              <w:rPr>
                <w:sz w:val="20"/>
              </w:rPr>
              <w:t>•  The results must be considered in the AI risk assessment (6.1.2). ISO/IEC 42005 gives detailed guidance on how to run such assessments; this procedure follows its general approach in our own words.</w:t>
            </w:r>
          </w:p>
        </w:tc>
      </w:tr>
    </w:tbl>
    <w:p/>
    <w:p>
      <w:pPr>
        <w:pStyle w:val="Heading1"/>
      </w:pPr>
      <w:r>
        <w:t>2. Scope</w:t>
      </w:r>
    </w:p>
    <w:p>
      <w:r>
        <w:rPr/>
        <w:t>All AI systems in the inventory (IMS-REG-005 Asset and AI System Inventory) for which Quillfen Studio is a provider or producer. For systems we only use (for example a vendor moderation service or a coding assistant), a short-form AIIA is enough unless the system makes or shapes decisions about people.</w:t>
      </w:r>
    </w:p>
    <w:p>
      <w:pPr>
        <w:pStyle w:val="Heading1"/>
      </w:pPr>
      <w:r>
        <w:t>3. When an AIIA is required</w:t>
      </w:r>
    </w:p>
    <w:tbl>
      <w:tblPr>
        <w:tblStyle w:val="TableGrid"/>
        <w:tblW w:type="auto" w:w="0"/>
        <w:jc w:val="center"/>
        <w:tblLook w:firstColumn="1" w:firstRow="1" w:lastColumn="0" w:lastRow="0" w:noHBand="0" w:noVBand="1" w:val="04A0"/>
        <w:tblCellMar>
          <w:top w:w="85" w:type="dxa"/>
          <w:bottom w:w="85" w:type="dxa"/>
          <w:left w:w="85" w:type="dxa"/>
          <w:right w:w="85" w:type="dxa"/>
        </w:tblCellMar>
      </w:tblPr>
      <w:tblGrid>
        <w:gridCol w:w="3137"/>
        <w:gridCol w:w="3137"/>
        <w:gridCol w:w="3137"/>
      </w:tblGrid>
      <w:tr>
        <w:trPr>
          <w:tblHeader w:val="true"/>
        </w:trPr>
        <w:tc>
          <w:tcPr>
            <w:tcW w:type="dxa" w:w="4252"/>
            <w:shd w:val="clear" w:color="auto" w:fill="142B4C"/>
          </w:tcPr>
          <w:p>
            <w:r/>
            <w:r>
              <w:rPr>
                <w:b/>
                <w:color w:val="FFFFFF"/>
                <w:sz w:val="19"/>
              </w:rPr>
              <w:t>Trigger</w:t>
            </w:r>
          </w:p>
        </w:tc>
        <w:tc>
          <w:tcPr>
            <w:tcW w:type="dxa" w:w="2551"/>
            <w:shd w:val="clear" w:color="auto" w:fill="142B4C"/>
          </w:tcPr>
          <w:p>
            <w:r/>
            <w:r>
              <w:rPr>
                <w:b/>
                <w:color w:val="FFFFFF"/>
                <w:sz w:val="19"/>
              </w:rPr>
              <w:t>Type of AIIA</w:t>
            </w:r>
          </w:p>
        </w:tc>
        <w:tc>
          <w:tcPr>
            <w:tcW w:type="dxa" w:w="2551"/>
            <w:shd w:val="clear" w:color="auto" w:fill="142B4C"/>
          </w:tcPr>
          <w:p>
            <w:r/>
            <w:r>
              <w:rPr>
                <w:b/>
                <w:color w:val="FFFFFF"/>
                <w:sz w:val="19"/>
              </w:rPr>
              <w:t>Deadline</w:t>
            </w:r>
          </w:p>
        </w:tc>
      </w:tr>
      <w:tr>
        <w:tc>
          <w:tcPr>
            <w:tcW w:type="dxa" w:w="4252"/>
          </w:tcPr>
          <w:p>
            <w:pPr>
              <w:spacing w:after="40"/>
            </w:pPr>
            <w:r/>
            <w:r>
              <w:rPr>
                <w:sz w:val="19"/>
              </w:rPr>
              <w:t>New AI system, or an existing feature that starts using AI</w:t>
            </w:r>
          </w:p>
        </w:tc>
        <w:tc>
          <w:tcPr>
            <w:tcW w:type="dxa" w:w="2551"/>
          </w:tcPr>
          <w:p>
            <w:pPr>
              <w:spacing w:after="40"/>
            </w:pPr>
            <w:r/>
            <w:r>
              <w:rPr>
                <w:sz w:val="19"/>
              </w:rPr>
              <w:t>Full</w:t>
            </w:r>
          </w:p>
        </w:tc>
        <w:tc>
          <w:tcPr>
            <w:tcW w:type="dxa" w:w="2551"/>
          </w:tcPr>
          <w:p>
            <w:pPr>
              <w:spacing w:after="40"/>
            </w:pPr>
            <w:r/>
            <w:r>
              <w:rPr>
                <w:sz w:val="19"/>
              </w:rPr>
              <w:t>Before the AI Release Review</w:t>
            </w:r>
          </w:p>
        </w:tc>
      </w:tr>
      <w:tr>
        <w:tc>
          <w:tcPr>
            <w:tcW w:type="dxa" w:w="4252"/>
            <w:shd w:val="clear" w:color="auto" w:fill="F5F7FA"/>
          </w:tcPr>
          <w:p>
            <w:pPr>
              <w:spacing w:after="40"/>
            </w:pPr>
            <w:r/>
            <w:r>
              <w:rPr>
                <w:sz w:val="19"/>
              </w:rPr>
              <w:t>Significant change: new model or model version, new fine-tuning data, new intended use, new user group, new market or language, removal of a human check</w:t>
            </w:r>
          </w:p>
        </w:tc>
        <w:tc>
          <w:tcPr>
            <w:tcW w:type="dxa" w:w="2551"/>
            <w:shd w:val="clear" w:color="auto" w:fill="F5F7FA"/>
          </w:tcPr>
          <w:p>
            <w:pPr>
              <w:spacing w:after="40"/>
            </w:pPr>
            <w:r/>
            <w:r>
              <w:rPr>
                <w:sz w:val="19"/>
              </w:rPr>
              <w:t>Full or update of the previous AIIA</w:t>
            </w:r>
          </w:p>
        </w:tc>
        <w:tc>
          <w:tcPr>
            <w:tcW w:type="dxa" w:w="2551"/>
            <w:shd w:val="clear" w:color="auto" w:fill="F5F7FA"/>
          </w:tcPr>
          <w:p>
            <w:pPr>
              <w:spacing w:after="40"/>
            </w:pPr>
            <w:r/>
            <w:r>
              <w:rPr>
                <w:sz w:val="19"/>
              </w:rPr>
              <w:t>Before the change goes live</w:t>
            </w:r>
          </w:p>
        </w:tc>
      </w:tr>
      <w:tr>
        <w:tc>
          <w:tcPr>
            <w:tcW w:type="dxa" w:w="4252"/>
          </w:tcPr>
          <w:p>
            <w:pPr>
              <w:spacing w:after="40"/>
            </w:pPr>
            <w:r/>
            <w:r>
              <w:rPr>
                <w:sz w:val="19"/>
              </w:rPr>
              <w:t xml:space="preserve">Annual review of systems rated </w:t>
            </w:r>
            <w:r>
              <w:rPr>
                <w:b/>
                <w:sz w:val="19"/>
              </w:rPr>
              <w:t>High</w:t>
            </w:r>
            <w:r>
              <w:rPr>
                <w:sz w:val="19"/>
              </w:rPr>
              <w:t xml:space="preserve"> criticality in the inventory</w:t>
            </w:r>
          </w:p>
        </w:tc>
        <w:tc>
          <w:tcPr>
            <w:tcW w:type="dxa" w:w="2551"/>
          </w:tcPr>
          <w:p>
            <w:pPr>
              <w:spacing w:after="40"/>
            </w:pPr>
            <w:r/>
            <w:r>
              <w:rPr>
                <w:sz w:val="19"/>
              </w:rPr>
              <w:t>Review and update</w:t>
            </w:r>
          </w:p>
        </w:tc>
        <w:tc>
          <w:tcPr>
            <w:tcW w:type="dxa" w:w="2551"/>
          </w:tcPr>
          <w:p>
            <w:pPr>
              <w:spacing w:after="40"/>
            </w:pPr>
            <w:r/>
            <w:r>
              <w:rPr>
                <w:sz w:val="19"/>
              </w:rPr>
              <w:t>Every 12 months from the last approval</w:t>
            </w:r>
          </w:p>
        </w:tc>
      </w:tr>
      <w:tr>
        <w:tc>
          <w:tcPr>
            <w:tcW w:type="dxa" w:w="4252"/>
            <w:shd w:val="clear" w:color="auto" w:fill="F5F7FA"/>
          </w:tcPr>
          <w:p>
            <w:pPr>
              <w:spacing w:after="40"/>
            </w:pPr>
            <w:r/>
            <w:r>
              <w:rPr>
                <w:sz w:val="19"/>
              </w:rPr>
              <w:t>Annual review of Medium systems</w:t>
            </w:r>
          </w:p>
        </w:tc>
        <w:tc>
          <w:tcPr>
            <w:tcW w:type="dxa" w:w="2551"/>
            <w:shd w:val="clear" w:color="auto" w:fill="F5F7FA"/>
          </w:tcPr>
          <w:p>
            <w:pPr>
              <w:spacing w:after="40"/>
            </w:pPr>
            <w:r/>
            <w:r>
              <w:rPr>
                <w:sz w:val="19"/>
              </w:rPr>
              <w:t>Short-form review</w:t>
            </w:r>
          </w:p>
        </w:tc>
        <w:tc>
          <w:tcPr>
            <w:tcW w:type="dxa" w:w="2551"/>
            <w:shd w:val="clear" w:color="auto" w:fill="F5F7FA"/>
          </w:tcPr>
          <w:p>
            <w:pPr>
              <w:spacing w:after="40"/>
            </w:pPr>
            <w:r/>
            <w:r>
              <w:rPr>
                <w:sz w:val="19"/>
              </w:rPr>
              <w:t>Every 24 months, or yearly if cheap</w:t>
            </w:r>
          </w:p>
        </w:tc>
      </w:tr>
      <w:tr>
        <w:tc>
          <w:tcPr>
            <w:tcW w:type="dxa" w:w="4252"/>
          </w:tcPr>
          <w:p>
            <w:pPr>
              <w:spacing w:after="40"/>
            </w:pPr>
            <w:r/>
            <w:r>
              <w:rPr>
                <w:sz w:val="19"/>
              </w:rPr>
              <w:t>Serious AI incident or complaint about harm (for example INC-2026-007)</w:t>
            </w:r>
          </w:p>
        </w:tc>
        <w:tc>
          <w:tcPr>
            <w:tcW w:type="dxa" w:w="2551"/>
          </w:tcPr>
          <w:p>
            <w:pPr>
              <w:spacing w:after="40"/>
            </w:pPr>
            <w:r/>
            <w:r>
              <w:rPr>
                <w:sz w:val="19"/>
              </w:rPr>
              <w:t>Targeted update</w:t>
            </w:r>
          </w:p>
        </w:tc>
        <w:tc>
          <w:tcPr>
            <w:tcW w:type="dxa" w:w="2551"/>
          </w:tcPr>
          <w:p>
            <w:pPr>
              <w:spacing w:after="40"/>
            </w:pPr>
            <w:r/>
            <w:r>
              <w:rPr>
                <w:sz w:val="19"/>
              </w:rPr>
              <w:t>Within 30 days of incident closure</w:t>
            </w:r>
          </w:p>
        </w:tc>
      </w:tr>
      <w:tr>
        <w:tc>
          <w:tcPr>
            <w:tcW w:type="dxa" w:w="4252"/>
            <w:shd w:val="clear" w:color="auto" w:fill="F5F7FA"/>
          </w:tcPr>
          <w:p>
            <w:pPr>
              <w:spacing w:after="40"/>
            </w:pPr>
            <w:r/>
            <w:r>
              <w:rPr>
                <w:sz w:val="19"/>
              </w:rPr>
              <w:t>A supplier changes the model behind a system we rely on</w:t>
            </w:r>
          </w:p>
        </w:tc>
        <w:tc>
          <w:tcPr>
            <w:tcW w:type="dxa" w:w="2551"/>
            <w:shd w:val="clear" w:color="auto" w:fill="F5F7FA"/>
          </w:tcPr>
          <w:p>
            <w:pPr>
              <w:spacing w:after="40"/>
            </w:pPr>
            <w:r/>
            <w:r>
              <w:rPr>
                <w:sz w:val="19"/>
              </w:rPr>
              <w:t>Short-form check</w:t>
            </w:r>
          </w:p>
        </w:tc>
        <w:tc>
          <w:tcPr>
            <w:tcW w:type="dxa" w:w="2551"/>
            <w:shd w:val="clear" w:color="auto" w:fill="F5F7FA"/>
          </w:tcPr>
          <w:p>
            <w:pPr>
              <w:spacing w:after="40"/>
            </w:pPr>
            <w:r/>
            <w:r>
              <w:rPr>
                <w:sz w:val="19"/>
              </w:rPr>
              <w:t>Before accepting the change</w:t>
            </w:r>
          </w:p>
        </w:tc>
      </w:tr>
    </w:tbl>
    <w:p/>
    <w:p>
      <w:r>
        <w:rPr/>
        <w:t>Today the High-criticality systems are: StoryFrame (AI-SYS-001), ArtistMatch (AI-SYS-003), SafeFrame (AI-SYS-004).</w:t>
      </w:r>
    </w:p>
    <w:p>
      <w:pPr>
        <w:pStyle w:val="Heading1"/>
      </w:pPr>
      <w:r>
        <w:t>4. Roles</w:t>
      </w:r>
    </w:p>
    <w:tbl>
      <w:tblPr>
        <w:tblStyle w:val="TableGrid"/>
        <w:tblW w:type="auto" w:w="0"/>
        <w:jc w:val="center"/>
        <w:tblLook w:firstColumn="1" w:firstRow="1" w:lastColumn="0" w:lastRow="0" w:noHBand="0" w:noVBand="1" w:val="04A0"/>
        <w:tblCellMar>
          <w:top w:w="85" w:type="dxa"/>
          <w:bottom w:w="85" w:type="dxa"/>
          <w:left w:w="85" w:type="dxa"/>
          <w:right w:w="85" w:type="dxa"/>
        </w:tblCellMar>
      </w:tblPr>
      <w:tblGrid>
        <w:gridCol w:w="4706"/>
        <w:gridCol w:w="4706"/>
      </w:tblGrid>
      <w:tr>
        <w:trPr>
          <w:tblHeader w:val="true"/>
        </w:trPr>
        <w:tc>
          <w:tcPr>
            <w:tcW w:type="dxa" w:w="3118"/>
            <w:shd w:val="clear" w:color="auto" w:fill="142B4C"/>
          </w:tcPr>
          <w:p>
            <w:r/>
            <w:r>
              <w:rPr>
                <w:b/>
                <w:color w:val="FFFFFF"/>
                <w:sz w:val="19"/>
              </w:rPr>
              <w:t>Who</w:t>
            </w:r>
          </w:p>
        </w:tc>
        <w:tc>
          <w:tcPr>
            <w:tcW w:type="dxa" w:w="6236"/>
            <w:shd w:val="clear" w:color="auto" w:fill="142B4C"/>
          </w:tcPr>
          <w:p>
            <w:r/>
            <w:r>
              <w:rPr>
                <w:b/>
                <w:color w:val="FFFFFF"/>
                <w:sz w:val="19"/>
              </w:rPr>
              <w:t>Role in the AIIA</w:t>
            </w:r>
          </w:p>
        </w:tc>
      </w:tr>
      <w:tr>
        <w:tc>
          <w:tcPr>
            <w:tcW w:type="dxa" w:w="3118"/>
          </w:tcPr>
          <w:p>
            <w:pPr>
              <w:spacing w:after="40"/>
            </w:pPr>
            <w:r/>
            <w:r>
              <w:rPr>
                <w:sz w:val="19"/>
              </w:rPr>
              <w:t>[Head of AI]</w:t>
            </w:r>
          </w:p>
        </w:tc>
        <w:tc>
          <w:tcPr>
            <w:tcW w:type="dxa" w:w="6236"/>
          </w:tcPr>
          <w:p>
            <w:pPr>
              <w:spacing w:after="40"/>
            </w:pPr>
            <w:r/>
            <w:r>
              <w:rPr>
                <w:sz w:val="19"/>
              </w:rPr>
              <w:t>Owns this procedure; approves every AIIA; decides when a change is 'significant'.</w:t>
            </w:r>
          </w:p>
        </w:tc>
      </w:tr>
      <w:tr>
        <w:tc>
          <w:tcPr>
            <w:tcW w:type="dxa" w:w="3118"/>
            <w:shd w:val="clear" w:color="auto" w:fill="F5F7FA"/>
          </w:tcPr>
          <w:p>
            <w:pPr>
              <w:spacing w:after="40"/>
            </w:pPr>
            <w:r/>
            <w:r>
              <w:rPr>
                <w:sz w:val="19"/>
              </w:rPr>
              <w:t>Product owner of the AI system</w:t>
            </w:r>
          </w:p>
        </w:tc>
        <w:tc>
          <w:tcPr>
            <w:tcW w:type="dxa" w:w="6236"/>
            <w:shd w:val="clear" w:color="auto" w:fill="F5F7FA"/>
          </w:tcPr>
          <w:p>
            <w:pPr>
              <w:spacing w:after="40"/>
            </w:pPr>
            <w:r/>
            <w:r>
              <w:rPr>
                <w:sz w:val="19"/>
              </w:rPr>
              <w:t>Leads the assessment, books the workshop, writes the record.</w:t>
            </w:r>
          </w:p>
        </w:tc>
      </w:tr>
      <w:tr>
        <w:tc>
          <w:tcPr>
            <w:tcW w:type="dxa" w:w="3118"/>
          </w:tcPr>
          <w:p>
            <w:pPr>
              <w:spacing w:after="40"/>
            </w:pPr>
            <w:r/>
            <w:r>
              <w:rPr>
                <w:sz w:val="19"/>
              </w:rPr>
              <w:t>[Data and ML Lead]</w:t>
            </w:r>
          </w:p>
        </w:tc>
        <w:tc>
          <w:tcPr>
            <w:tcW w:type="dxa" w:w="6236"/>
          </w:tcPr>
          <w:p>
            <w:pPr>
              <w:spacing w:after="40"/>
            </w:pPr>
            <w:r/>
            <w:r>
              <w:rPr>
                <w:sz w:val="19"/>
              </w:rPr>
              <w:t>Provides data sources, evaluation and fairness test results, model limitations.</w:t>
            </w:r>
          </w:p>
        </w:tc>
      </w:tr>
      <w:tr>
        <w:tc>
          <w:tcPr>
            <w:tcW w:type="dxa" w:w="3118"/>
            <w:shd w:val="clear" w:color="auto" w:fill="F5F7FA"/>
          </w:tcPr>
          <w:p>
            <w:pPr>
              <w:spacing w:after="40"/>
            </w:pPr>
            <w:r/>
            <w:r>
              <w:rPr>
                <w:sz w:val="19"/>
              </w:rPr>
              <w:t>[Creative Director]</w:t>
            </w:r>
          </w:p>
        </w:tc>
        <w:tc>
          <w:tcPr>
            <w:tcW w:type="dxa" w:w="6236"/>
            <w:shd w:val="clear" w:color="auto" w:fill="F5F7FA"/>
          </w:tcPr>
          <w:p>
            <w:pPr>
              <w:spacing w:after="40"/>
            </w:pPr>
            <w:r/>
            <w:r>
              <w:rPr>
                <w:sz w:val="19"/>
              </w:rPr>
              <w:t>Speaks for artists and audiences; signs off content-safety findings.</w:t>
            </w:r>
          </w:p>
        </w:tc>
      </w:tr>
      <w:tr>
        <w:tc>
          <w:tcPr>
            <w:tcW w:type="dxa" w:w="3118"/>
          </w:tcPr>
          <w:p>
            <w:pPr>
              <w:spacing w:after="40"/>
            </w:pPr>
            <w:r/>
            <w:r>
              <w:rPr>
                <w:sz w:val="19"/>
              </w:rPr>
              <w:t>[Privacy and Legal Lead]</w:t>
            </w:r>
          </w:p>
        </w:tc>
        <w:tc>
          <w:tcPr>
            <w:tcW w:type="dxa" w:w="6236"/>
          </w:tcPr>
          <w:p>
            <w:pPr>
              <w:spacing w:after="40"/>
            </w:pPr>
            <w:r/>
            <w:r>
              <w:rPr>
                <w:sz w:val="19"/>
              </w:rPr>
              <w:t>Checks privacy, copyright and legal duties; links any DPIA.</w:t>
            </w:r>
          </w:p>
        </w:tc>
      </w:tr>
      <w:tr>
        <w:tc>
          <w:tcPr>
            <w:tcW w:type="dxa" w:w="3118"/>
            <w:shd w:val="clear" w:color="auto" w:fill="F5F7FA"/>
          </w:tcPr>
          <w:p>
            <w:pPr>
              <w:spacing w:after="40"/>
            </w:pPr>
            <w:r/>
            <w:r>
              <w:rPr>
                <w:sz w:val="19"/>
              </w:rPr>
              <w:t>[Security Lead]</w:t>
            </w:r>
          </w:p>
        </w:tc>
        <w:tc>
          <w:tcPr>
            <w:tcW w:type="dxa" w:w="6236"/>
            <w:shd w:val="clear" w:color="auto" w:fill="F5F7FA"/>
          </w:tcPr>
          <w:p>
            <w:pPr>
              <w:spacing w:after="40"/>
            </w:pPr>
            <w:r/>
            <w:r>
              <w:rPr>
                <w:sz w:val="19"/>
              </w:rPr>
              <w:t>Checks security aspects such as misuse, prompt injection and data leakage.</w:t>
            </w:r>
          </w:p>
        </w:tc>
      </w:tr>
      <w:tr>
        <w:tc>
          <w:tcPr>
            <w:tcW w:type="dxa" w:w="3118"/>
          </w:tcPr>
          <w:p>
            <w:pPr>
              <w:spacing w:after="40"/>
            </w:pPr>
            <w:r/>
            <w:r>
              <w:rPr>
                <w:sz w:val="19"/>
              </w:rPr>
              <w:t>Artist Advisory Panel member</w:t>
            </w:r>
          </w:p>
        </w:tc>
        <w:tc>
          <w:tcPr>
            <w:tcW w:type="dxa" w:w="6236"/>
          </w:tcPr>
          <w:p>
            <w:pPr>
              <w:spacing w:after="40"/>
            </w:pPr>
            <w:r/>
            <w:r>
              <w:rPr>
                <w:sz w:val="19"/>
              </w:rPr>
              <w:t>Independent voice of affected artists; reviews the draft.</w:t>
            </w:r>
          </w:p>
        </w:tc>
      </w:tr>
      <w:tr>
        <w:tc>
          <w:tcPr>
            <w:tcW w:type="dxa" w:w="3118"/>
            <w:shd w:val="clear" w:color="auto" w:fill="F5F7FA"/>
          </w:tcPr>
          <w:p>
            <w:pPr>
              <w:spacing w:after="40"/>
            </w:pPr>
            <w:r/>
            <w:r>
              <w:rPr>
                <w:sz w:val="19"/>
              </w:rPr>
              <w:t>AI Release Review</w:t>
            </w:r>
          </w:p>
        </w:tc>
        <w:tc>
          <w:tcPr>
            <w:tcW w:type="dxa" w:w="6236"/>
            <w:shd w:val="clear" w:color="auto" w:fill="F5F7FA"/>
          </w:tcPr>
          <w:p>
            <w:pPr>
              <w:spacing w:after="40"/>
            </w:pPr>
            <w:r/>
            <w:r>
              <w:rPr>
                <w:sz w:val="19"/>
              </w:rPr>
              <w:t>Uses the AIIA to make the go / no-go decision and set release conditions.</w:t>
            </w:r>
          </w:p>
        </w:tc>
      </w:tr>
    </w:tbl>
    <w:p/>
    <w:p>
      <w:pPr>
        <w:pStyle w:val="Heading1"/>
      </w:pPr>
      <w:r>
        <w:t>5. The steps</w:t>
      </w:r>
    </w:p>
    <w:p>
      <w:pPr>
        <w:pStyle w:val="ListNumber"/>
        <w:spacing w:after="60"/>
        <w:numPr>
          <w:ilvl w:val="0"/>
          <w:numId w:val="1008"/>
        </w:numPr>
      </w:pPr>
      <w:r>
        <w:rPr>
          <w:b/>
        </w:rPr>
        <w:t>Screen (30 minutes).</w:t>
      </w:r>
      <w:r>
        <w:rPr/>
        <w:t xml:space="preserve"> Product owner fills section A of the template: what the system does and what changed. The Head of AI decides full, update or short-form.</w:t>
      </w:r>
    </w:p>
    <w:p>
      <w:pPr>
        <w:pStyle w:val="ListNumber"/>
        <w:spacing w:after="60"/>
        <w:numPr>
          <w:ilvl w:val="0"/>
          <w:numId w:val="1008"/>
        </w:numPr>
      </w:pPr>
      <w:r>
        <w:rPr>
          <w:b/>
        </w:rPr>
        <w:t>Describe the system.</w:t>
      </w:r>
      <w:r>
        <w:rPr/>
        <w:t xml:space="preserve"> Intended purpose, users, outputs, level of automation, data used, model suppliers, where it runs, and what humans can see and override. Use the model card if one exists.</w:t>
      </w:r>
    </w:p>
    <w:p>
      <w:pPr>
        <w:pStyle w:val="ListNumber"/>
        <w:spacing w:after="60"/>
        <w:numPr>
          <w:ilvl w:val="0"/>
          <w:numId w:val="1008"/>
        </w:numPr>
      </w:pPr>
      <w:r>
        <w:rPr>
          <w:b/>
        </w:rPr>
        <w:t>Map who is affected.</w:t>
      </w:r>
      <w:r>
        <w:rPr/>
        <w:t xml:space="preserve"> Direct users, people whose data or work trained the model, people depicted or described in outputs, people who receive outputs (audiences), and people affected by decisions (for example artists ranked by an algorithm). Mark vulnerable groups, such as minors.</w:t>
      </w:r>
    </w:p>
    <w:p>
      <w:pPr>
        <w:pStyle w:val="ListNumber"/>
        <w:spacing w:after="60"/>
        <w:numPr>
          <w:ilvl w:val="0"/>
          <w:numId w:val="1008"/>
        </w:numPr>
      </w:pPr>
      <w:r>
        <w:rPr>
          <w:b/>
        </w:rPr>
        <w:t>Consult.</w:t>
      </w:r>
      <w:r>
        <w:rPr/>
        <w:t xml:space="preserve"> Talk to at least one representative of the most affected group who is not on the project team — for us usually the Artist Advisory Panel. Record what they said.</w:t>
      </w:r>
    </w:p>
    <w:p>
      <w:pPr>
        <w:pStyle w:val="ListNumber"/>
        <w:spacing w:after="60"/>
        <w:numPr>
          <w:ilvl w:val="0"/>
          <w:numId w:val="1008"/>
        </w:numPr>
      </w:pPr>
      <w:r>
        <w:rPr>
          <w:b/>
        </w:rPr>
        <w:t>Assess impacts.</w:t>
      </w:r>
      <w:r>
        <w:rPr/>
        <w:t xml:space="preserve"> Work through the questions in section 6. For each negative impact, rate severity with the impact scale and likelihood with the likelihood scale from IMS-PRO-001 Risk Management Methodology (Information Security and AI). Note positive impacts too — they justify the system.</w:t>
      </w:r>
    </w:p>
    <w:p>
      <w:pPr>
        <w:pStyle w:val="ListNumber"/>
        <w:spacing w:after="60"/>
        <w:numPr>
          <w:ilvl w:val="0"/>
          <w:numId w:val="1008"/>
        </w:numPr>
      </w:pPr>
      <w:r>
        <w:rPr>
          <w:b/>
        </w:rPr>
        <w:t>Decide mitigations.</w:t>
      </w:r>
      <w:r>
        <w:rPr/>
        <w:t xml:space="preserve"> For each significant negative impact, agree design changes or controls, with an owner and date.</w:t>
      </w:r>
    </w:p>
    <w:p>
      <w:pPr>
        <w:pStyle w:val="ListNumber"/>
        <w:spacing w:after="60"/>
        <w:numPr>
          <w:ilvl w:val="0"/>
          <w:numId w:val="1008"/>
        </w:numPr>
      </w:pPr>
      <w:r>
        <w:rPr>
          <w:b/>
        </w:rPr>
        <w:t>Feed the risk register.</w:t>
      </w:r>
      <w:r>
        <w:rPr/>
        <w:t xml:space="preserve"> Every impact rated 3 or more on impact becomes or updates a risk in IMS-REG-002 Integrated Risk Register and Treatment Plan, linked by AIIA ID.</w:t>
      </w:r>
    </w:p>
    <w:p>
      <w:pPr>
        <w:pStyle w:val="ListNumber"/>
        <w:spacing w:after="60"/>
        <w:numPr>
          <w:ilvl w:val="0"/>
          <w:numId w:val="1008"/>
        </w:numPr>
      </w:pPr>
      <w:r>
        <w:rPr>
          <w:b/>
        </w:rPr>
        <w:t>Conclude and approve.</w:t>
      </w:r>
      <w:r>
        <w:rPr/>
        <w:t xml:space="preserve"> Recommend proceed, proceed with conditions, redesign or stop. The Head of AI approves; the AI Release Review decides.</w:t>
      </w:r>
    </w:p>
    <w:p>
      <w:pPr>
        <w:pStyle w:val="ListNumber"/>
        <w:spacing w:after="60"/>
        <w:numPr>
          <w:ilvl w:val="0"/>
          <w:numId w:val="1008"/>
        </w:numPr>
      </w:pPr>
      <w:r>
        <w:rPr>
          <w:b/>
        </w:rPr>
        <w:t>Publish what is useful.</w:t>
      </w:r>
      <w:r>
        <w:rPr/>
        <w:t xml:space="preserve"> Share a plain-language summary with affected groups where it helps (for example on the Commons help centre for artists).</w:t>
      </w:r>
    </w:p>
    <w:tbl>
      <w:tblPr>
        <w:tblW w:type="auto" w:w="0"/>
        <w:jc w:val="center"/>
        <w:tblLook w:firstColumn="1" w:firstRow="1" w:lastColumn="0" w:lastRow="0" w:noHBand="0" w:noVBand="1" w:val="04A0"/>
        <w:tblCellMar>
          <w:top w:w="141" w:type="dxa"/>
          <w:bottom w:w="141" w:type="dxa"/>
          <w:left w:w="141" w:type="dxa"/>
          <w:right w:w="141" w:type="dxa"/>
        </w:tblCellMar>
      </w:tblPr>
      <w:tblGrid>
        <w:gridCol w:w="9412"/>
      </w:tblGrid>
      <w:tr>
        <w:tc>
          <w:tcPr>
            <w:tcW w:type="dxa" w:w="9412"/>
            <w:shd w:val="clear" w:color="auto" w:fill="E8F1FB"/>
          </w:tcPr>
          <w:p>
            <w:r>
              <w:rPr>
                <w:b/>
                <w:color w:val="142B4C"/>
                <w:sz w:val="20"/>
              </w:rPr>
              <w:t>Starter tip</w:t>
            </w:r>
          </w:p>
          <w:p>
            <w:pPr>
              <w:spacing w:after="60"/>
            </w:pPr>
            <w:r>
              <w:rPr>
                <w:sz w:val="20"/>
              </w:rPr>
              <w:t>Run the impact workshop as a 'pre-mortem': imagine it is a year after launch and a journalist has written a story about harm caused by the system. What does the story say? Most of the real impacts appear in the first 15 minutes.</w:t>
            </w:r>
          </w:p>
        </w:tc>
      </w:tr>
    </w:tbl>
    <w:p/>
    <w:p>
      <w:pPr>
        <w:pStyle w:val="Heading1"/>
      </w:pPr>
      <w:r>
        <w:t>6. The questions to ask</w:t>
      </w:r>
    </w:p>
    <w:tbl>
      <w:tblPr>
        <w:tblStyle w:val="TableGrid"/>
        <w:tblW w:type="auto" w:w="0"/>
        <w:jc w:val="center"/>
        <w:tblLook w:firstColumn="1" w:firstRow="1" w:lastColumn="0" w:lastRow="0" w:noHBand="0" w:noVBand="1" w:val="04A0"/>
        <w:tblCellMar>
          <w:top w:w="85" w:type="dxa"/>
          <w:bottom w:w="85" w:type="dxa"/>
          <w:left w:w="85" w:type="dxa"/>
          <w:right w:w="85" w:type="dxa"/>
        </w:tblCellMar>
      </w:tblPr>
      <w:tblGrid>
        <w:gridCol w:w="4706"/>
        <w:gridCol w:w="4706"/>
      </w:tblGrid>
      <w:tr>
        <w:trPr>
          <w:tblHeader w:val="true"/>
        </w:trPr>
        <w:tc>
          <w:tcPr>
            <w:tcW w:type="dxa" w:w="2551"/>
            <w:shd w:val="clear" w:color="auto" w:fill="142B4C"/>
          </w:tcPr>
          <w:p>
            <w:r/>
            <w:r>
              <w:rPr>
                <w:b/>
                <w:color w:val="FFFFFF"/>
                <w:sz w:val="19"/>
              </w:rPr>
              <w:t>Area</w:t>
            </w:r>
          </w:p>
        </w:tc>
        <w:tc>
          <w:tcPr>
            <w:tcW w:type="dxa" w:w="6803"/>
            <w:shd w:val="clear" w:color="auto" w:fill="142B4C"/>
          </w:tcPr>
          <w:p>
            <w:r/>
            <w:r>
              <w:rPr>
                <w:b/>
                <w:color w:val="FFFFFF"/>
                <w:sz w:val="19"/>
              </w:rPr>
              <w:t>Questions</w:t>
            </w:r>
          </w:p>
        </w:tc>
      </w:tr>
      <w:tr>
        <w:tc>
          <w:tcPr>
            <w:tcW w:type="dxa" w:w="2551"/>
          </w:tcPr>
          <w:p>
            <w:pPr>
              <w:spacing w:after="40"/>
            </w:pPr>
            <w:r/>
            <w:r>
              <w:rPr>
                <w:sz w:val="19"/>
              </w:rPr>
              <w:t>Intended use and foreseeable misuse</w:t>
            </w:r>
          </w:p>
        </w:tc>
        <w:tc>
          <w:tcPr>
            <w:tcW w:type="dxa" w:w="6803"/>
          </w:tcPr>
          <w:p>
            <w:pPr>
              <w:spacing w:after="40"/>
            </w:pPr>
            <w:r/>
            <w:r>
              <w:rPr>
                <w:sz w:val="19"/>
              </w:rPr>
              <w:t>What is it for, and for whom? What is it explicitly not for? How could someone misuse it — on purpose or by mistake? What happens if it is used outside the context we designed for?</w:t>
            </w:r>
          </w:p>
        </w:tc>
      </w:tr>
      <w:tr>
        <w:tc>
          <w:tcPr>
            <w:tcW w:type="dxa" w:w="2551"/>
            <w:shd w:val="clear" w:color="auto" w:fill="F5F7FA"/>
          </w:tcPr>
          <w:p>
            <w:pPr>
              <w:spacing w:after="40"/>
            </w:pPr>
            <w:r/>
            <w:r>
              <w:rPr>
                <w:sz w:val="19"/>
              </w:rPr>
              <w:t>Affected people</w:t>
            </w:r>
          </w:p>
        </w:tc>
        <w:tc>
          <w:tcPr>
            <w:tcW w:type="dxa" w:w="6803"/>
            <w:shd w:val="clear" w:color="auto" w:fill="F5F7FA"/>
          </w:tcPr>
          <w:p>
            <w:pPr>
              <w:spacing w:after="40"/>
            </w:pPr>
            <w:r/>
            <w:r>
              <w:rPr>
                <w:sz w:val="19"/>
              </w:rPr>
              <w:t>Who is affected without choosing to be — artists whose work trained the model, people depicted in outputs, audiences? Are children or other vulnerable people involved?</w:t>
            </w:r>
          </w:p>
        </w:tc>
      </w:tr>
      <w:tr>
        <w:tc>
          <w:tcPr>
            <w:tcW w:type="dxa" w:w="2551"/>
          </w:tcPr>
          <w:p>
            <w:pPr>
              <w:spacing w:after="40"/>
            </w:pPr>
            <w:r/>
            <w:r>
              <w:rPr>
                <w:sz w:val="19"/>
              </w:rPr>
              <w:t>Rights</w:t>
            </w:r>
          </w:p>
        </w:tc>
        <w:tc>
          <w:tcPr>
            <w:tcW w:type="dxa" w:w="6803"/>
          </w:tcPr>
          <w:p>
            <w:pPr>
              <w:spacing w:after="40"/>
            </w:pPr>
            <w:r/>
            <w:r>
              <w:rPr>
                <w:sz w:val="19"/>
              </w:rPr>
              <w:t>Could it affect privacy, reputation, intellectual property, freedom of expression, or the right to fair treatment and to challenge a decision?</w:t>
            </w:r>
          </w:p>
        </w:tc>
      </w:tr>
      <w:tr>
        <w:tc>
          <w:tcPr>
            <w:tcW w:type="dxa" w:w="2551"/>
            <w:shd w:val="clear" w:color="auto" w:fill="F5F7FA"/>
          </w:tcPr>
          <w:p>
            <w:pPr>
              <w:spacing w:after="40"/>
            </w:pPr>
            <w:r/>
            <w:r>
              <w:rPr>
                <w:sz w:val="19"/>
              </w:rPr>
              <w:t>Fairness</w:t>
            </w:r>
          </w:p>
        </w:tc>
        <w:tc>
          <w:tcPr>
            <w:tcW w:type="dxa" w:w="6803"/>
            <w:shd w:val="clear" w:color="auto" w:fill="F5F7FA"/>
          </w:tcPr>
          <w:p>
            <w:pPr>
              <w:spacing w:after="40"/>
            </w:pPr>
            <w:r/>
            <w:r>
              <w:rPr>
                <w:sz w:val="19"/>
              </w:rPr>
              <w:t>Could outputs or decisions be worse for some groups — by language, region, gender, skin tone, age, disability or seniority on the platform? Have we measured it?</w:t>
            </w:r>
          </w:p>
        </w:tc>
      </w:tr>
      <w:tr>
        <w:tc>
          <w:tcPr>
            <w:tcW w:type="dxa" w:w="2551"/>
          </w:tcPr>
          <w:p>
            <w:pPr>
              <w:spacing w:after="40"/>
            </w:pPr>
            <w:r/>
            <w:r>
              <w:rPr>
                <w:sz w:val="19"/>
              </w:rPr>
              <w:t>Transparency</w:t>
            </w:r>
          </w:p>
        </w:tc>
        <w:tc>
          <w:tcPr>
            <w:tcW w:type="dxa" w:w="6803"/>
          </w:tcPr>
          <w:p>
            <w:pPr>
              <w:spacing w:after="40"/>
            </w:pPr>
            <w:r/>
            <w:r>
              <w:rPr>
                <w:sz w:val="19"/>
              </w:rPr>
              <w:t>Do people know AI is involved? Can they understand the main reasons for a result? Can they complain and reach a human?</w:t>
            </w:r>
          </w:p>
        </w:tc>
      </w:tr>
      <w:tr>
        <w:tc>
          <w:tcPr>
            <w:tcW w:type="dxa" w:w="2551"/>
            <w:shd w:val="clear" w:color="auto" w:fill="F5F7FA"/>
          </w:tcPr>
          <w:p>
            <w:pPr>
              <w:spacing w:after="40"/>
            </w:pPr>
            <w:r/>
            <w:r>
              <w:rPr>
                <w:sz w:val="19"/>
              </w:rPr>
              <w:t>Safety and integrity of content</w:t>
            </w:r>
          </w:p>
        </w:tc>
        <w:tc>
          <w:tcPr>
            <w:tcW w:type="dxa" w:w="6803"/>
            <w:shd w:val="clear" w:color="auto" w:fill="F5F7FA"/>
          </w:tcPr>
          <w:p>
            <w:pPr>
              <w:spacing w:after="40"/>
            </w:pPr>
            <w:r/>
            <w:r>
              <w:rPr>
                <w:sz w:val="19"/>
              </w:rPr>
              <w:t>Could it produce harmful, deceptive or illegal content? How fast can we detect and remove it?</w:t>
            </w:r>
          </w:p>
        </w:tc>
      </w:tr>
      <w:tr>
        <w:tc>
          <w:tcPr>
            <w:tcW w:type="dxa" w:w="2551"/>
          </w:tcPr>
          <w:p>
            <w:pPr>
              <w:spacing w:after="40"/>
            </w:pPr>
            <w:r/>
            <w:r>
              <w:rPr>
                <w:sz w:val="19"/>
              </w:rPr>
              <w:t>Privacy and security</w:t>
            </w:r>
          </w:p>
        </w:tc>
        <w:tc>
          <w:tcPr>
            <w:tcW w:type="dxa" w:w="6803"/>
          </w:tcPr>
          <w:p>
            <w:pPr>
              <w:spacing w:after="40"/>
            </w:pPr>
            <w:r/>
            <w:r>
              <w:rPr>
                <w:sz w:val="19"/>
              </w:rPr>
              <w:t>What personal data goes in and comes out? Could the model leak data or be manipulated?</w:t>
            </w:r>
          </w:p>
        </w:tc>
      </w:tr>
      <w:tr>
        <w:tc>
          <w:tcPr>
            <w:tcW w:type="dxa" w:w="2551"/>
            <w:shd w:val="clear" w:color="auto" w:fill="F5F7FA"/>
          </w:tcPr>
          <w:p>
            <w:pPr>
              <w:spacing w:after="40"/>
            </w:pPr>
            <w:r/>
            <w:r>
              <w:rPr>
                <w:sz w:val="19"/>
              </w:rPr>
              <w:t>Environmental impact</w:t>
            </w:r>
          </w:p>
        </w:tc>
        <w:tc>
          <w:tcPr>
            <w:tcW w:type="dxa" w:w="6803"/>
            <w:shd w:val="clear" w:color="auto" w:fill="F5F7FA"/>
          </w:tcPr>
          <w:p>
            <w:pPr>
              <w:spacing w:after="40"/>
            </w:pPr>
            <w:r/>
            <w:r>
              <w:rPr>
                <w:sz w:val="19"/>
              </w:rPr>
              <w:t>Roughly how much compute does training and use need? Is there a cheaper model or region that works as well?</w:t>
            </w:r>
          </w:p>
        </w:tc>
      </w:tr>
      <w:tr>
        <w:tc>
          <w:tcPr>
            <w:tcW w:type="dxa" w:w="2551"/>
          </w:tcPr>
          <w:p>
            <w:pPr>
              <w:spacing w:after="40"/>
            </w:pPr>
            <w:r/>
            <w:r>
              <w:rPr>
                <w:sz w:val="19"/>
              </w:rPr>
              <w:t>Societal effects</w:t>
            </w:r>
          </w:p>
        </w:tc>
        <w:tc>
          <w:tcPr>
            <w:tcW w:type="dxa" w:w="6803"/>
          </w:tcPr>
          <w:p>
            <w:pPr>
              <w:spacing w:after="40"/>
            </w:pPr>
            <w:r/>
            <w:r>
              <w:rPr>
                <w:sz w:val="19"/>
              </w:rPr>
              <w:t>Could it affect artists' livelihoods, trust in images and media, or the creative market as a whole? Could positive effects be shared more widely?</w:t>
            </w:r>
          </w:p>
        </w:tc>
      </w:tr>
    </w:tbl>
    <w:p/>
    <w:p>
      <w:pPr>
        <w:pStyle w:val="Heading1"/>
      </w:pPr>
      <w:r>
        <w:t>7. How results are used</w:t>
      </w:r>
    </w:p>
    <w:p>
      <w:pPr>
        <w:pStyle w:val="ListBullet"/>
        <w:spacing w:after="60"/>
      </w:pPr>
      <w:r>
        <w:rPr>
          <w:b/>
        </w:rPr>
        <w:t>Risk register</w:t>
      </w:r>
      <w:r>
        <w:rPr/>
        <w:t xml:space="preserve"> — impacts with severity 3 or more become AI risks in IMS-REG-002 Integrated Risk Register and Treatment Plan; the AIIA ID goes in the cause column.</w:t>
      </w:r>
    </w:p>
    <w:p>
      <w:pPr>
        <w:pStyle w:val="ListBullet"/>
        <w:spacing w:after="60"/>
      </w:pPr>
      <w:r>
        <w:rPr>
          <w:b/>
        </w:rPr>
        <w:t>AI Release Review</w:t>
      </w:r>
      <w:r>
        <w:rPr/>
        <w:t xml:space="preserve"> — the AIIA and its conditions are attached to the release record. No High-criticality release proceeds without an approved AIIA (objective OBJ-02).</w:t>
      </w:r>
    </w:p>
    <w:p>
      <w:pPr>
        <w:pStyle w:val="ListBullet"/>
        <w:spacing w:after="60"/>
      </w:pPr>
      <w:r>
        <w:rPr>
          <w:b/>
        </w:rPr>
        <w:t>Controls and SoA</w:t>
      </w:r>
      <w:r>
        <w:rPr/>
        <w:t xml:space="preserve"> — mitigations are mapped to Annex A in IMS-SOA-002 Statement of Applicability — ISO/IEC 42001:2023 Annex A (often A.5, A.6.2, A.7, A.8) and, where relevant, IMS-SOA-001 Statement of Applicability — ISO/IEC 27001:2022 Annex A.</w:t>
      </w:r>
    </w:p>
    <w:p>
      <w:pPr>
        <w:pStyle w:val="ListBullet"/>
        <w:spacing w:after="60"/>
      </w:pPr>
      <w:r>
        <w:rPr>
          <w:b/>
        </w:rPr>
        <w:t>Monitoring</w:t>
      </w:r>
      <w:r>
        <w:rPr/>
        <w:t xml:space="preserve"> — metrics agreed in the AIIA (for example fairness ratios) go into IMS-REG-003 Objectives, Metrics and Monitoring Plan.</w:t>
      </w:r>
    </w:p>
    <w:p>
      <w:pPr>
        <w:pStyle w:val="ListBullet"/>
        <w:spacing w:after="60"/>
      </w:pPr>
      <w:r>
        <w:rPr>
          <w:b/>
        </w:rPr>
        <w:t>Management review</w:t>
      </w:r>
      <w:r>
        <w:rPr/>
        <w:t xml:space="preserve"> — a yearly summary of AIIAs goes to the Trust Council.</w:t>
      </w:r>
    </w:p>
    <w:p>
      <w:pPr>
        <w:pStyle w:val="Heading1"/>
      </w:pPr>
      <w:r>
        <w:t>8. Records and retention</w:t>
      </w:r>
    </w:p>
    <w:p>
      <w:r>
        <w:rPr/>
        <w:t xml:space="preserve">Each AIIA is stored in the IMS document library as 'AIIA-YYYY-NN &lt;system&gt; v&lt;version&gt;'. Keep it for as long as the AI system is in use </w:t>
      </w:r>
      <w:r>
        <w:rPr>
          <w:b/>
        </w:rPr>
        <w:t>plus 5 years</w:t>
      </w:r>
      <w:r>
        <w:rPr/>
        <w:t xml:space="preserve"> after it is retired, together with consultation notes and test results. Superseded versions are kept, not overwritten (IMS-PRO-004 Documented Information Control Procedure).</w:t>
      </w:r>
    </w:p>
    <w:p>
      <w:r>
        <w:br w:type="page"/>
      </w:r>
    </w:p>
    <w:p>
      <w:pPr>
        <w:pStyle w:val="Heading1"/>
      </w:pPr>
      <w:r>
        <w:t>9. Worked example AIIA-2026-01 — StoryFrame (AI-SYS-001)</w:t>
      </w:r>
    </w:p>
    <w:tbl>
      <w:tblPr>
        <w:tblStyle w:val="TableGrid"/>
        <w:tblW w:type="auto" w:w="0"/>
        <w:jc w:val="center"/>
        <w:tblLook w:firstColumn="1" w:firstRow="1" w:lastColumn="0" w:lastRow="0" w:noHBand="0" w:noVBand="1" w:val="04A0"/>
        <w:tblCellMar>
          <w:top w:w="85" w:type="dxa"/>
          <w:bottom w:w="85" w:type="dxa"/>
          <w:left w:w="85" w:type="dxa"/>
          <w:right w:w="85" w:type="dxa"/>
        </w:tblCellMar>
      </w:tblPr>
      <w:tblGrid>
        <w:gridCol w:w="4706"/>
        <w:gridCol w:w="4706"/>
      </w:tblGrid>
      <w:tr>
        <w:trPr>
          <w:tblHeader w:val="true"/>
        </w:trPr>
        <w:tc>
          <w:tcPr>
            <w:tcW w:type="dxa" w:w="2268"/>
            <w:shd w:val="clear" w:color="auto" w:fill="142B4C"/>
          </w:tcPr>
          <w:p>
            <w:r/>
            <w:r>
              <w:rPr>
                <w:b/>
                <w:color w:val="FFFFFF"/>
                <w:sz w:val="19"/>
              </w:rPr>
              <w:t>Field</w:t>
            </w:r>
          </w:p>
        </w:tc>
        <w:tc>
          <w:tcPr>
            <w:tcW w:type="dxa" w:w="7087"/>
            <w:shd w:val="clear" w:color="auto" w:fill="142B4C"/>
          </w:tcPr>
          <w:p>
            <w:r/>
            <w:r>
              <w:rPr>
                <w:b/>
                <w:color w:val="FFFFFF"/>
                <w:sz w:val="19"/>
              </w:rPr>
              <w:t>Entry</w:t>
            </w:r>
          </w:p>
        </w:tc>
      </w:tr>
      <w:tr>
        <w:tc>
          <w:tcPr>
            <w:tcW w:type="dxa" w:w="2268"/>
          </w:tcPr>
          <w:p>
            <w:pPr>
              <w:spacing w:after="40"/>
            </w:pPr>
            <w:r/>
            <w:r>
              <w:rPr>
                <w:sz w:val="19"/>
              </w:rPr>
              <w:t>AIIA ID / version</w:t>
            </w:r>
          </w:p>
        </w:tc>
        <w:tc>
          <w:tcPr>
            <w:tcW w:type="dxa" w:w="7087"/>
          </w:tcPr>
          <w:p>
            <w:pPr>
              <w:spacing w:after="40"/>
            </w:pPr>
            <w:r/>
            <w:r>
              <w:rPr>
                <w:sz w:val="19"/>
              </w:rPr>
              <w:t>AIIA-2026-01 v1.1 (v1.0 March 2026; v1.1 September 2026 after INC-2026-007)</w:t>
            </w:r>
          </w:p>
        </w:tc>
      </w:tr>
      <w:tr>
        <w:tc>
          <w:tcPr>
            <w:tcW w:type="dxa" w:w="2268"/>
            <w:shd w:val="clear" w:color="auto" w:fill="F5F7FA"/>
          </w:tcPr>
          <w:p>
            <w:pPr>
              <w:spacing w:after="40"/>
            </w:pPr>
            <w:r/>
            <w:r>
              <w:rPr>
                <w:sz w:val="19"/>
              </w:rPr>
              <w:t>System</w:t>
            </w:r>
          </w:p>
        </w:tc>
        <w:tc>
          <w:tcPr>
            <w:tcW w:type="dxa" w:w="7087"/>
            <w:shd w:val="clear" w:color="auto" w:fill="F5F7FA"/>
          </w:tcPr>
          <w:p>
            <w:pPr>
              <w:spacing w:after="40"/>
            </w:pPr>
            <w:r/>
            <w:r>
              <w:rPr>
                <w:sz w:val="19"/>
              </w:rPr>
              <w:t>StoryFrame (AI-SYS-001) — Generates storyboard panels and concept art from a script or prompt. Uses a licensed third-party image model, fine-tuned by us only on licensed and commissioned artwork with artist consent. Outputs carry content credentials (C2PA) and a visible 'AI-assisted' label.</w:t>
            </w:r>
          </w:p>
        </w:tc>
      </w:tr>
      <w:tr>
        <w:tc>
          <w:tcPr>
            <w:tcW w:type="dxa" w:w="2268"/>
          </w:tcPr>
          <w:p>
            <w:pPr>
              <w:spacing w:after="40"/>
            </w:pPr>
            <w:r/>
            <w:r>
              <w:rPr>
                <w:sz w:val="19"/>
              </w:rPr>
              <w:t>Our role</w:t>
            </w:r>
          </w:p>
        </w:tc>
        <w:tc>
          <w:tcPr>
            <w:tcW w:type="dxa" w:w="7087"/>
          </w:tcPr>
          <w:p>
            <w:pPr>
              <w:spacing w:after="40"/>
            </w:pPr>
            <w:r/>
            <w:r>
              <w:rPr>
                <w:sz w:val="19"/>
              </w:rPr>
              <w:t>AI provider and AI producer (we fine-tune, integrate and operate it)</w:t>
            </w:r>
          </w:p>
        </w:tc>
      </w:tr>
      <w:tr>
        <w:tc>
          <w:tcPr>
            <w:tcW w:type="dxa" w:w="2268"/>
            <w:shd w:val="clear" w:color="auto" w:fill="F5F7FA"/>
          </w:tcPr>
          <w:p>
            <w:pPr>
              <w:spacing w:after="40"/>
            </w:pPr>
            <w:r/>
            <w:r>
              <w:rPr>
                <w:sz w:val="19"/>
              </w:rPr>
              <w:t>Trigger</w:t>
            </w:r>
          </w:p>
        </w:tc>
        <w:tc>
          <w:tcPr>
            <w:tcW w:type="dxa" w:w="7087"/>
            <w:shd w:val="clear" w:color="auto" w:fill="F5F7FA"/>
          </w:tcPr>
          <w:p>
            <w:pPr>
              <w:spacing w:after="40"/>
            </w:pPr>
            <w:r/>
            <w:r>
              <w:rPr>
                <w:sz w:val="19"/>
              </w:rPr>
              <w:t>Release of fine-tuned model v2 to API customers (significant change: new data, new user group)</w:t>
            </w:r>
          </w:p>
        </w:tc>
      </w:tr>
      <w:tr>
        <w:tc>
          <w:tcPr>
            <w:tcW w:type="dxa" w:w="2268"/>
          </w:tcPr>
          <w:p>
            <w:pPr>
              <w:spacing w:after="40"/>
            </w:pPr>
            <w:r/>
            <w:r>
              <w:rPr>
                <w:sz w:val="19"/>
              </w:rPr>
              <w:t>Assessment team</w:t>
            </w:r>
          </w:p>
        </w:tc>
        <w:tc>
          <w:tcPr>
            <w:tcW w:type="dxa" w:w="7087"/>
          </w:tcPr>
          <w:p>
            <w:pPr>
              <w:spacing w:after="40"/>
            </w:pPr>
            <w:r/>
            <w:r>
              <w:rPr>
                <w:sz w:val="19"/>
              </w:rPr>
              <w:t>Product owner (lead); [Head of AI]; [Data and ML Lead]; [Creative Director]; [Privacy and Legal Lead]; [Security Lead]; one Artist Advisory Panel member</w:t>
            </w:r>
          </w:p>
        </w:tc>
      </w:tr>
      <w:tr>
        <w:tc>
          <w:tcPr>
            <w:tcW w:type="dxa" w:w="2268"/>
            <w:shd w:val="clear" w:color="auto" w:fill="F5F7FA"/>
          </w:tcPr>
          <w:p>
            <w:pPr>
              <w:spacing w:after="40"/>
            </w:pPr>
            <w:r/>
            <w:r>
              <w:rPr>
                <w:sz w:val="19"/>
              </w:rPr>
              <w:t>Approved by</w:t>
            </w:r>
          </w:p>
        </w:tc>
        <w:tc>
          <w:tcPr>
            <w:tcW w:type="dxa" w:w="7087"/>
            <w:shd w:val="clear" w:color="auto" w:fill="F5F7FA"/>
          </w:tcPr>
          <w:p>
            <w:pPr>
              <w:spacing w:after="40"/>
            </w:pPr>
            <w:r/>
            <w:r>
              <w:rPr>
                <w:sz w:val="19"/>
              </w:rPr>
              <w:t>[Head of AI], 2026-03-24; AI Release Review decision: proceed with conditions</w:t>
            </w:r>
          </w:p>
        </w:tc>
      </w:tr>
    </w:tbl>
    <w:p/>
    <w:p>
      <w:pPr>
        <w:pStyle w:val="Heading2"/>
      </w:pPr>
      <w:r>
        <w:t>9.1 Intended use and foreseeable misuse</w:t>
      </w:r>
    </w:p>
    <w:p>
      <w:r>
        <w:rPr>
          <w:b/>
        </w:rPr>
        <w:t>Intended use:</w:t>
      </w:r>
      <w:r>
        <w:rPr/>
        <w:t xml:space="preserve"> Canvas and API customers turn scripts into storyboard panels and concept art for pre-production, which human artists then refine. </w:t>
      </w:r>
      <w:r>
        <w:rPr>
          <w:b/>
        </w:rPr>
        <w:t>Not intended for:</w:t>
      </w:r>
      <w:r>
        <w:rPr/>
        <w:t xml:space="preserve"> photorealistic images of real people, final advertising imagery without disclosure, or imitating a named living artist.</w:t>
      </w:r>
    </w:p>
    <w:p>
      <w:r>
        <w:rPr>
          <w:b/>
        </w:rPr>
        <w:t>Foreseeable misuse:</w:t>
      </w:r>
      <w:r>
        <w:rPr/>
        <w:t xml:space="preserve"> prompts naming public figures to create fake scenes; jailbreak phrasing to get past filters; asking for 'in the style of' a living artist; customers removing the AI label before publishing.</w:t>
      </w:r>
    </w:p>
    <w:p>
      <w:pPr>
        <w:pStyle w:val="Heading2"/>
      </w:pPr>
      <w:r>
        <w:t>9.2 Who is affected</w:t>
      </w:r>
    </w:p>
    <w:tbl>
      <w:tblPr>
        <w:tblStyle w:val="TableGrid"/>
        <w:tblW w:type="auto" w:w="0"/>
        <w:jc w:val="center"/>
        <w:tblLook w:firstColumn="1" w:firstRow="1" w:lastColumn="0" w:lastRow="0" w:noHBand="0" w:noVBand="1" w:val="04A0"/>
        <w:tblCellMar>
          <w:top w:w="85" w:type="dxa"/>
          <w:bottom w:w="85" w:type="dxa"/>
          <w:left w:w="85" w:type="dxa"/>
          <w:right w:w="85" w:type="dxa"/>
        </w:tblCellMar>
      </w:tblPr>
      <w:tblGrid>
        <w:gridCol w:w="4706"/>
        <w:gridCol w:w="4706"/>
      </w:tblGrid>
      <w:tr>
        <w:trPr>
          <w:tblHeader w:val="true"/>
        </w:trPr>
        <w:tc>
          <w:tcPr>
            <w:tcW w:type="dxa" w:w="2835"/>
            <w:shd w:val="clear" w:color="auto" w:fill="142B4C"/>
          </w:tcPr>
          <w:p>
            <w:r/>
            <w:r>
              <w:rPr>
                <w:b/>
                <w:color w:val="FFFFFF"/>
                <w:sz w:val="19"/>
              </w:rPr>
              <w:t>Group</w:t>
            </w:r>
          </w:p>
        </w:tc>
        <w:tc>
          <w:tcPr>
            <w:tcW w:type="dxa" w:w="6520"/>
            <w:shd w:val="clear" w:color="auto" w:fill="142B4C"/>
          </w:tcPr>
          <w:p>
            <w:r/>
            <w:r>
              <w:rPr>
                <w:b/>
                <w:color w:val="FFFFFF"/>
                <w:sz w:val="19"/>
              </w:rPr>
              <w:t>How they are affected</w:t>
            </w:r>
          </w:p>
        </w:tc>
      </w:tr>
      <w:tr>
        <w:tc>
          <w:tcPr>
            <w:tcW w:type="dxa" w:w="2835"/>
          </w:tcPr>
          <w:p>
            <w:pPr>
              <w:spacing w:after="40"/>
            </w:pPr>
            <w:r/>
            <w:r>
              <w:rPr>
                <w:sz w:val="19"/>
              </w:rPr>
              <w:t>Customers (writers, studios, agencies)</w:t>
            </w:r>
          </w:p>
        </w:tc>
        <w:tc>
          <w:tcPr>
            <w:tcW w:type="dxa" w:w="6520"/>
          </w:tcPr>
          <w:p>
            <w:pPr>
              <w:spacing w:after="40"/>
            </w:pPr>
            <w:r/>
            <w:r>
              <w:rPr>
                <w:sz w:val="19"/>
              </w:rPr>
              <w:t>Faster pre-production; risk of IP claims if outputs copy protected work.</w:t>
            </w:r>
          </w:p>
        </w:tc>
      </w:tr>
      <w:tr>
        <w:tc>
          <w:tcPr>
            <w:tcW w:type="dxa" w:w="2835"/>
            <w:shd w:val="clear" w:color="auto" w:fill="F5F7FA"/>
          </w:tcPr>
          <w:p>
            <w:pPr>
              <w:spacing w:after="40"/>
            </w:pPr>
            <w:r/>
            <w:r>
              <w:rPr>
                <w:sz w:val="19"/>
              </w:rPr>
              <w:t>Artists whose work fine-tuned the model</w:t>
            </w:r>
          </w:p>
        </w:tc>
        <w:tc>
          <w:tcPr>
            <w:tcW w:type="dxa" w:w="6520"/>
            <w:shd w:val="clear" w:color="auto" w:fill="F5F7FA"/>
          </w:tcPr>
          <w:p>
            <w:pPr>
              <w:spacing w:after="40"/>
            </w:pPr>
            <w:r/>
            <w:r>
              <w:rPr>
                <w:sz w:val="19"/>
              </w:rPr>
              <w:t>Paid licence or commission; harmed if consent is missing or opt-outs ignored.</w:t>
            </w:r>
          </w:p>
        </w:tc>
      </w:tr>
      <w:tr>
        <w:tc>
          <w:tcPr>
            <w:tcW w:type="dxa" w:w="2835"/>
          </w:tcPr>
          <w:p>
            <w:pPr>
              <w:spacing w:after="40"/>
            </w:pPr>
            <w:r/>
            <w:r>
              <w:rPr>
                <w:sz w:val="19"/>
              </w:rPr>
              <w:t>Marketplace artists</w:t>
            </w:r>
          </w:p>
        </w:tc>
        <w:tc>
          <w:tcPr>
            <w:tcW w:type="dxa" w:w="6520"/>
          </w:tcPr>
          <w:p>
            <w:pPr>
              <w:spacing w:after="40"/>
            </w:pPr>
            <w:r/>
            <w:r>
              <w:rPr>
                <w:sz w:val="19"/>
              </w:rPr>
              <w:t>More refinement commissions; possible pressure on rates for early-stage concept work.</w:t>
            </w:r>
          </w:p>
        </w:tc>
      </w:tr>
      <w:tr>
        <w:tc>
          <w:tcPr>
            <w:tcW w:type="dxa" w:w="2835"/>
            <w:shd w:val="clear" w:color="auto" w:fill="F5F7FA"/>
          </w:tcPr>
          <w:p>
            <w:pPr>
              <w:spacing w:after="40"/>
            </w:pPr>
            <w:r/>
            <w:r>
              <w:rPr>
                <w:sz w:val="19"/>
              </w:rPr>
              <w:t>People depicted in outputs</w:t>
            </w:r>
          </w:p>
        </w:tc>
        <w:tc>
          <w:tcPr>
            <w:tcW w:type="dxa" w:w="6520"/>
            <w:shd w:val="clear" w:color="auto" w:fill="F5F7FA"/>
          </w:tcPr>
          <w:p>
            <w:pPr>
              <w:spacing w:after="40"/>
            </w:pPr>
            <w:r/>
            <w:r>
              <w:rPr>
                <w:sz w:val="19"/>
              </w:rPr>
              <w:t>Could be shown in fabricated scenes — reputation, dignity.</w:t>
            </w:r>
          </w:p>
        </w:tc>
      </w:tr>
      <w:tr>
        <w:tc>
          <w:tcPr>
            <w:tcW w:type="dxa" w:w="2835"/>
          </w:tcPr>
          <w:p>
            <w:pPr>
              <w:spacing w:after="40"/>
            </w:pPr>
            <w:r/>
            <w:r>
              <w:rPr>
                <w:sz w:val="19"/>
              </w:rPr>
              <w:t>Audiences of finished work</w:t>
            </w:r>
          </w:p>
        </w:tc>
        <w:tc>
          <w:tcPr>
            <w:tcW w:type="dxa" w:w="6520"/>
          </w:tcPr>
          <w:p>
            <w:pPr>
              <w:spacing w:after="40"/>
            </w:pPr>
            <w:r/>
            <w:r>
              <w:rPr>
                <w:sz w:val="19"/>
              </w:rPr>
              <w:t>Could be misled if AI imagery is not disclosed.</w:t>
            </w:r>
          </w:p>
        </w:tc>
      </w:tr>
    </w:tbl>
    <w:p/>
    <w:p>
      <w:pPr>
        <w:pStyle w:val="Heading2"/>
      </w:pPr>
      <w:r>
        <w:t>9.3 Impacts found</w:t>
      </w:r>
    </w:p>
    <w:tbl>
      <w:tblPr>
        <w:tblStyle w:val="TableGrid"/>
        <w:tblW w:type="auto" w:w="0"/>
        <w:jc w:val="center"/>
        <w:tblLook w:firstColumn="1" w:firstRow="1" w:lastColumn="0" w:lastRow="0" w:noHBand="0" w:noVBand="1" w:val="04A0"/>
        <w:tblCellMar>
          <w:top w:w="85" w:type="dxa"/>
          <w:bottom w:w="85" w:type="dxa"/>
          <w:left w:w="85" w:type="dxa"/>
          <w:right w:w="85" w:type="dxa"/>
        </w:tblCellMar>
      </w:tblPr>
      <w:tblGrid>
        <w:gridCol w:w="1569"/>
        <w:gridCol w:w="1569"/>
        <w:gridCol w:w="1569"/>
        <w:gridCol w:w="1569"/>
        <w:gridCol w:w="1569"/>
        <w:gridCol w:w="1569"/>
      </w:tblGrid>
      <w:tr>
        <w:trPr>
          <w:tblHeader w:val="true"/>
        </w:trPr>
        <w:tc>
          <w:tcPr>
            <w:tcW w:type="dxa" w:w="397"/>
            <w:shd w:val="clear" w:color="auto" w:fill="142B4C"/>
          </w:tcPr>
          <w:p>
            <w:r/>
            <w:r>
              <w:rPr>
                <w:b/>
                <w:color w:val="FFFFFF"/>
                <w:sz w:val="19"/>
              </w:rPr>
              <w:t>#</w:t>
            </w:r>
          </w:p>
        </w:tc>
        <w:tc>
          <w:tcPr>
            <w:tcW w:type="dxa" w:w="2438"/>
            <w:shd w:val="clear" w:color="auto" w:fill="142B4C"/>
          </w:tcPr>
          <w:p>
            <w:r/>
            <w:r>
              <w:rPr>
                <w:b/>
                <w:color w:val="FFFFFF"/>
                <w:sz w:val="19"/>
              </w:rPr>
              <w:t>Impact</w:t>
            </w:r>
          </w:p>
        </w:tc>
        <w:tc>
          <w:tcPr>
            <w:tcW w:type="dxa" w:w="1020"/>
            <w:shd w:val="clear" w:color="auto" w:fill="142B4C"/>
          </w:tcPr>
          <w:p>
            <w:r/>
            <w:r>
              <w:rPr>
                <w:b/>
                <w:color w:val="FFFFFF"/>
                <w:sz w:val="19"/>
              </w:rPr>
              <w:t>Severity</w:t>
            </w:r>
          </w:p>
        </w:tc>
        <w:tc>
          <w:tcPr>
            <w:tcW w:type="dxa" w:w="1134"/>
            <w:shd w:val="clear" w:color="auto" w:fill="142B4C"/>
          </w:tcPr>
          <w:p>
            <w:r/>
            <w:r>
              <w:rPr>
                <w:b/>
                <w:color w:val="FFFFFF"/>
                <w:sz w:val="19"/>
              </w:rPr>
              <w:t>Likelihood</w:t>
            </w:r>
          </w:p>
        </w:tc>
        <w:tc>
          <w:tcPr>
            <w:tcW w:type="dxa" w:w="3061"/>
            <w:shd w:val="clear" w:color="auto" w:fill="142B4C"/>
          </w:tcPr>
          <w:p>
            <w:r/>
            <w:r>
              <w:rPr>
                <w:b/>
                <w:color w:val="FFFFFF"/>
                <w:sz w:val="19"/>
              </w:rPr>
              <w:t>Mitigation and owner</w:t>
            </w:r>
          </w:p>
        </w:tc>
        <w:tc>
          <w:tcPr>
            <w:tcW w:type="dxa" w:w="1304"/>
            <w:shd w:val="clear" w:color="auto" w:fill="142B4C"/>
          </w:tcPr>
          <w:p>
            <w:r/>
            <w:r>
              <w:rPr>
                <w:b/>
                <w:color w:val="FFFFFF"/>
                <w:sz w:val="19"/>
              </w:rPr>
              <w:t>Register</w:t>
            </w:r>
          </w:p>
        </w:tc>
      </w:tr>
      <w:tr>
        <w:tc>
          <w:tcPr>
            <w:tcW w:type="dxa" w:w="397"/>
          </w:tcPr>
          <w:p>
            <w:pPr>
              <w:spacing w:after="40"/>
            </w:pPr>
            <w:r/>
            <w:r>
              <w:rPr>
                <w:sz w:val="19"/>
              </w:rPr>
              <w:t>1</w:t>
            </w:r>
          </w:p>
        </w:tc>
        <w:tc>
          <w:tcPr>
            <w:tcW w:type="dxa" w:w="2438"/>
          </w:tcPr>
          <w:p>
            <w:pPr>
              <w:spacing w:after="40"/>
            </w:pPr>
            <w:r/>
            <w:r>
              <w:rPr>
                <w:sz w:val="19"/>
              </w:rPr>
              <w:t>Deceptive image of a real person reaches the public</w:t>
            </w:r>
          </w:p>
        </w:tc>
        <w:tc>
          <w:tcPr>
            <w:tcW w:type="dxa" w:w="1020"/>
          </w:tcPr>
          <w:p>
            <w:pPr>
              <w:spacing w:after="40"/>
            </w:pPr>
            <w:r/>
            <w:r>
              <w:rPr>
                <w:sz w:val="19"/>
              </w:rPr>
              <w:t>5 Severe</w:t>
            </w:r>
          </w:p>
        </w:tc>
        <w:tc>
          <w:tcPr>
            <w:tcW w:type="dxa" w:w="1134"/>
          </w:tcPr>
          <w:p>
            <w:pPr>
              <w:spacing w:after="40"/>
            </w:pPr>
            <w:r/>
            <w:r>
              <w:rPr>
                <w:sz w:val="19"/>
              </w:rPr>
              <w:t>3 Possible</w:t>
            </w:r>
          </w:p>
        </w:tc>
        <w:tc>
          <w:tcPr>
            <w:tcW w:type="dxa" w:w="3061"/>
          </w:tcPr>
          <w:p>
            <w:pPr>
              <w:spacing w:after="40"/>
            </w:pPr>
            <w:r/>
            <w:r>
              <w:rPr>
                <w:sz w:val="19"/>
              </w:rPr>
              <w:t>Named-person likeness check before delivery; SafeFrame screening; red-team each release — [Head of AI]</w:t>
            </w:r>
          </w:p>
        </w:tc>
        <w:tc>
          <w:tcPr>
            <w:tcW w:type="dxa" w:w="1304"/>
          </w:tcPr>
          <w:p>
            <w:pPr>
              <w:spacing w:after="40"/>
            </w:pPr>
            <w:r/>
            <w:r>
              <w:rPr>
                <w:sz w:val="19"/>
              </w:rPr>
              <w:t>RSK-AI-002</w:t>
            </w:r>
          </w:p>
        </w:tc>
      </w:tr>
      <w:tr>
        <w:tc>
          <w:tcPr>
            <w:tcW w:type="dxa" w:w="397"/>
            <w:shd w:val="clear" w:color="auto" w:fill="F5F7FA"/>
          </w:tcPr>
          <w:p>
            <w:pPr>
              <w:spacing w:after="40"/>
            </w:pPr>
            <w:r/>
            <w:r>
              <w:rPr>
                <w:sz w:val="19"/>
              </w:rPr>
              <w:t>2</w:t>
            </w:r>
          </w:p>
        </w:tc>
        <w:tc>
          <w:tcPr>
            <w:tcW w:type="dxa" w:w="2438"/>
            <w:shd w:val="clear" w:color="auto" w:fill="F5F7FA"/>
          </w:tcPr>
          <w:p>
            <w:pPr>
              <w:spacing w:after="40"/>
            </w:pPr>
            <w:r/>
            <w:r>
              <w:rPr>
                <w:sz w:val="19"/>
              </w:rPr>
              <w:t>Fine-tuning set contains artwork without consent; artists' rights infringed</w:t>
            </w:r>
          </w:p>
        </w:tc>
        <w:tc>
          <w:tcPr>
            <w:tcW w:type="dxa" w:w="1020"/>
            <w:shd w:val="clear" w:color="auto" w:fill="F5F7FA"/>
          </w:tcPr>
          <w:p>
            <w:pPr>
              <w:spacing w:after="40"/>
            </w:pPr>
            <w:r/>
            <w:r>
              <w:rPr>
                <w:sz w:val="19"/>
              </w:rPr>
              <w:t>4 Major</w:t>
            </w:r>
          </w:p>
        </w:tc>
        <w:tc>
          <w:tcPr>
            <w:tcW w:type="dxa" w:w="1134"/>
            <w:shd w:val="clear" w:color="auto" w:fill="F5F7FA"/>
          </w:tcPr>
          <w:p>
            <w:pPr>
              <w:spacing w:after="40"/>
            </w:pPr>
            <w:r/>
            <w:r>
              <w:rPr>
                <w:sz w:val="19"/>
              </w:rPr>
              <w:t>4 Likely</w:t>
            </w:r>
          </w:p>
        </w:tc>
        <w:tc>
          <w:tcPr>
            <w:tcW w:type="dxa" w:w="3061"/>
            <w:shd w:val="clear" w:color="auto" w:fill="F5F7FA"/>
          </w:tcPr>
          <w:p>
            <w:pPr>
              <w:spacing w:after="40"/>
            </w:pPr>
            <w:r/>
            <w:r>
              <w:rPr>
                <w:sz w:val="19"/>
              </w:rPr>
              <w:t>Image-by-image consent audit; automatic opt-out propagation — [Data and ML Lead]</w:t>
            </w:r>
          </w:p>
        </w:tc>
        <w:tc>
          <w:tcPr>
            <w:tcW w:type="dxa" w:w="1304"/>
            <w:shd w:val="clear" w:color="auto" w:fill="F5F7FA"/>
          </w:tcPr>
          <w:p>
            <w:pPr>
              <w:spacing w:after="40"/>
            </w:pPr>
            <w:r/>
            <w:r>
              <w:rPr>
                <w:sz w:val="19"/>
              </w:rPr>
              <w:t>RSK-AI-001</w:t>
            </w:r>
          </w:p>
        </w:tc>
      </w:tr>
      <w:tr>
        <w:tc>
          <w:tcPr>
            <w:tcW w:type="dxa" w:w="397"/>
          </w:tcPr>
          <w:p>
            <w:pPr>
              <w:spacing w:after="40"/>
            </w:pPr>
            <w:r/>
            <w:r>
              <w:rPr>
                <w:sz w:val="19"/>
              </w:rPr>
              <w:t>3</w:t>
            </w:r>
          </w:p>
        </w:tc>
        <w:tc>
          <w:tcPr>
            <w:tcW w:type="dxa" w:w="2438"/>
          </w:tcPr>
          <w:p>
            <w:pPr>
              <w:spacing w:after="40"/>
            </w:pPr>
            <w:r/>
            <w:r>
              <w:rPr>
                <w:sz w:val="19"/>
              </w:rPr>
              <w:t>Outputs imitate a living artist's signature style</w:t>
            </w:r>
          </w:p>
        </w:tc>
        <w:tc>
          <w:tcPr>
            <w:tcW w:type="dxa" w:w="1020"/>
          </w:tcPr>
          <w:p>
            <w:pPr>
              <w:spacing w:after="40"/>
            </w:pPr>
            <w:r/>
            <w:r>
              <w:rPr>
                <w:sz w:val="19"/>
              </w:rPr>
              <w:t>4 Major</w:t>
            </w:r>
          </w:p>
        </w:tc>
        <w:tc>
          <w:tcPr>
            <w:tcW w:type="dxa" w:w="1134"/>
          </w:tcPr>
          <w:p>
            <w:pPr>
              <w:spacing w:after="40"/>
            </w:pPr>
            <w:r/>
            <w:r>
              <w:rPr>
                <w:sz w:val="19"/>
              </w:rPr>
              <w:t>3 Possible</w:t>
            </w:r>
          </w:p>
        </w:tc>
        <w:tc>
          <w:tcPr>
            <w:tcW w:type="dxa" w:w="3061"/>
          </w:tcPr>
          <w:p>
            <w:pPr>
              <w:spacing w:after="40"/>
            </w:pPr>
            <w:r/>
            <w:r>
              <w:rPr>
                <w:sz w:val="19"/>
              </w:rPr>
              <w:t>Block artist-name prompts; similarity check against Commons portfolios — [Creative Director]</w:t>
            </w:r>
          </w:p>
        </w:tc>
        <w:tc>
          <w:tcPr>
            <w:tcW w:type="dxa" w:w="1304"/>
          </w:tcPr>
          <w:p>
            <w:pPr>
              <w:spacing w:after="40"/>
            </w:pPr>
            <w:r/>
            <w:r>
              <w:rPr>
                <w:sz w:val="19"/>
              </w:rPr>
              <w:t>RSK-AI-007</w:t>
            </w:r>
          </w:p>
        </w:tc>
      </w:tr>
      <w:tr>
        <w:tc>
          <w:tcPr>
            <w:tcW w:type="dxa" w:w="397"/>
            <w:shd w:val="clear" w:color="auto" w:fill="F5F7FA"/>
          </w:tcPr>
          <w:p>
            <w:pPr>
              <w:spacing w:after="40"/>
            </w:pPr>
            <w:r/>
            <w:r>
              <w:rPr>
                <w:sz w:val="19"/>
              </w:rPr>
              <w:t>4</w:t>
            </w:r>
          </w:p>
        </w:tc>
        <w:tc>
          <w:tcPr>
            <w:tcW w:type="dxa" w:w="2438"/>
            <w:shd w:val="clear" w:color="auto" w:fill="F5F7FA"/>
          </w:tcPr>
          <w:p>
            <w:pPr>
              <w:spacing w:after="40"/>
            </w:pPr>
            <w:r/>
            <w:r>
              <w:rPr>
                <w:sz w:val="19"/>
              </w:rPr>
              <w:t>Moderation vendor update lets prohibited content through</w:t>
            </w:r>
          </w:p>
        </w:tc>
        <w:tc>
          <w:tcPr>
            <w:tcW w:type="dxa" w:w="1020"/>
            <w:shd w:val="clear" w:color="auto" w:fill="F5F7FA"/>
          </w:tcPr>
          <w:p>
            <w:pPr>
              <w:spacing w:after="40"/>
            </w:pPr>
            <w:r/>
            <w:r>
              <w:rPr>
                <w:sz w:val="19"/>
              </w:rPr>
              <w:t>5 Severe</w:t>
            </w:r>
          </w:p>
        </w:tc>
        <w:tc>
          <w:tcPr>
            <w:tcW w:type="dxa" w:w="1134"/>
            <w:shd w:val="clear" w:color="auto" w:fill="F5F7FA"/>
          </w:tcPr>
          <w:p>
            <w:pPr>
              <w:spacing w:after="40"/>
            </w:pPr>
            <w:r/>
            <w:r>
              <w:rPr>
                <w:sz w:val="19"/>
              </w:rPr>
              <w:t>3 Possible</w:t>
            </w:r>
          </w:p>
        </w:tc>
        <w:tc>
          <w:tcPr>
            <w:tcW w:type="dxa" w:w="3061"/>
            <w:shd w:val="clear" w:color="auto" w:fill="F5F7FA"/>
          </w:tcPr>
          <w:p>
            <w:pPr>
              <w:spacing w:after="40"/>
            </w:pPr>
            <w:r/>
            <w:r>
              <w:rPr>
                <w:sz w:val="19"/>
              </w:rPr>
              <w:t>Version pinning, change notice in contract, canary tests — [Creative Director]</w:t>
            </w:r>
          </w:p>
        </w:tc>
        <w:tc>
          <w:tcPr>
            <w:tcW w:type="dxa" w:w="1304"/>
            <w:shd w:val="clear" w:color="auto" w:fill="F5F7FA"/>
          </w:tcPr>
          <w:p>
            <w:pPr>
              <w:spacing w:after="40"/>
            </w:pPr>
            <w:r/>
            <w:r>
              <w:rPr>
                <w:sz w:val="19"/>
              </w:rPr>
              <w:t>RSK-AI-005</w:t>
            </w:r>
          </w:p>
        </w:tc>
      </w:tr>
      <w:tr>
        <w:tc>
          <w:tcPr>
            <w:tcW w:type="dxa" w:w="397"/>
          </w:tcPr>
          <w:p>
            <w:pPr>
              <w:spacing w:after="40"/>
            </w:pPr>
            <w:r/>
            <w:r>
              <w:rPr>
                <w:sz w:val="19"/>
              </w:rPr>
              <w:t>5</w:t>
            </w:r>
          </w:p>
        </w:tc>
        <w:tc>
          <w:tcPr>
            <w:tcW w:type="dxa" w:w="2438"/>
          </w:tcPr>
          <w:p>
            <w:pPr>
              <w:spacing w:after="40"/>
            </w:pPr>
            <w:r/>
            <w:r>
              <w:rPr>
                <w:sz w:val="19"/>
              </w:rPr>
              <w:t>Audiences misled because customers strip AI labels</w:t>
            </w:r>
          </w:p>
        </w:tc>
        <w:tc>
          <w:tcPr>
            <w:tcW w:type="dxa" w:w="1020"/>
          </w:tcPr>
          <w:p>
            <w:pPr>
              <w:spacing w:after="40"/>
            </w:pPr>
            <w:r/>
            <w:r>
              <w:rPr>
                <w:sz w:val="19"/>
              </w:rPr>
              <w:t>3 Moderate</w:t>
            </w:r>
          </w:p>
        </w:tc>
        <w:tc>
          <w:tcPr>
            <w:tcW w:type="dxa" w:w="1134"/>
          </w:tcPr>
          <w:p>
            <w:pPr>
              <w:spacing w:after="40"/>
            </w:pPr>
            <w:r/>
            <w:r>
              <w:rPr>
                <w:sz w:val="19"/>
              </w:rPr>
              <w:t>3 Possible</w:t>
            </w:r>
          </w:p>
        </w:tc>
        <w:tc>
          <w:tcPr>
            <w:tcW w:type="dxa" w:w="3061"/>
          </w:tcPr>
          <w:p>
            <w:pPr>
              <w:spacing w:after="40"/>
            </w:pPr>
            <w:r/>
            <w:r>
              <w:rPr>
                <w:sz w:val="19"/>
              </w:rPr>
              <w:t>Terms of use duties; export reminder; C2PA credentials — [Privacy and Legal Lead]</w:t>
            </w:r>
          </w:p>
        </w:tc>
        <w:tc>
          <w:tcPr>
            <w:tcW w:type="dxa" w:w="1304"/>
          </w:tcPr>
          <w:p>
            <w:pPr>
              <w:spacing w:after="40"/>
            </w:pPr>
            <w:r/>
            <w:r>
              <w:rPr>
                <w:sz w:val="19"/>
              </w:rPr>
              <w:t>RSK-AI-010</w:t>
            </w:r>
          </w:p>
        </w:tc>
      </w:tr>
      <w:tr>
        <w:tc>
          <w:tcPr>
            <w:tcW w:type="dxa" w:w="397"/>
            <w:shd w:val="clear" w:color="auto" w:fill="F5F7FA"/>
          </w:tcPr>
          <w:p>
            <w:pPr>
              <w:spacing w:after="40"/>
            </w:pPr>
            <w:r/>
            <w:r>
              <w:rPr>
                <w:sz w:val="19"/>
              </w:rPr>
              <w:t>6</w:t>
            </w:r>
          </w:p>
        </w:tc>
        <w:tc>
          <w:tcPr>
            <w:tcW w:type="dxa" w:w="2438"/>
            <w:shd w:val="clear" w:color="auto" w:fill="F5F7FA"/>
          </w:tcPr>
          <w:p>
            <w:pPr>
              <w:spacing w:after="40"/>
            </w:pPr>
            <w:r/>
            <w:r>
              <w:rPr>
                <w:sz w:val="19"/>
              </w:rPr>
              <w:t>Lower skin-tone and body-type diversity in default characters</w:t>
            </w:r>
          </w:p>
        </w:tc>
        <w:tc>
          <w:tcPr>
            <w:tcW w:type="dxa" w:w="1020"/>
            <w:shd w:val="clear" w:color="auto" w:fill="F5F7FA"/>
          </w:tcPr>
          <w:p>
            <w:pPr>
              <w:spacing w:after="40"/>
            </w:pPr>
            <w:r/>
            <w:r>
              <w:rPr>
                <w:sz w:val="19"/>
              </w:rPr>
              <w:t>3 Moderate</w:t>
            </w:r>
          </w:p>
        </w:tc>
        <w:tc>
          <w:tcPr>
            <w:tcW w:type="dxa" w:w="1134"/>
            <w:shd w:val="clear" w:color="auto" w:fill="F5F7FA"/>
          </w:tcPr>
          <w:p>
            <w:pPr>
              <w:spacing w:after="40"/>
            </w:pPr>
            <w:r/>
            <w:r>
              <w:rPr>
                <w:sz w:val="19"/>
              </w:rPr>
              <w:t>3 Possible</w:t>
            </w:r>
          </w:p>
        </w:tc>
        <w:tc>
          <w:tcPr>
            <w:tcW w:type="dxa" w:w="3061"/>
            <w:shd w:val="clear" w:color="auto" w:fill="F5F7FA"/>
          </w:tcPr>
          <w:p>
            <w:pPr>
              <w:spacing w:after="40"/>
            </w:pPr>
            <w:r/>
            <w:r>
              <w:rPr>
                <w:sz w:val="19"/>
              </w:rPr>
              <w:t>Diversity evaluation set; prompt defaults reviewed — [Data and ML Lead]</w:t>
            </w:r>
          </w:p>
        </w:tc>
        <w:tc>
          <w:tcPr>
            <w:tcW w:type="dxa" w:w="1304"/>
            <w:shd w:val="clear" w:color="auto" w:fill="F5F7FA"/>
          </w:tcPr>
          <w:p>
            <w:pPr>
              <w:spacing w:after="40"/>
            </w:pPr>
            <w:r/>
            <w:r>
              <w:rPr>
                <w:sz w:val="19"/>
              </w:rPr>
              <w:t>Added to RSK-AI-001 review</w:t>
            </w:r>
          </w:p>
        </w:tc>
      </w:tr>
      <w:tr>
        <w:tc>
          <w:tcPr>
            <w:tcW w:type="dxa" w:w="397"/>
          </w:tcPr>
          <w:p>
            <w:pPr>
              <w:spacing w:after="40"/>
            </w:pPr>
            <w:r/>
            <w:r>
              <w:rPr>
                <w:sz w:val="19"/>
              </w:rPr>
              <w:t>7</w:t>
            </w:r>
          </w:p>
        </w:tc>
        <w:tc>
          <w:tcPr>
            <w:tcW w:type="dxa" w:w="2438"/>
          </w:tcPr>
          <w:p>
            <w:pPr>
              <w:spacing w:after="40"/>
            </w:pPr>
            <w:r/>
            <w:r>
              <w:rPr>
                <w:sz w:val="19"/>
              </w:rPr>
              <w:t>Compute use of fine-tuning and inference</w:t>
            </w:r>
          </w:p>
        </w:tc>
        <w:tc>
          <w:tcPr>
            <w:tcW w:type="dxa" w:w="1020"/>
          </w:tcPr>
          <w:p>
            <w:pPr>
              <w:spacing w:after="40"/>
            </w:pPr>
            <w:r/>
            <w:r>
              <w:rPr>
                <w:sz w:val="19"/>
              </w:rPr>
              <w:t>2 Minor</w:t>
            </w:r>
          </w:p>
        </w:tc>
        <w:tc>
          <w:tcPr>
            <w:tcW w:type="dxa" w:w="1134"/>
          </w:tcPr>
          <w:p>
            <w:pPr>
              <w:spacing w:after="40"/>
            </w:pPr>
            <w:r/>
            <w:r>
              <w:rPr>
                <w:sz w:val="19"/>
              </w:rPr>
              <w:t>5 Almost certain</w:t>
            </w:r>
          </w:p>
        </w:tc>
        <w:tc>
          <w:tcPr>
            <w:tcW w:type="dxa" w:w="3061"/>
          </w:tcPr>
          <w:p>
            <w:pPr>
              <w:spacing w:after="40"/>
            </w:pPr>
            <w:r/>
            <w:r>
              <w:rPr>
                <w:sz w:val="19"/>
              </w:rPr>
              <w:t>Smaller distilled model for previews; batch fine-tuning in a low-carbon region</w:t>
            </w:r>
          </w:p>
        </w:tc>
        <w:tc>
          <w:tcPr>
            <w:tcW w:type="dxa" w:w="1304"/>
          </w:tcPr>
          <w:p>
            <w:pPr>
              <w:spacing w:after="40"/>
            </w:pPr>
            <w:r/>
            <w:r>
              <w:rPr>
                <w:sz w:val="19"/>
              </w:rPr>
              <w:t>Not a risk; tracked</w:t>
            </w:r>
          </w:p>
        </w:tc>
      </w:tr>
    </w:tbl>
    <w:p/>
    <w:p>
      <w:r>
        <w:rPr>
          <w:b/>
        </w:rPr>
        <w:t>Positive impacts:</w:t>
      </w:r>
      <w:r>
        <w:rPr/>
        <w:t xml:space="preserve"> pre-production cost for small studios cut by roughly half; more paid refinement work routed to Commons artists (+18% commissions in pilot); consistent labelling raises trust in AI-assisted work.</w:t>
      </w:r>
    </w:p>
    <w:p>
      <w:pPr>
        <w:pStyle w:val="Heading2"/>
      </w:pPr>
      <w:r>
        <w:t>9.4 Consultation</w:t>
      </w:r>
    </w:p>
    <w:p>
      <w:r>
        <w:rPr/>
        <w:t>Artist Advisory Panel session (2026-03-10, 5 artists): asked for a public list of licensed sources and a one-click opt-out — both adopted. One customer studio reviewed the labelling approach and asked that credentials survive export to common formats — added to the backlog.</w:t>
      </w:r>
    </w:p>
    <w:p>
      <w:pPr>
        <w:pStyle w:val="Heading2"/>
      </w:pPr>
      <w:r>
        <w:t>9.5 Conclusion</w:t>
      </w:r>
    </w:p>
    <w:p>
      <w:r>
        <w:rPr>
          <w:b/>
        </w:rPr>
        <w:t>Proceed with conditions:</w:t>
      </w:r>
      <w:r>
        <w:rPr/>
        <w:t xml:space="preserve"> (1) likeness check live before API release; (2) consent audit of the fine-tuning set completed by 2026-09-30; (3) re-run this AIIA after any SafeFrame model change. Linked risks: RSK-AI-002 — Prompt or filter bypass lets StoryFrame produce a deceptive deepfake of a real person (inherent 3×5 High, residual 2×4 Medium); RSK-AI-001 — StoryFrame fine-tuning set contains artwork without valid consent or licence (inherent 4×4 Critical, residual 2×4 Medium).</w:t>
      </w:r>
    </w:p>
    <w:tbl>
      <w:tblPr>
        <w:tblW w:type="auto" w:w="0"/>
        <w:jc w:val="center"/>
        <w:tblLook w:firstColumn="1" w:firstRow="1" w:lastColumn="0" w:lastRow="0" w:noHBand="0" w:noVBand="1" w:val="04A0"/>
        <w:tblCellMar>
          <w:top w:w="141" w:type="dxa"/>
          <w:bottom w:w="141" w:type="dxa"/>
          <w:left w:w="141" w:type="dxa"/>
          <w:right w:w="141" w:type="dxa"/>
        </w:tblCellMar>
      </w:tblPr>
      <w:tblGrid>
        <w:gridCol w:w="9412"/>
      </w:tblGrid>
      <w:tr>
        <w:tc>
          <w:tcPr>
            <w:tcW w:type="dxa" w:w="9412"/>
            <w:shd w:val="clear" w:color="auto" w:fill="E9F6EF"/>
          </w:tcPr>
          <w:p>
            <w:r>
              <w:rPr>
                <w:b/>
                <w:color w:val="142B4C"/>
                <w:sz w:val="20"/>
              </w:rPr>
              <w:t>Worked example — What changed in v1.1</w:t>
            </w:r>
          </w:p>
          <w:p>
            <w:pPr>
              <w:spacing w:after="60"/>
            </w:pPr>
            <w:r>
              <w:rPr>
                <w:sz w:val="20"/>
              </w:rPr>
              <w:t>INC-2026-007 (August 2026) showed impact 4 was real: a vendor update lowered likeness detection. The AIIA was updated within 30 days, condition (3) was added, and RSK-AI-005 was re-scored. This is exactly how an AIIA should stay alive.</w:t>
            </w:r>
          </w:p>
        </w:tc>
      </w:tr>
    </w:tbl>
    <w:p/>
    <w:p>
      <w:pPr>
        <w:pStyle w:val="Heading1"/>
      </w:pPr>
      <w:r>
        <w:t>10. Worked example AIIA-2026-02 — ArtistMatch (AI-SYS-003) (short form)</w:t>
      </w:r>
    </w:p>
    <w:tbl>
      <w:tblPr>
        <w:tblStyle w:val="TableGrid"/>
        <w:tblW w:type="auto" w:w="0"/>
        <w:jc w:val="center"/>
        <w:tblLook w:firstColumn="1" w:firstRow="1" w:lastColumn="0" w:lastRow="0" w:noHBand="0" w:noVBand="1" w:val="04A0"/>
        <w:tblCellMar>
          <w:top w:w="85" w:type="dxa"/>
          <w:bottom w:w="85" w:type="dxa"/>
          <w:left w:w="85" w:type="dxa"/>
          <w:right w:w="85" w:type="dxa"/>
        </w:tblCellMar>
      </w:tblPr>
      <w:tblGrid>
        <w:gridCol w:w="4706"/>
        <w:gridCol w:w="4706"/>
      </w:tblGrid>
      <w:tr>
        <w:trPr>
          <w:tblHeader w:val="true"/>
        </w:trPr>
        <w:tc>
          <w:tcPr>
            <w:tcW w:type="dxa" w:w="2268"/>
            <w:shd w:val="clear" w:color="auto" w:fill="142B4C"/>
          </w:tcPr>
          <w:p>
            <w:r/>
            <w:r>
              <w:rPr>
                <w:b/>
                <w:color w:val="FFFFFF"/>
                <w:sz w:val="19"/>
              </w:rPr>
              <w:t>Field</w:t>
            </w:r>
          </w:p>
        </w:tc>
        <w:tc>
          <w:tcPr>
            <w:tcW w:type="dxa" w:w="7087"/>
            <w:shd w:val="clear" w:color="auto" w:fill="142B4C"/>
          </w:tcPr>
          <w:p>
            <w:r/>
            <w:r>
              <w:rPr>
                <w:b/>
                <w:color w:val="FFFFFF"/>
                <w:sz w:val="19"/>
              </w:rPr>
              <w:t>Entry</w:t>
            </w:r>
          </w:p>
        </w:tc>
      </w:tr>
      <w:tr>
        <w:tc>
          <w:tcPr>
            <w:tcW w:type="dxa" w:w="2268"/>
          </w:tcPr>
          <w:p>
            <w:pPr>
              <w:spacing w:after="40"/>
            </w:pPr>
            <w:r/>
            <w:r>
              <w:rPr>
                <w:sz w:val="19"/>
              </w:rPr>
              <w:t>Trigger</w:t>
            </w:r>
          </w:p>
        </w:tc>
        <w:tc>
          <w:tcPr>
            <w:tcW w:type="dxa" w:w="7087"/>
          </w:tcPr>
          <w:p>
            <w:pPr>
              <w:spacing w:after="40"/>
            </w:pPr>
            <w:r/>
            <w:r>
              <w:rPr>
                <w:sz w:val="19"/>
              </w:rPr>
              <w:t>Annual review of a High-criticality system, May 2026</w:t>
            </w:r>
          </w:p>
        </w:tc>
      </w:tr>
      <w:tr>
        <w:tc>
          <w:tcPr>
            <w:tcW w:type="dxa" w:w="2268"/>
            <w:shd w:val="clear" w:color="auto" w:fill="F5F7FA"/>
          </w:tcPr>
          <w:p>
            <w:pPr>
              <w:spacing w:after="40"/>
            </w:pPr>
            <w:r/>
            <w:r>
              <w:rPr>
                <w:sz w:val="19"/>
              </w:rPr>
              <w:t>Intended use</w:t>
            </w:r>
          </w:p>
        </w:tc>
        <w:tc>
          <w:tcPr>
            <w:tcW w:type="dxa" w:w="7087"/>
            <w:shd w:val="clear" w:color="auto" w:fill="F5F7FA"/>
          </w:tcPr>
          <w:p>
            <w:pPr>
              <w:spacing w:after="40"/>
            </w:pPr>
            <w:r/>
            <w:r>
              <w:rPr>
                <w:sz w:val="19"/>
              </w:rPr>
              <w:t>In-house ranking model that recommends marketplace artists for a commission based on portfolio style, availability and ratings. Used by customers commissioning artists; affects artists' income.</w:t>
            </w:r>
          </w:p>
        </w:tc>
      </w:tr>
      <w:tr>
        <w:tc>
          <w:tcPr>
            <w:tcW w:type="dxa" w:w="2268"/>
          </w:tcPr>
          <w:p>
            <w:pPr>
              <w:spacing w:after="40"/>
            </w:pPr>
            <w:r/>
            <w:r>
              <w:rPr>
                <w:sz w:val="19"/>
              </w:rPr>
              <w:t>Misuse</w:t>
            </w:r>
          </w:p>
        </w:tc>
        <w:tc>
          <w:tcPr>
            <w:tcW w:type="dxa" w:w="7087"/>
          </w:tcPr>
          <w:p>
            <w:pPr>
              <w:spacing w:after="40"/>
            </w:pPr>
            <w:r/>
            <w:r>
              <w:rPr>
                <w:sz w:val="19"/>
              </w:rPr>
              <w:t>Artists gaming ratings; customers reading rank as a quality score</w:t>
            </w:r>
          </w:p>
        </w:tc>
      </w:tr>
      <w:tr>
        <w:tc>
          <w:tcPr>
            <w:tcW w:type="dxa" w:w="2268"/>
            <w:shd w:val="clear" w:color="auto" w:fill="F5F7FA"/>
          </w:tcPr>
          <w:p>
            <w:pPr>
              <w:spacing w:after="40"/>
            </w:pPr>
            <w:r/>
            <w:r>
              <w:rPr>
                <w:sz w:val="19"/>
              </w:rPr>
              <w:t>Most affected</w:t>
            </w:r>
          </w:p>
        </w:tc>
        <w:tc>
          <w:tcPr>
            <w:tcW w:type="dxa" w:w="7087"/>
            <w:shd w:val="clear" w:color="auto" w:fill="F5F7FA"/>
          </w:tcPr>
          <w:p>
            <w:pPr>
              <w:spacing w:after="40"/>
            </w:pPr>
            <w:r/>
            <w:r>
              <w:rPr>
                <w:sz w:val="19"/>
              </w:rPr>
              <w:t>New artists and artists whose portfolio tags are not in English</w:t>
            </w:r>
          </w:p>
        </w:tc>
      </w:tr>
      <w:tr>
        <w:tc>
          <w:tcPr>
            <w:tcW w:type="dxa" w:w="2268"/>
          </w:tcPr>
          <w:p>
            <w:pPr>
              <w:spacing w:after="40"/>
            </w:pPr>
            <w:r/>
            <w:r>
              <w:rPr>
                <w:sz w:val="19"/>
              </w:rPr>
              <w:t>Main impact</w:t>
            </w:r>
          </w:p>
        </w:tc>
        <w:tc>
          <w:tcPr>
            <w:tcW w:type="dxa" w:w="7087"/>
          </w:tcPr>
          <w:p>
            <w:pPr>
              <w:spacing w:after="40"/>
            </w:pPr>
            <w:r/>
            <w:r>
              <w:rPr>
                <w:sz w:val="19"/>
              </w:rPr>
              <w:t>Unequal exposure leads to unequal income (severity 3 Moderate, likelihood 4 Likely) — RSK-AI-003</w:t>
            </w:r>
          </w:p>
        </w:tc>
      </w:tr>
      <w:tr>
        <w:tc>
          <w:tcPr>
            <w:tcW w:type="dxa" w:w="2268"/>
            <w:shd w:val="clear" w:color="auto" w:fill="F5F7FA"/>
          </w:tcPr>
          <w:p>
            <w:pPr>
              <w:spacing w:after="40"/>
            </w:pPr>
            <w:r/>
            <w:r>
              <w:rPr>
                <w:sz w:val="19"/>
              </w:rPr>
              <w:t>Transparency</w:t>
            </w:r>
          </w:p>
        </w:tc>
        <w:tc>
          <w:tcPr>
            <w:tcW w:type="dxa" w:w="7087"/>
            <w:shd w:val="clear" w:color="auto" w:fill="F5F7FA"/>
          </w:tcPr>
          <w:p>
            <w:pPr>
              <w:spacing w:after="40"/>
            </w:pPr>
            <w:r/>
            <w:r>
              <w:rPr>
                <w:sz w:val="19"/>
              </w:rPr>
              <w:t>Ranking factors were not explained to artists</w:t>
            </w:r>
          </w:p>
        </w:tc>
      </w:tr>
      <w:tr>
        <w:tc>
          <w:tcPr>
            <w:tcW w:type="dxa" w:w="2268"/>
          </w:tcPr>
          <w:p>
            <w:pPr>
              <w:spacing w:after="40"/>
            </w:pPr>
            <w:r/>
            <w:r>
              <w:rPr>
                <w:sz w:val="19"/>
              </w:rPr>
              <w:t>Mitigations</w:t>
            </w:r>
          </w:p>
        </w:tc>
        <w:tc>
          <w:tcPr>
            <w:tcW w:type="dxa" w:w="7087"/>
          </w:tcPr>
          <w:p>
            <w:pPr>
              <w:spacing w:after="40"/>
            </w:pPr>
            <w:r/>
            <w:r>
              <w:rPr>
                <w:sz w:val="19"/>
              </w:rPr>
              <w:t>Exposure-boost slot for new artists; multilingual tag normalisation; 'How ranking works' page in the Commons help centre; monthly exposure ratio ≥ 0.8 (OBJ-06) with automatic alert (OFI-2026-05)</w:t>
            </w:r>
          </w:p>
        </w:tc>
      </w:tr>
      <w:tr>
        <w:tc>
          <w:tcPr>
            <w:tcW w:type="dxa" w:w="2268"/>
            <w:shd w:val="clear" w:color="auto" w:fill="F5F7FA"/>
          </w:tcPr>
          <w:p>
            <w:pPr>
              <w:spacing w:after="40"/>
            </w:pPr>
            <w:r/>
            <w:r>
              <w:rPr>
                <w:sz w:val="19"/>
              </w:rPr>
              <w:t>Decision</w:t>
            </w:r>
          </w:p>
        </w:tc>
        <w:tc>
          <w:tcPr>
            <w:tcW w:type="dxa" w:w="7087"/>
            <w:shd w:val="clear" w:color="auto" w:fill="F5F7FA"/>
          </w:tcPr>
          <w:p>
            <w:pPr>
              <w:spacing w:after="40"/>
            </w:pPr>
            <w:r/>
            <w:r>
              <w:rPr>
                <w:sz w:val="19"/>
              </w:rPr>
              <w:t>Proceed with conditions — approved by [Head of AI], 2026-05-20; next review May 2027</w:t>
            </w:r>
          </w:p>
        </w:tc>
      </w:tr>
    </w:tbl>
    <w:p/>
    <w:p>
      <w:r>
        <w:br w:type="page"/>
      </w:r>
    </w:p>
    <w:p>
      <w:pPr>
        <w:pStyle w:val="Heading1"/>
      </w:pPr>
      <w:r>
        <w:t>11. Blank AIIA template</w:t>
      </w:r>
    </w:p>
    <w:p>
      <w:r>
        <w:rPr/>
        <w:t>Copy this section into a new document named 'AIIA-</w:t>
      </w:r>
      <w:r>
        <w:rPr>
          <w:highlight w:val="yellow"/>
        </w:rPr>
        <w:t>[YYYY-NN]</w:t>
      </w:r>
      <w:r>
        <w:rPr/>
        <w:t xml:space="preserve"> </w:t>
      </w:r>
      <w:r>
        <w:rPr>
          <w:highlight w:val="yellow"/>
        </w:rPr>
        <w:t>[system name]</w:t>
      </w:r>
      <w:r>
        <w:rPr/>
        <w:t>'.</w:t>
      </w:r>
    </w:p>
    <w:tbl>
      <w:tblPr>
        <w:tblStyle w:val="TableGrid"/>
        <w:tblW w:type="auto" w:w="0"/>
        <w:jc w:val="center"/>
        <w:tblLook w:firstColumn="1" w:firstRow="1" w:lastColumn="0" w:lastRow="0" w:noHBand="0" w:noVBand="1" w:val="04A0"/>
        <w:tblCellMar>
          <w:top w:w="85" w:type="dxa"/>
          <w:bottom w:w="85" w:type="dxa"/>
          <w:left w:w="85" w:type="dxa"/>
          <w:right w:w="85" w:type="dxa"/>
        </w:tblCellMar>
      </w:tblPr>
      <w:tblGrid>
        <w:gridCol w:w="4706"/>
        <w:gridCol w:w="4706"/>
      </w:tblGrid>
      <w:tr>
        <w:trPr>
          <w:tblHeader w:val="true"/>
        </w:trPr>
        <w:tc>
          <w:tcPr>
            <w:tcW w:type="dxa" w:w="2268"/>
            <w:shd w:val="clear" w:color="auto" w:fill="142B4C"/>
          </w:tcPr>
          <w:p>
            <w:r/>
            <w:r>
              <w:rPr>
                <w:b/>
                <w:color w:val="FFFFFF"/>
                <w:sz w:val="19"/>
              </w:rPr>
              <w:t>Section</w:t>
            </w:r>
          </w:p>
        </w:tc>
        <w:tc>
          <w:tcPr>
            <w:tcW w:type="dxa" w:w="7087"/>
            <w:shd w:val="clear" w:color="auto" w:fill="142B4C"/>
          </w:tcPr>
          <w:p>
            <w:r/>
            <w:r>
              <w:rPr>
                <w:b/>
                <w:color w:val="FFFFFF"/>
                <w:sz w:val="19"/>
              </w:rPr>
              <w:t>Fill in</w:t>
            </w:r>
          </w:p>
        </w:tc>
      </w:tr>
      <w:tr>
        <w:tc>
          <w:tcPr>
            <w:tcW w:type="dxa" w:w="2268"/>
          </w:tcPr>
          <w:p>
            <w:pPr>
              <w:spacing w:after="40"/>
            </w:pPr>
            <w:r/>
            <w:r>
              <w:rPr>
                <w:sz w:val="19"/>
              </w:rPr>
              <w:t>A. Screening</w:t>
            </w:r>
          </w:p>
        </w:tc>
        <w:tc>
          <w:tcPr>
            <w:tcW w:type="dxa" w:w="7087"/>
          </w:tcPr>
          <w:p>
            <w:pPr>
              <w:spacing w:after="40"/>
            </w:pPr>
            <w:r/>
            <w:r>
              <w:rPr>
                <w:sz w:val="19"/>
              </w:rPr>
              <w:t xml:space="preserve">AIIA ID: </w:t>
            </w:r>
            <w:r>
              <w:rPr>
                <w:sz w:val="19"/>
                <w:highlight w:val="yellow"/>
              </w:rPr>
              <w:t>[AIIA-YYYY-NN]</w:t>
            </w:r>
            <w:r>
              <w:rPr>
                <w:sz w:val="19"/>
              </w:rPr>
              <w:t xml:space="preserve"> · System: </w:t>
            </w:r>
            <w:r>
              <w:rPr>
                <w:sz w:val="19"/>
                <w:highlight w:val="yellow"/>
              </w:rPr>
              <w:t>[AI-SYS-00x name]</w:t>
            </w:r>
            <w:r>
              <w:rPr>
                <w:sz w:val="19"/>
              </w:rPr>
              <w:t xml:space="preserve"> · Trigger: </w:t>
            </w:r>
            <w:r>
              <w:rPr>
                <w:sz w:val="19"/>
                <w:highlight w:val="yellow"/>
              </w:rPr>
              <w:t>[new / change / annual / incident]</w:t>
            </w:r>
            <w:r>
              <w:rPr>
                <w:sz w:val="19"/>
              </w:rPr>
              <w:t xml:space="preserve"> · Type: </w:t>
            </w:r>
            <w:r>
              <w:rPr>
                <w:sz w:val="19"/>
                <w:highlight w:val="yellow"/>
              </w:rPr>
              <w:t>[full / update / short]</w:t>
            </w:r>
          </w:p>
        </w:tc>
      </w:tr>
      <w:tr>
        <w:tc>
          <w:tcPr>
            <w:tcW w:type="dxa" w:w="2268"/>
            <w:shd w:val="clear" w:color="auto" w:fill="F5F7FA"/>
          </w:tcPr>
          <w:p>
            <w:pPr>
              <w:spacing w:after="40"/>
            </w:pPr>
            <w:r/>
            <w:r>
              <w:rPr>
                <w:sz w:val="19"/>
              </w:rPr>
              <w:t>B. System description</w:t>
            </w:r>
          </w:p>
        </w:tc>
        <w:tc>
          <w:tcPr>
            <w:tcW w:type="dxa" w:w="7087"/>
            <w:shd w:val="clear" w:color="auto" w:fill="F5F7FA"/>
          </w:tcPr>
          <w:p>
            <w:pPr>
              <w:spacing w:after="40"/>
            </w:pPr>
            <w:r/>
            <w:r>
              <w:rPr>
                <w:sz w:val="19"/>
              </w:rPr>
              <w:t xml:space="preserve">Purpose: </w:t>
            </w:r>
            <w:r>
              <w:rPr>
                <w:sz w:val="19"/>
                <w:highlight w:val="yellow"/>
              </w:rPr>
              <w:t>[...]</w:t>
            </w:r>
            <w:r>
              <w:rPr>
                <w:sz w:val="19"/>
              </w:rPr>
              <w:t xml:space="preserve"> · Users: </w:t>
            </w:r>
            <w:r>
              <w:rPr>
                <w:sz w:val="19"/>
                <w:highlight w:val="yellow"/>
              </w:rPr>
              <w:t>[...]</w:t>
            </w:r>
            <w:r>
              <w:rPr>
                <w:sz w:val="19"/>
              </w:rPr>
              <w:t xml:space="preserve"> · Outputs: </w:t>
            </w:r>
            <w:r>
              <w:rPr>
                <w:sz w:val="19"/>
                <w:highlight w:val="yellow"/>
              </w:rPr>
              <w:t>[...]</w:t>
            </w:r>
            <w:r>
              <w:rPr>
                <w:sz w:val="19"/>
              </w:rPr>
              <w:t xml:space="preserve"> · Automation and human oversight: </w:t>
            </w:r>
            <w:r>
              <w:rPr>
                <w:sz w:val="19"/>
                <w:highlight w:val="yellow"/>
              </w:rPr>
              <w:t>[...]</w:t>
            </w:r>
            <w:r>
              <w:rPr>
                <w:sz w:val="19"/>
              </w:rPr>
              <w:t xml:space="preserve"> · Data and models used: </w:t>
            </w:r>
            <w:r>
              <w:rPr>
                <w:sz w:val="19"/>
                <w:highlight w:val="yellow"/>
              </w:rPr>
              <w:t>[...]</w:t>
            </w:r>
            <w:r>
              <w:rPr>
                <w:sz w:val="19"/>
              </w:rPr>
              <w:t xml:space="preserve"> · Our role: </w:t>
            </w:r>
            <w:r>
              <w:rPr>
                <w:sz w:val="19"/>
                <w:highlight w:val="yellow"/>
              </w:rPr>
              <w:t>[provider / producer / user]</w:t>
            </w:r>
          </w:p>
        </w:tc>
      </w:tr>
      <w:tr>
        <w:tc>
          <w:tcPr>
            <w:tcW w:type="dxa" w:w="2268"/>
          </w:tcPr>
          <w:p>
            <w:pPr>
              <w:spacing w:after="40"/>
            </w:pPr>
            <w:r/>
            <w:r>
              <w:rPr>
                <w:sz w:val="19"/>
              </w:rPr>
              <w:t>C. Intended use and misuse</w:t>
            </w:r>
          </w:p>
        </w:tc>
        <w:tc>
          <w:tcPr>
            <w:tcW w:type="dxa" w:w="7087"/>
          </w:tcPr>
          <w:p>
            <w:pPr>
              <w:spacing w:after="40"/>
            </w:pPr>
            <w:r/>
            <w:r>
              <w:rPr>
                <w:sz w:val="19"/>
              </w:rPr>
              <w:t xml:space="preserve">Intended: </w:t>
            </w:r>
            <w:r>
              <w:rPr>
                <w:sz w:val="19"/>
                <w:highlight w:val="yellow"/>
              </w:rPr>
              <w:t>[...]</w:t>
            </w:r>
            <w:r>
              <w:rPr>
                <w:sz w:val="19"/>
              </w:rPr>
              <w:t xml:space="preserve"> · Not intended: </w:t>
            </w:r>
            <w:r>
              <w:rPr>
                <w:sz w:val="19"/>
                <w:highlight w:val="yellow"/>
              </w:rPr>
              <w:t>[...]</w:t>
            </w:r>
            <w:r>
              <w:rPr>
                <w:sz w:val="19"/>
              </w:rPr>
              <w:t xml:space="preserve"> · Foreseeable misuse: </w:t>
            </w:r>
            <w:r>
              <w:rPr>
                <w:sz w:val="19"/>
                <w:highlight w:val="yellow"/>
              </w:rPr>
              <w:t>[...]</w:t>
            </w:r>
          </w:p>
        </w:tc>
      </w:tr>
      <w:tr>
        <w:tc>
          <w:tcPr>
            <w:tcW w:type="dxa" w:w="2268"/>
            <w:shd w:val="clear" w:color="auto" w:fill="F5F7FA"/>
          </w:tcPr>
          <w:p>
            <w:pPr>
              <w:spacing w:after="40"/>
            </w:pPr>
            <w:r/>
            <w:r>
              <w:rPr>
                <w:sz w:val="19"/>
              </w:rPr>
              <w:t>D. Affected people</w:t>
            </w:r>
          </w:p>
        </w:tc>
        <w:tc>
          <w:tcPr>
            <w:tcW w:type="dxa" w:w="7087"/>
            <w:shd w:val="clear" w:color="auto" w:fill="F5F7FA"/>
          </w:tcPr>
          <w:p>
            <w:pPr>
              <w:spacing w:after="40"/>
            </w:pPr>
            <w:r/>
            <w:r>
              <w:rPr>
                <w:sz w:val="19"/>
                <w:highlight w:val="yellow"/>
              </w:rPr>
              <w:t>[group]</w:t>
            </w:r>
            <w:r>
              <w:rPr>
                <w:sz w:val="19"/>
              </w:rPr>
              <w:t xml:space="preserve"> — </w:t>
            </w:r>
            <w:r>
              <w:rPr>
                <w:sz w:val="19"/>
                <w:highlight w:val="yellow"/>
              </w:rPr>
              <w:t>[how affected]</w:t>
            </w:r>
            <w:r>
              <w:rPr>
                <w:sz w:val="19"/>
              </w:rPr>
              <w:t xml:space="preserve"> · Vulnerable groups: </w:t>
            </w:r>
            <w:r>
              <w:rPr>
                <w:sz w:val="19"/>
                <w:highlight w:val="yellow"/>
              </w:rPr>
              <w:t>[...]</w:t>
            </w:r>
          </w:p>
        </w:tc>
      </w:tr>
      <w:tr>
        <w:tc>
          <w:tcPr>
            <w:tcW w:type="dxa" w:w="2268"/>
          </w:tcPr>
          <w:p>
            <w:pPr>
              <w:spacing w:after="40"/>
            </w:pPr>
            <w:r/>
            <w:r>
              <w:rPr>
                <w:sz w:val="19"/>
              </w:rPr>
              <w:t>E. Consultation</w:t>
            </w:r>
          </w:p>
        </w:tc>
        <w:tc>
          <w:tcPr>
            <w:tcW w:type="dxa" w:w="7087"/>
          </w:tcPr>
          <w:p>
            <w:pPr>
              <w:spacing w:after="40"/>
            </w:pPr>
            <w:r/>
            <w:r>
              <w:rPr>
                <w:sz w:val="19"/>
              </w:rPr>
              <w:t xml:space="preserve">Who: </w:t>
            </w:r>
            <w:r>
              <w:rPr>
                <w:sz w:val="19"/>
                <w:highlight w:val="yellow"/>
              </w:rPr>
              <w:t>[...]</w:t>
            </w:r>
            <w:r>
              <w:rPr>
                <w:sz w:val="19"/>
              </w:rPr>
              <w:t xml:space="preserve"> · When: </w:t>
            </w:r>
            <w:r>
              <w:rPr>
                <w:sz w:val="19"/>
                <w:highlight w:val="yellow"/>
              </w:rPr>
              <w:t>[date]</w:t>
            </w:r>
            <w:r>
              <w:rPr>
                <w:sz w:val="19"/>
              </w:rPr>
              <w:t xml:space="preserve"> · What they said and what we changed: </w:t>
            </w:r>
            <w:r>
              <w:rPr>
                <w:sz w:val="19"/>
                <w:highlight w:val="yellow"/>
              </w:rPr>
              <w:t>[...]</w:t>
            </w:r>
          </w:p>
        </w:tc>
      </w:tr>
      <w:tr>
        <w:tc>
          <w:tcPr>
            <w:tcW w:type="dxa" w:w="2268"/>
            <w:shd w:val="clear" w:color="auto" w:fill="F5F7FA"/>
          </w:tcPr>
          <w:p>
            <w:pPr>
              <w:spacing w:after="40"/>
            </w:pPr>
            <w:r/>
            <w:r>
              <w:rPr>
                <w:sz w:val="19"/>
              </w:rPr>
              <w:t>F. Impacts</w:t>
            </w:r>
          </w:p>
        </w:tc>
        <w:tc>
          <w:tcPr>
            <w:tcW w:type="dxa" w:w="7087"/>
            <w:shd w:val="clear" w:color="auto" w:fill="F5F7FA"/>
          </w:tcPr>
          <w:p>
            <w:pPr>
              <w:spacing w:after="40"/>
            </w:pPr>
            <w:r/>
            <w:r>
              <w:rPr>
                <w:sz w:val="19"/>
              </w:rPr>
              <w:t xml:space="preserve">For each: </w:t>
            </w:r>
            <w:r>
              <w:rPr>
                <w:sz w:val="19"/>
                <w:highlight w:val="yellow"/>
              </w:rPr>
              <w:t>[impact]</w:t>
            </w:r>
            <w:r>
              <w:rPr>
                <w:sz w:val="19"/>
              </w:rPr>
              <w:t xml:space="preserve"> · Severity </w:t>
            </w:r>
            <w:r>
              <w:rPr>
                <w:sz w:val="19"/>
                <w:highlight w:val="yellow"/>
              </w:rPr>
              <w:t>[1–5]</w:t>
            </w:r>
            <w:r>
              <w:rPr>
                <w:sz w:val="19"/>
              </w:rPr>
              <w:t xml:space="preserve"> · Likelihood </w:t>
            </w:r>
            <w:r>
              <w:rPr>
                <w:sz w:val="19"/>
                <w:highlight w:val="yellow"/>
              </w:rPr>
              <w:t>[1–5]</w:t>
            </w:r>
            <w:r>
              <w:rPr>
                <w:sz w:val="19"/>
              </w:rPr>
              <w:t xml:space="preserve"> · Mitigation </w:t>
            </w:r>
            <w:r>
              <w:rPr>
                <w:sz w:val="19"/>
                <w:highlight w:val="yellow"/>
              </w:rPr>
              <w:t>[...]</w:t>
            </w:r>
            <w:r>
              <w:rPr>
                <w:sz w:val="19"/>
              </w:rPr>
              <w:t xml:space="preserve"> · Owner </w:t>
            </w:r>
            <w:r>
              <w:rPr>
                <w:sz w:val="19"/>
                <w:highlight w:val="yellow"/>
              </w:rPr>
              <w:t>[...]</w:t>
            </w:r>
            <w:r>
              <w:rPr>
                <w:sz w:val="19"/>
              </w:rPr>
              <w:t xml:space="preserve"> · Risk ID </w:t>
            </w:r>
            <w:r>
              <w:rPr>
                <w:sz w:val="19"/>
                <w:highlight w:val="yellow"/>
              </w:rPr>
              <w:t>[RSK-AI-0xx]</w:t>
            </w:r>
          </w:p>
        </w:tc>
      </w:tr>
      <w:tr>
        <w:tc>
          <w:tcPr>
            <w:tcW w:type="dxa" w:w="2268"/>
          </w:tcPr>
          <w:p>
            <w:pPr>
              <w:spacing w:after="40"/>
            </w:pPr>
            <w:r/>
            <w:r>
              <w:rPr>
                <w:sz w:val="19"/>
              </w:rPr>
              <w:t>G. Positive impacts</w:t>
            </w:r>
          </w:p>
        </w:tc>
        <w:tc>
          <w:tcPr>
            <w:tcW w:type="dxa" w:w="7087"/>
          </w:tcPr>
          <w:p>
            <w:pPr>
              <w:spacing w:after="40"/>
            </w:pPr>
            <w:r/>
            <w:r>
              <w:rPr>
                <w:sz w:val="19"/>
                <w:highlight w:val="yellow"/>
              </w:rPr>
              <w:t>[...]</w:t>
            </w:r>
          </w:p>
        </w:tc>
      </w:tr>
      <w:tr>
        <w:tc>
          <w:tcPr>
            <w:tcW w:type="dxa" w:w="2268"/>
            <w:shd w:val="clear" w:color="auto" w:fill="F5F7FA"/>
          </w:tcPr>
          <w:p>
            <w:pPr>
              <w:spacing w:after="40"/>
            </w:pPr>
            <w:r/>
            <w:r>
              <w:rPr>
                <w:sz w:val="19"/>
              </w:rPr>
              <w:t>H. Monitoring after release</w:t>
            </w:r>
          </w:p>
        </w:tc>
        <w:tc>
          <w:tcPr>
            <w:tcW w:type="dxa" w:w="7087"/>
            <w:shd w:val="clear" w:color="auto" w:fill="F5F7FA"/>
          </w:tcPr>
          <w:p>
            <w:pPr>
              <w:spacing w:after="40"/>
            </w:pPr>
            <w:r/>
            <w:r>
              <w:rPr>
                <w:sz w:val="19"/>
              </w:rPr>
              <w:t xml:space="preserve">Metric: </w:t>
            </w:r>
            <w:r>
              <w:rPr>
                <w:sz w:val="19"/>
                <w:highlight w:val="yellow"/>
              </w:rPr>
              <w:t>[...]</w:t>
            </w:r>
            <w:r>
              <w:rPr>
                <w:sz w:val="19"/>
              </w:rPr>
              <w:t xml:space="preserve"> · Threshold: </w:t>
            </w:r>
            <w:r>
              <w:rPr>
                <w:sz w:val="19"/>
                <w:highlight w:val="yellow"/>
              </w:rPr>
              <w:t>[...]</w:t>
            </w:r>
            <w:r>
              <w:rPr>
                <w:sz w:val="19"/>
              </w:rPr>
              <w:t xml:space="preserve"> · Owner: </w:t>
            </w:r>
            <w:r>
              <w:rPr>
                <w:sz w:val="19"/>
                <w:highlight w:val="yellow"/>
              </w:rPr>
              <w:t>[...]</w:t>
            </w:r>
          </w:p>
        </w:tc>
      </w:tr>
      <w:tr>
        <w:tc>
          <w:tcPr>
            <w:tcW w:type="dxa" w:w="2268"/>
          </w:tcPr>
          <w:p>
            <w:pPr>
              <w:spacing w:after="40"/>
            </w:pPr>
            <w:r/>
            <w:r>
              <w:rPr>
                <w:sz w:val="19"/>
              </w:rPr>
              <w:t>I. Conclusion</w:t>
            </w:r>
          </w:p>
        </w:tc>
        <w:tc>
          <w:tcPr>
            <w:tcW w:type="dxa" w:w="7087"/>
          </w:tcPr>
          <w:p>
            <w:pPr>
              <w:spacing w:after="40"/>
            </w:pPr>
            <w:r/>
            <w:r>
              <w:rPr>
                <w:sz w:val="19"/>
                <w:highlight w:val="yellow"/>
              </w:rPr>
              <w:t>[Proceed / Proceed with conditions / Redesign / Stop]</w:t>
            </w:r>
            <w:r>
              <w:rPr>
                <w:sz w:val="19"/>
              </w:rPr>
              <w:t xml:space="preserve"> · Conditions: </w:t>
            </w:r>
            <w:r>
              <w:rPr>
                <w:sz w:val="19"/>
                <w:highlight w:val="yellow"/>
              </w:rPr>
              <w:t>[...]</w:t>
            </w:r>
          </w:p>
        </w:tc>
      </w:tr>
      <w:tr>
        <w:tc>
          <w:tcPr>
            <w:tcW w:type="dxa" w:w="2268"/>
            <w:shd w:val="clear" w:color="auto" w:fill="F5F7FA"/>
          </w:tcPr>
          <w:p>
            <w:pPr>
              <w:spacing w:after="40"/>
            </w:pPr>
            <w:r/>
            <w:r>
              <w:rPr>
                <w:sz w:val="19"/>
              </w:rPr>
              <w:t>J. Approval</w:t>
            </w:r>
          </w:p>
        </w:tc>
        <w:tc>
          <w:tcPr>
            <w:tcW w:type="dxa" w:w="7087"/>
            <w:shd w:val="clear" w:color="auto" w:fill="F5F7FA"/>
          </w:tcPr>
          <w:p>
            <w:pPr>
              <w:spacing w:after="40"/>
            </w:pPr>
            <w:r/>
            <w:r>
              <w:rPr>
                <w:sz w:val="19"/>
              </w:rPr>
              <w:t xml:space="preserve">Head of AI: </w:t>
            </w:r>
            <w:r>
              <w:rPr>
                <w:sz w:val="19"/>
                <w:highlight w:val="yellow"/>
              </w:rPr>
              <w:t>[name, date]</w:t>
            </w:r>
            <w:r>
              <w:rPr>
                <w:sz w:val="19"/>
              </w:rPr>
              <w:t xml:space="preserve"> · Release Review decision: </w:t>
            </w:r>
            <w:r>
              <w:rPr>
                <w:sz w:val="19"/>
                <w:highlight w:val="yellow"/>
              </w:rPr>
              <w:t>[ref, date]</w:t>
            </w:r>
            <w:r>
              <w:rPr>
                <w:sz w:val="19"/>
              </w:rPr>
              <w:t xml:space="preserve"> · Next review: </w:t>
            </w:r>
            <w:r>
              <w:rPr>
                <w:sz w:val="19"/>
                <w:highlight w:val="yellow"/>
              </w:rPr>
              <w:t>[date]</w:t>
            </w:r>
          </w:p>
        </w:tc>
      </w:tr>
    </w:tbl>
    <w:p/>
    <w:p>
      <w:r>
        <w:rPr/>
        <w:t>Scales for severity and likelihood:</w:t>
      </w:r>
    </w:p>
    <w:tbl>
      <w:tblPr>
        <w:tblStyle w:val="TableGrid"/>
        <w:tblW w:type="auto" w:w="0"/>
        <w:jc w:val="center"/>
        <w:tblLook w:firstColumn="1" w:firstRow="1" w:lastColumn="0" w:lastRow="0" w:noHBand="0" w:noVBand="1" w:val="04A0"/>
        <w:tblCellMar>
          <w:top w:w="85" w:type="dxa"/>
          <w:bottom w:w="85" w:type="dxa"/>
          <w:left w:w="85" w:type="dxa"/>
          <w:right w:w="85" w:type="dxa"/>
        </w:tblCellMar>
      </w:tblPr>
      <w:tblGrid>
        <w:gridCol w:w="3137"/>
        <w:gridCol w:w="3137"/>
        <w:gridCol w:w="3137"/>
      </w:tblGrid>
      <w:tr>
        <w:trPr>
          <w:tblHeader w:val="true"/>
        </w:trPr>
        <w:tc>
          <w:tcPr>
            <w:tcW w:type="dxa" w:w="850"/>
            <w:shd w:val="clear" w:color="auto" w:fill="142B4C"/>
          </w:tcPr>
          <w:p>
            <w:r/>
            <w:r>
              <w:rPr>
                <w:b/>
                <w:color w:val="FFFFFF"/>
                <w:sz w:val="19"/>
              </w:rPr>
              <w:t>Score</w:t>
            </w:r>
          </w:p>
        </w:tc>
        <w:tc>
          <w:tcPr>
            <w:tcW w:type="dxa" w:w="5102"/>
            <w:shd w:val="clear" w:color="auto" w:fill="142B4C"/>
          </w:tcPr>
          <w:p>
            <w:r/>
            <w:r>
              <w:rPr>
                <w:b/>
                <w:color w:val="FFFFFF"/>
                <w:sz w:val="19"/>
              </w:rPr>
              <w:t>Severity (impact)</w:t>
            </w:r>
          </w:p>
        </w:tc>
        <w:tc>
          <w:tcPr>
            <w:tcW w:type="dxa" w:w="3402"/>
            <w:shd w:val="clear" w:color="auto" w:fill="142B4C"/>
          </w:tcPr>
          <w:p>
            <w:r/>
            <w:r>
              <w:rPr>
                <w:b/>
                <w:color w:val="FFFFFF"/>
                <w:sz w:val="19"/>
              </w:rPr>
              <w:t>Likelihood</w:t>
            </w:r>
          </w:p>
        </w:tc>
      </w:tr>
      <w:tr>
        <w:tc>
          <w:tcPr>
            <w:tcW w:type="dxa" w:w="850"/>
          </w:tcPr>
          <w:p>
            <w:pPr>
              <w:spacing w:after="40"/>
            </w:pPr>
            <w:r/>
            <w:r>
              <w:rPr>
                <w:sz w:val="19"/>
              </w:rPr>
              <w:t>1</w:t>
            </w:r>
          </w:p>
        </w:tc>
        <w:tc>
          <w:tcPr>
            <w:tcW w:type="dxa" w:w="5102"/>
          </w:tcPr>
          <w:p>
            <w:pPr>
              <w:spacing w:after="40"/>
            </w:pPr>
            <w:r/>
            <w:r>
              <w:rPr>
                <w:sz w:val="19"/>
              </w:rPr>
              <w:t>Negligible — No harm to people; cost &lt; USD 5k; nobody outside notices</w:t>
            </w:r>
          </w:p>
        </w:tc>
        <w:tc>
          <w:tcPr>
            <w:tcW w:type="dxa" w:w="3402"/>
          </w:tcPr>
          <w:p>
            <w:pPr>
              <w:spacing w:after="40"/>
            </w:pPr>
            <w:r/>
            <w:r>
              <w:rPr>
                <w:sz w:val="19"/>
              </w:rPr>
              <w:t>Rare — Not expected in the next 3 years</w:t>
            </w:r>
          </w:p>
        </w:tc>
      </w:tr>
      <w:tr>
        <w:tc>
          <w:tcPr>
            <w:tcW w:type="dxa" w:w="850"/>
            <w:shd w:val="clear" w:color="auto" w:fill="F5F7FA"/>
          </w:tcPr>
          <w:p>
            <w:pPr>
              <w:spacing w:after="40"/>
            </w:pPr>
            <w:r/>
            <w:r>
              <w:rPr>
                <w:sz w:val="19"/>
              </w:rPr>
              <w:t>2</w:t>
            </w:r>
          </w:p>
        </w:tc>
        <w:tc>
          <w:tcPr>
            <w:tcW w:type="dxa" w:w="5102"/>
            <w:shd w:val="clear" w:color="auto" w:fill="F5F7FA"/>
          </w:tcPr>
          <w:p>
            <w:pPr>
              <w:spacing w:after="40"/>
            </w:pPr>
            <w:r/>
            <w:r>
              <w:rPr>
                <w:sz w:val="19"/>
              </w:rPr>
              <w:t>Minor — Short inconvenience for a few users or artists; &lt; USD 25k; one customer complaint</w:t>
            </w:r>
          </w:p>
        </w:tc>
        <w:tc>
          <w:tcPr>
            <w:tcW w:type="dxa" w:w="3402"/>
            <w:shd w:val="clear" w:color="auto" w:fill="F5F7FA"/>
          </w:tcPr>
          <w:p>
            <w:pPr>
              <w:spacing w:after="40"/>
            </w:pPr>
            <w:r/>
            <w:r>
              <w:rPr>
                <w:sz w:val="19"/>
              </w:rPr>
              <w:t>Unlikely — Could happen once in 2–3 years</w:t>
            </w:r>
          </w:p>
        </w:tc>
      </w:tr>
      <w:tr>
        <w:tc>
          <w:tcPr>
            <w:tcW w:type="dxa" w:w="850"/>
          </w:tcPr>
          <w:p>
            <w:pPr>
              <w:spacing w:after="40"/>
            </w:pPr>
            <w:r/>
            <w:r>
              <w:rPr>
                <w:sz w:val="19"/>
              </w:rPr>
              <w:t>3</w:t>
            </w:r>
          </w:p>
        </w:tc>
        <w:tc>
          <w:tcPr>
            <w:tcW w:type="dxa" w:w="5102"/>
          </w:tcPr>
          <w:p>
            <w:pPr>
              <w:spacing w:after="40"/>
            </w:pPr>
            <w:r/>
            <w:r>
              <w:rPr>
                <w:sz w:val="19"/>
              </w:rPr>
              <w:t>Moderate — Noticeable harm, unfair outcome or data exposure for a limited group; &lt; USD 100k; a customer escalates or a regulator asks questions</w:t>
            </w:r>
          </w:p>
        </w:tc>
        <w:tc>
          <w:tcPr>
            <w:tcW w:type="dxa" w:w="3402"/>
          </w:tcPr>
          <w:p>
            <w:pPr>
              <w:spacing w:after="40"/>
            </w:pPr>
            <w:r/>
            <w:r>
              <w:rPr>
                <w:sz w:val="19"/>
              </w:rPr>
              <w:t>Possible — Could happen about once a year</w:t>
            </w:r>
          </w:p>
        </w:tc>
      </w:tr>
      <w:tr>
        <w:tc>
          <w:tcPr>
            <w:tcW w:type="dxa" w:w="850"/>
            <w:shd w:val="clear" w:color="auto" w:fill="F5F7FA"/>
          </w:tcPr>
          <w:p>
            <w:pPr>
              <w:spacing w:after="40"/>
            </w:pPr>
            <w:r/>
            <w:r>
              <w:rPr>
                <w:sz w:val="19"/>
              </w:rPr>
              <w:t>4</w:t>
            </w:r>
          </w:p>
        </w:tc>
        <w:tc>
          <w:tcPr>
            <w:tcW w:type="dxa" w:w="5102"/>
            <w:shd w:val="clear" w:color="auto" w:fill="F5F7FA"/>
          </w:tcPr>
          <w:p>
            <w:pPr>
              <w:spacing w:after="40"/>
            </w:pPr>
            <w:r/>
            <w:r>
              <w:rPr>
                <w:sz w:val="19"/>
              </w:rPr>
              <w:t>Major — Serious harm to people or rights, notifiable data breach, IP infringement claim; &lt; USD 500k; loss of a key customer</w:t>
            </w:r>
          </w:p>
        </w:tc>
        <w:tc>
          <w:tcPr>
            <w:tcW w:type="dxa" w:w="3402"/>
            <w:shd w:val="clear" w:color="auto" w:fill="F5F7FA"/>
          </w:tcPr>
          <w:p>
            <w:pPr>
              <w:spacing w:after="40"/>
            </w:pPr>
            <w:r/>
            <w:r>
              <w:rPr>
                <w:sz w:val="19"/>
              </w:rPr>
              <w:t>Likely — Expected several times a year</w:t>
            </w:r>
          </w:p>
        </w:tc>
      </w:tr>
      <w:tr>
        <w:tc>
          <w:tcPr>
            <w:tcW w:type="dxa" w:w="850"/>
          </w:tcPr>
          <w:p>
            <w:pPr>
              <w:spacing w:after="40"/>
            </w:pPr>
            <w:r/>
            <w:r>
              <w:rPr>
                <w:sz w:val="19"/>
              </w:rPr>
              <w:t>5</w:t>
            </w:r>
          </w:p>
        </w:tc>
        <w:tc>
          <w:tcPr>
            <w:tcW w:type="dxa" w:w="5102"/>
          </w:tcPr>
          <w:p>
            <w:pPr>
              <w:spacing w:after="40"/>
            </w:pPr>
            <w:r/>
            <w:r>
              <w:rPr>
                <w:sz w:val="19"/>
              </w:rPr>
              <w:t>Severe — Harm to a vulnerable person, widespread unfair or deceptive outcomes, or &gt; USD 500k; threatens the company's survival or market access</w:t>
            </w:r>
          </w:p>
        </w:tc>
        <w:tc>
          <w:tcPr>
            <w:tcW w:type="dxa" w:w="3402"/>
          </w:tcPr>
          <w:p>
            <w:pPr>
              <w:spacing w:after="40"/>
            </w:pPr>
            <w:r/>
            <w:r>
              <w:rPr>
                <w:sz w:val="19"/>
              </w:rPr>
              <w:t>Almost certain — Expected monthly or already happening</w:t>
            </w:r>
          </w:p>
        </w:tc>
      </w:tr>
    </w:tbl>
    <w:p/>
    <w:p>
      <w:pPr>
        <w:pStyle w:val="Heading1"/>
      </w:pPr>
      <w:r>
        <w:t>12. Related documents</w:t>
      </w:r>
    </w:p>
    <w:p>
      <w:pPr>
        <w:pStyle w:val="ListBullet"/>
        <w:spacing w:after="60"/>
      </w:pPr>
      <w:r>
        <w:rPr/>
        <w:t>IMS-PRO-001 Risk Management Methodology (Information Security and AI)</w:t>
      </w:r>
    </w:p>
    <w:p>
      <w:pPr>
        <w:pStyle w:val="ListBullet"/>
        <w:spacing w:after="60"/>
      </w:pPr>
      <w:r>
        <w:rPr/>
        <w:t>IMS-REG-002 Integrated Risk Register and Treatment Plan</w:t>
      </w:r>
    </w:p>
    <w:p>
      <w:pPr>
        <w:pStyle w:val="ListBullet"/>
        <w:spacing w:after="60"/>
      </w:pPr>
      <w:r>
        <w:rPr/>
        <w:t>IMS-SOA-002 Statement of Applicability — ISO/IEC 42001:2023 Annex A</w:t>
      </w:r>
    </w:p>
    <w:p>
      <w:pPr>
        <w:pStyle w:val="ListBullet"/>
        <w:spacing w:after="60"/>
      </w:pPr>
      <w:r>
        <w:rPr/>
        <w:t>IMS-POL-002 Secure and Responsible Development Lifecycle Policy (AppSec + AI)</w:t>
      </w:r>
    </w:p>
    <w:p>
      <w:pPr>
        <w:pStyle w:val="ListBullet"/>
        <w:spacing w:after="60"/>
      </w:pPr>
      <w:r>
        <w:rPr/>
        <w:t>IMS-POL-003 Data Governance and Privacy Policy for AI</w:t>
      </w:r>
    </w:p>
    <w:p>
      <w:pPr>
        <w:pStyle w:val="ListBullet"/>
        <w:spacing w:after="60"/>
      </w:pPr>
      <w:r>
        <w:rPr/>
        <w:t>IMS-REG-003 Objectives, Metrics and Monitoring Plan</w:t>
      </w:r>
    </w:p>
    <w:p>
      <w:pPr>
        <w:pStyle w:val="ListBullet"/>
        <w:spacing w:after="60"/>
      </w:pPr>
      <w:r>
        <w:rPr/>
        <w:t>IMS-REG-005 Asset and AI System Inventory</w:t>
      </w:r>
    </w:p>
    <w:p>
      <w:pPr>
        <w:pStyle w:val="ListBullet"/>
        <w:spacing w:after="60"/>
      </w:pPr>
      <w:r>
        <w:rPr/>
        <w:t>IMS-PRO-005 Incident Management Procedure (Security and AI Incidents)</w:t>
      </w:r>
    </w:p>
    <w:sectPr w:rsidR="00FC693F" w:rsidRPr="0006063C" w:rsidSect="00034616">
      <w:headerReference w:type="default" r:id="rId9"/>
      <w:footerReference w:type="default" r:id="rId10"/>
      <w:pgSz w:w="11906" w:h="16838"/>
      <w:pgMar w:top="1247"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95959"/>
        <w:sz w:val="16"/>
      </w:rPr>
      <w:t xml:space="preserve">IMS-PRO-002 · v2.0 · Classification: Internal · Uncontrolled when printed · Page </w:t>
    </w:r>
    <w:r>
      <w:rPr>
        <w:sz w:val="16"/>
      </w:rPr>
      <w:fldChar w:fldCharType="begin"/>
      <w:instrText xml:space="preserve"> PAGE </w:instrText>
      <w:fldChar w:fldCharType="separate"/>
      <w:t>1</w:t>
      <w:fldChar w:fldCharType="end"/>
    </w:r>
    <w:r>
      <w:rPr>
        <w:color w:val="595959"/>
        <w:sz w:val="16"/>
      </w:rPr>
      <w:t xml:space="preserve"> of </w:t>
    </w:r>
    <w:r>
      <w:rPr>
        <w:sz w:val="16"/>
      </w:rPr>
      <w:fldChar w:fldCharType="begin"/>
      <w:instrText xml:space="preserve"> NUMPAGES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95959"/>
        <w:sz w:val="17"/>
      </w:rPr>
      <w:t>Quillfen Studio  ·  TWYNTRUST Integrated Management System</w:t>
    </w:r>
    <w:r>
      <w:tab/>
      <w:tab/>
    </w:r>
    <w:r>
      <w:rPr>
        <w:b/>
        <w:color w:val="595959"/>
        <w:sz w:val="17"/>
      </w:rPr>
      <w:t>IMS-PRO-002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8">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Calibri" w:hAnsi="Calibri"/>
      <w:b/>
      <w:bCs/>
      <w:color w:val="142B4C"/>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Calibri" w:hAnsi="Calibri"/>
      <w:b/>
      <w:bCs/>
      <w:color w:val="0F766E"/>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Calibri" w:hAnsi="Calibri"/>
      <w:b/>
      <w:bCs/>
      <w:color w:val="142B4C"/>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Calibri" w:hAnsi="Calibri"/>
      <w:b/>
      <w:color w:val="142B4C"/>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System Impact Assessment Procedure and Worked Example</dc:title>
  <dc:subject>TWYNTRUST Framework — one integrated management system for ISO/IEC 27001:2022 and ISO/IEC 42001:2023</dc:subject>
  <dc:creator>Prof. Dr. Mohamed Fawzi Elgendi (Fawzooz)</dc:creator>
  <cp:keywords/>
  <dc:description>generated by python-docx</dc:description>
  <cp:lastModifiedBy>Prof. Dr. Mohamed Fawzi Elgendi (Fawzooz)</cp:lastModifiedBy>
  <cp:revision>1</cp:revision>
  <dcterms:created xsi:type="dcterms:W3CDTF">2013-12-23T23:15:00Z</dcterms:created>
  <dcterms:modified xsi:type="dcterms:W3CDTF">2013-12-23T23:15:00Z</dcterms:modified>
  <cp:category/>
</cp:coreProperties>
</file>