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Documented Information Control Procedure</w:t>
      </w:r>
    </w:p>
    <w:p>
      <w:r>
        <w:rPr>
          <w:color w:val="595959"/>
          <w:sz w:val="23"/>
        </w:rPr>
        <w:t>How Quillfen Studio creates, approves, publishes, protects, keeps and retires the documents and records of its integrated management system — including the technical documentation and event logs that every AI system needs.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IMS-PRO-004</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[Compliance Coordinator]</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03 Equip - Support</w:t>
            </w:r>
          </w:p>
        </w:tc>
      </w:tr>
      <w:tr>
        <w:tc>
          <w:tcPr>
            <w:tcW w:type="dxa" w:w="2835"/>
            <w:shd w:val="clear" w:color="auto" w:fill="EEF2F7"/>
          </w:tcPr>
          <w:p>
            <w:r/>
            <w:r>
              <w:rPr>
                <w:b/>
                <w:sz w:val="19"/>
              </w:rPr>
              <w:t>ISO/IEC 27001:2022</w:t>
            </w:r>
          </w:p>
        </w:tc>
        <w:tc>
          <w:tcPr>
            <w:tcW w:type="dxa" w:w="6520"/>
          </w:tcPr>
          <w:p>
            <w:r/>
            <w:r>
              <w:rPr>
                <w:sz w:val="19"/>
              </w:rPr>
              <w:t>7.5.1, 7.5.2, 7.5.3; Annex A 5.12, 5.13, 5.33, 5.37</w:t>
            </w:r>
          </w:p>
        </w:tc>
      </w:tr>
      <w:tr>
        <w:tc>
          <w:tcPr>
            <w:tcW w:type="dxa" w:w="2835"/>
            <w:shd w:val="clear" w:color="auto" w:fill="EEF2F7"/>
          </w:tcPr>
          <w:p>
            <w:r/>
            <w:r>
              <w:rPr>
                <w:b/>
                <w:sz w:val="19"/>
              </w:rPr>
              <w:t>ISO/IEC 42001:2023</w:t>
            </w:r>
          </w:p>
        </w:tc>
        <w:tc>
          <w:tcPr>
            <w:tcW w:type="dxa" w:w="6520"/>
          </w:tcPr>
          <w:p>
            <w:r/>
            <w:r>
              <w:rPr>
                <w:sz w:val="19"/>
              </w:rPr>
              <w:t>7.5.1, 7.5.2, 7.5.3; Annex A.6.2.3, A.6.2.7, A.6.2.8, A.7.5</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Choose your tools first (where documents live, where records live), then write this procedure around them. A procedure that describes a tool you do not use fails at the first audit question.</w:t>
            </w:r>
          </w:p>
          <w:p>
            <w:pPr>
              <w:spacing w:after="60"/>
            </w:pPr>
            <w:r>
              <w:rPr>
                <w:sz w:val="20"/>
              </w:rPr>
              <w:t>•  The retention table in section 9 is a starting point. Check every period against your own laws and contracts with your legal adviser.</w:t>
            </w:r>
          </w:p>
        </w:tc>
      </w:tr>
    </w:tbl>
    <w:p/>
    <w:p>
      <w:r>
        <w:br w:type="page"/>
      </w:r>
    </w:p>
    <w:p>
      <w:pPr>
        <w:pStyle w:val="Heading1"/>
      </w:pPr>
      <w:r>
        <w:t>1. Purpose</w:t>
      </w:r>
    </w:p>
    <w:p>
      <w:r>
        <w:rPr/>
        <w:t xml:space="preserve">Documented information is the management system's memory. </w:t>
      </w:r>
      <w:r>
        <w:rPr>
          <w:b/>
        </w:rPr>
        <w:t>Documents</w:t>
      </w:r>
      <w:r>
        <w:rPr/>
        <w:t xml:space="preserve"> tell people what to do (policies, procedures, templates) and change over time. </w:t>
      </w:r>
      <w:r>
        <w:rPr>
          <w:b/>
        </w:rPr>
        <w:t>Records</w:t>
      </w:r>
      <w:r>
        <w:rPr/>
        <w:t xml:space="preserve"> prove what was done (a completed risk assessment, an audit report, a training completion) and must not be changed afterwards.</w:t>
      </w:r>
    </w:p>
    <w:p>
      <w:r>
        <w:rPr/>
        <w:t>This procedure makes sure that at Quillfen Studio: people always use the current version; documents are reviewed and approved by the right person; sensitive documents are protected; records are kept long enough to prove what happened — and no longer; and every AI system has the documentation and logs needed to explain, audit and fix it.</w:t>
      </w:r>
    </w:p>
    <w:p>
      <w:pPr>
        <w:pStyle w:val="Heading1"/>
      </w:pPr>
      <w:r>
        <w:t>2. Scope</w:t>
      </w:r>
    </w:p>
    <w:p>
      <w:r>
        <w:rPr/>
        <w:t>All documented information required by ISO/IEC 27001 and ISO/IEC 42001 or that we decided is needed for the system to work: the documents listed in the master document register in IMS-WBK-001 Starter Workbook — Gap Assessment, Roadmap, Crosswalk and Document Register, the records they produce, AI system technical documentation and logs, and external documents we rely on (standards, laws, supplier documentation).</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require the documented information they name, plus whatever else you decide is needed to run the system effectively. The size of your documentation can match the size of your company.</w:t>
            </w:r>
          </w:p>
          <w:p>
            <w:pPr>
              <w:spacing w:after="60"/>
            </w:pPr>
            <w:r>
              <w:rPr>
                <w:sz w:val="20"/>
              </w:rPr>
              <w:t>•  When creating or updating documents you need proper identification (title, date, author or reference number), a suitable format, and review and approval (Clause 7.5.2).</w:t>
            </w:r>
          </w:p>
          <w:p>
            <w:pPr>
              <w:spacing w:after="60"/>
            </w:pPr>
            <w:r>
              <w:rPr>
                <w:sz w:val="20"/>
              </w:rPr>
              <w:t>•  Documents must be available where needed and adequately protected. You must control distribution, access, storage, changes (version control), retention and disposal, including external documents (Clause 7.5.3).</w:t>
            </w:r>
          </w:p>
          <w:p>
            <w:pPr>
              <w:spacing w:after="60"/>
            </w:pPr>
            <w:r>
              <w:rPr>
                <w:sz w:val="20"/>
              </w:rPr>
              <w:t>•  ISO/IEC 42001 adds AI-specific documentation: records of design and development, technical documentation for each AI system suitable for the people who need it, and deciding when event logs are recorded (A.6.2.3, A.6.2.7, A.6.2.8), plus data provenance records (A.7.5).</w:t>
            </w:r>
          </w:p>
        </w:tc>
      </w:tr>
    </w:tbl>
    <w:p/>
    <w:p>
      <w:pPr>
        <w:pStyle w:val="Heading1"/>
      </w:pPr>
      <w:r>
        <w:t>3. Roles and responsibilities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402"/>
            <w:shd w:val="clear" w:color="auto" w:fill="142B4C"/>
          </w:tcPr>
          <w:p>
            <w:r/>
            <w:r>
              <w:rPr>
                <w:b/>
                <w:color w:val="FFFFFF"/>
                <w:sz w:val="19"/>
              </w:rPr>
              <w:t>Who</w:t>
            </w:r>
          </w:p>
        </w:tc>
        <w:tc>
          <w:tcPr>
            <w:tcW w:type="dxa" w:w="5953"/>
            <w:shd w:val="clear" w:color="auto" w:fill="142B4C"/>
          </w:tcPr>
          <w:p>
            <w:r/>
            <w:r>
              <w:rPr>
                <w:b/>
                <w:color w:val="FFFFFF"/>
                <w:sz w:val="19"/>
              </w:rPr>
              <w:t>Responsibility</w:t>
            </w:r>
          </w:p>
        </w:tc>
      </w:tr>
      <w:tr>
        <w:tc>
          <w:tcPr>
            <w:tcW w:type="dxa" w:w="3402"/>
          </w:tcPr>
          <w:p>
            <w:pPr>
              <w:spacing w:after="40"/>
            </w:pPr>
            <w:r/>
            <w:r>
              <w:rPr>
                <w:sz w:val="19"/>
              </w:rPr>
              <w:t>[Compliance Coordinator]</w:t>
            </w:r>
          </w:p>
        </w:tc>
        <w:tc>
          <w:tcPr>
            <w:tcW w:type="dxa" w:w="5953"/>
          </w:tcPr>
          <w:p>
            <w:pPr>
              <w:spacing w:after="40"/>
            </w:pPr>
            <w:r/>
            <w:r>
              <w:rPr>
                <w:sz w:val="19"/>
              </w:rPr>
              <w:t>Owns this procedure and the master document register. Checks format and ID before publishing; runs the review calendar; archives obsolete versions.</w:t>
            </w:r>
          </w:p>
        </w:tc>
      </w:tr>
      <w:tr>
        <w:tc>
          <w:tcPr>
            <w:tcW w:type="dxa" w:w="3402"/>
            <w:shd w:val="clear" w:color="auto" w:fill="F5F7FA"/>
          </w:tcPr>
          <w:p>
            <w:pPr>
              <w:spacing w:after="40"/>
            </w:pPr>
            <w:r/>
            <w:r>
              <w:rPr>
                <w:sz w:val="19"/>
              </w:rPr>
              <w:t>Document owner (named in the register)</w:t>
            </w:r>
          </w:p>
        </w:tc>
        <w:tc>
          <w:tcPr>
            <w:tcW w:type="dxa" w:w="5953"/>
            <w:shd w:val="clear" w:color="auto" w:fill="F5F7FA"/>
          </w:tcPr>
          <w:p>
            <w:pPr>
              <w:spacing w:after="40"/>
            </w:pPr>
            <w:r/>
            <w:r>
              <w:rPr>
                <w:sz w:val="19"/>
              </w:rPr>
              <w:t>Writes and maintains the document; reviews it on schedule; proposes changes; makes sure their team knows about them.</w:t>
            </w:r>
          </w:p>
        </w:tc>
      </w:tr>
      <w:tr>
        <w:tc>
          <w:tcPr>
            <w:tcW w:type="dxa" w:w="3402"/>
          </w:tcPr>
          <w:p>
            <w:pPr>
              <w:spacing w:after="40"/>
            </w:pPr>
            <w:r/>
            <w:r>
              <w:rPr>
                <w:sz w:val="19"/>
              </w:rPr>
              <w:t>[CEO] / Trust Council</w:t>
            </w:r>
          </w:p>
        </w:tc>
        <w:tc>
          <w:tcPr>
            <w:tcW w:type="dxa" w:w="5953"/>
          </w:tcPr>
          <w:p>
            <w:pPr>
              <w:spacing w:after="40"/>
            </w:pPr>
            <w:r/>
            <w:r>
              <w:rPr>
                <w:sz w:val="19"/>
              </w:rPr>
              <w:t>Approves the Manual, top-level and topic policies, and the Statements of Applicability.</w:t>
            </w:r>
          </w:p>
        </w:tc>
      </w:tr>
      <w:tr>
        <w:tc>
          <w:tcPr>
            <w:tcW w:type="dxa" w:w="3402"/>
            <w:shd w:val="clear" w:color="auto" w:fill="F5F7FA"/>
          </w:tcPr>
          <w:p>
            <w:pPr>
              <w:spacing w:after="40"/>
            </w:pPr>
            <w:r/>
            <w:r>
              <w:rPr>
                <w:sz w:val="19"/>
              </w:rPr>
              <w:t>[Security Lead] and [Head of AI]</w:t>
            </w:r>
          </w:p>
        </w:tc>
        <w:tc>
          <w:tcPr>
            <w:tcW w:type="dxa" w:w="5953"/>
            <w:shd w:val="clear" w:color="auto" w:fill="F5F7FA"/>
          </w:tcPr>
          <w:p>
            <w:pPr>
              <w:spacing w:after="40"/>
            </w:pPr>
            <w:r/>
            <w:r>
              <w:rPr>
                <w:sz w:val="19"/>
              </w:rPr>
              <w:t>Approve procedures and registers in their area; approve access to Restricted documents.</w:t>
            </w:r>
          </w:p>
        </w:tc>
      </w:tr>
      <w:tr>
        <w:tc>
          <w:tcPr>
            <w:tcW w:type="dxa" w:w="3402"/>
          </w:tcPr>
          <w:p>
            <w:pPr>
              <w:spacing w:after="40"/>
            </w:pPr>
            <w:r/>
            <w:r>
              <w:rPr>
                <w:sz w:val="19"/>
              </w:rPr>
              <w:t>[Data and ML Lead]</w:t>
            </w:r>
          </w:p>
        </w:tc>
        <w:tc>
          <w:tcPr>
            <w:tcW w:type="dxa" w:w="5953"/>
          </w:tcPr>
          <w:p>
            <w:pPr>
              <w:spacing w:after="40"/>
            </w:pPr>
            <w:r/>
            <w:r>
              <w:rPr>
                <w:sz w:val="19"/>
              </w:rPr>
              <w:t>Owns dataset provenance records and model cards for models we train or fine-tune.</w:t>
            </w:r>
          </w:p>
        </w:tc>
      </w:tr>
      <w:tr>
        <w:tc>
          <w:tcPr>
            <w:tcW w:type="dxa" w:w="3402"/>
            <w:shd w:val="clear" w:color="auto" w:fill="F5F7FA"/>
          </w:tcPr>
          <w:p>
            <w:pPr>
              <w:spacing w:after="40"/>
            </w:pPr>
            <w:r/>
            <w:r>
              <w:rPr>
                <w:sz w:val="19"/>
              </w:rPr>
              <w:t>[Platform Engineer]</w:t>
            </w:r>
          </w:p>
        </w:tc>
        <w:tc>
          <w:tcPr>
            <w:tcW w:type="dxa" w:w="5953"/>
            <w:shd w:val="clear" w:color="auto" w:fill="F5F7FA"/>
          </w:tcPr>
          <w:p>
            <w:pPr>
              <w:spacing w:after="40"/>
            </w:pPr>
            <w:r/>
            <w:r>
              <w:rPr>
                <w:sz w:val="19"/>
              </w:rPr>
              <w:t>Runs log retention and backup of the document and record stores.</w:t>
            </w:r>
          </w:p>
        </w:tc>
      </w:tr>
      <w:tr>
        <w:tc>
          <w:tcPr>
            <w:tcW w:type="dxa" w:w="3402"/>
          </w:tcPr>
          <w:p>
            <w:pPr>
              <w:spacing w:after="40"/>
            </w:pPr>
            <w:r/>
            <w:r>
              <w:rPr>
                <w:sz w:val="19"/>
              </w:rPr>
              <w:t>Everyone</w:t>
            </w:r>
          </w:p>
        </w:tc>
        <w:tc>
          <w:tcPr>
            <w:tcW w:type="dxa" w:w="5953"/>
          </w:tcPr>
          <w:p>
            <w:pPr>
              <w:spacing w:after="40"/>
            </w:pPr>
            <w:r/>
            <w:r>
              <w:rPr>
                <w:sz w:val="19"/>
              </w:rPr>
              <w:t>Use only the published version; never keep private copies of Restricted documents.</w:t>
            </w:r>
          </w:p>
        </w:tc>
      </w:tr>
    </w:tbl>
    <w:p/>
    <w:p>
      <w:pPr>
        <w:pStyle w:val="Heading1"/>
      </w:pPr>
      <w:r>
        <w:t>4. Document hierarchy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850"/>
            <w:shd w:val="clear" w:color="auto" w:fill="142B4C"/>
          </w:tcPr>
          <w:p>
            <w:r/>
            <w:r>
              <w:rPr>
                <w:b/>
                <w:color w:val="FFFFFF"/>
                <w:sz w:val="19"/>
              </w:rPr>
              <w:t>Level</w:t>
            </w:r>
          </w:p>
        </w:tc>
        <w:tc>
          <w:tcPr>
            <w:tcW w:type="dxa" w:w="2268"/>
            <w:shd w:val="clear" w:color="auto" w:fill="142B4C"/>
          </w:tcPr>
          <w:p>
            <w:r/>
            <w:r>
              <w:rPr>
                <w:b/>
                <w:color w:val="FFFFFF"/>
                <w:sz w:val="19"/>
              </w:rPr>
              <w:t>What</w:t>
            </w:r>
          </w:p>
        </w:tc>
        <w:tc>
          <w:tcPr>
            <w:tcW w:type="dxa" w:w="4252"/>
            <w:shd w:val="clear" w:color="auto" w:fill="142B4C"/>
          </w:tcPr>
          <w:p>
            <w:r/>
            <w:r>
              <w:rPr>
                <w:b/>
                <w:color w:val="FFFFFF"/>
                <w:sz w:val="19"/>
              </w:rPr>
              <w:t>Examples</w:t>
            </w:r>
          </w:p>
        </w:tc>
        <w:tc>
          <w:tcPr>
            <w:tcW w:type="dxa" w:w="1984"/>
            <w:shd w:val="clear" w:color="auto" w:fill="142B4C"/>
          </w:tcPr>
          <w:p>
            <w:r/>
            <w:r>
              <w:rPr>
                <w:b/>
                <w:color w:val="FFFFFF"/>
                <w:sz w:val="19"/>
              </w:rPr>
              <w:t>Approved by</w:t>
            </w:r>
          </w:p>
        </w:tc>
      </w:tr>
      <w:tr>
        <w:tc>
          <w:tcPr>
            <w:tcW w:type="dxa" w:w="850"/>
          </w:tcPr>
          <w:p>
            <w:pPr>
              <w:spacing w:after="40"/>
            </w:pPr>
            <w:r/>
            <w:r>
              <w:rPr>
                <w:sz w:val="19"/>
              </w:rPr>
              <w:t>1</w:t>
            </w:r>
          </w:p>
        </w:tc>
        <w:tc>
          <w:tcPr>
            <w:tcW w:type="dxa" w:w="2268"/>
          </w:tcPr>
          <w:p>
            <w:pPr>
              <w:spacing w:after="40"/>
            </w:pPr>
            <w:r/>
            <w:r>
              <w:rPr>
                <w:sz w:val="19"/>
              </w:rPr>
              <w:t>Direction</w:t>
            </w:r>
          </w:p>
        </w:tc>
        <w:tc>
          <w:tcPr>
            <w:tcW w:type="dxa" w:w="4252"/>
          </w:tcPr>
          <w:p>
            <w:pPr>
              <w:spacing w:after="40"/>
            </w:pPr>
            <w:r/>
            <w:r>
              <w:rPr>
                <w:sz w:val="19"/>
              </w:rPr>
              <w:t>IMS-MAN-001 Integrated Management System Manual (ISMS + AIMS); IMS-POL-001 Information Security and Responsible AI Policy</w:t>
            </w:r>
          </w:p>
        </w:tc>
        <w:tc>
          <w:tcPr>
            <w:tcW w:type="dxa" w:w="1984"/>
          </w:tcPr>
          <w:p>
            <w:pPr>
              <w:spacing w:after="40"/>
            </w:pPr>
            <w:r/>
            <w:r>
              <w:rPr>
                <w:sz w:val="19"/>
              </w:rPr>
              <w:t>Trust Council</w:t>
            </w:r>
          </w:p>
        </w:tc>
      </w:tr>
      <w:tr>
        <w:tc>
          <w:tcPr>
            <w:tcW w:type="dxa" w:w="850"/>
            <w:shd w:val="clear" w:color="auto" w:fill="F5F7FA"/>
          </w:tcPr>
          <w:p>
            <w:pPr>
              <w:spacing w:after="40"/>
            </w:pPr>
            <w:r/>
            <w:r>
              <w:rPr>
                <w:sz w:val="19"/>
              </w:rPr>
              <w:t>2</w:t>
            </w:r>
          </w:p>
        </w:tc>
        <w:tc>
          <w:tcPr>
            <w:tcW w:type="dxa" w:w="2268"/>
            <w:shd w:val="clear" w:color="auto" w:fill="F5F7FA"/>
          </w:tcPr>
          <w:p>
            <w:pPr>
              <w:spacing w:after="40"/>
            </w:pPr>
            <w:r/>
            <w:r>
              <w:rPr>
                <w:sz w:val="19"/>
              </w:rPr>
              <w:t>Topic policies and governance</w:t>
            </w:r>
          </w:p>
        </w:tc>
        <w:tc>
          <w:tcPr>
            <w:tcW w:type="dxa" w:w="4252"/>
            <w:shd w:val="clear" w:color="auto" w:fill="F5F7FA"/>
          </w:tcPr>
          <w:p>
            <w:pPr>
              <w:spacing w:after="40"/>
            </w:pPr>
            <w:r/>
            <w:r>
              <w:rPr>
                <w:sz w:val="19"/>
              </w:rPr>
              <w:t>IMS-POL-002 to IMS-POL-006; IMS-GOV-001; IMS-SOA-001/002</w:t>
            </w:r>
          </w:p>
        </w:tc>
        <w:tc>
          <w:tcPr>
            <w:tcW w:type="dxa" w:w="1984"/>
            <w:shd w:val="clear" w:color="auto" w:fill="F5F7FA"/>
          </w:tcPr>
          <w:p>
            <w:pPr>
              <w:spacing w:after="40"/>
            </w:pPr>
            <w:r/>
            <w:r>
              <w:rPr>
                <w:sz w:val="19"/>
              </w:rPr>
              <w:t>Trust Council</w:t>
            </w:r>
          </w:p>
        </w:tc>
      </w:tr>
      <w:tr>
        <w:tc>
          <w:tcPr>
            <w:tcW w:type="dxa" w:w="850"/>
          </w:tcPr>
          <w:p>
            <w:pPr>
              <w:spacing w:after="40"/>
            </w:pPr>
            <w:r/>
            <w:r>
              <w:rPr>
                <w:sz w:val="19"/>
              </w:rPr>
              <w:t>3</w:t>
            </w:r>
          </w:p>
        </w:tc>
        <w:tc>
          <w:tcPr>
            <w:tcW w:type="dxa" w:w="2268"/>
          </w:tcPr>
          <w:p>
            <w:pPr>
              <w:spacing w:after="40"/>
            </w:pPr>
            <w:r/>
            <w:r>
              <w:rPr>
                <w:sz w:val="19"/>
              </w:rPr>
              <w:t>Procedures and methods</w:t>
            </w:r>
          </w:p>
        </w:tc>
        <w:tc>
          <w:tcPr>
            <w:tcW w:type="dxa" w:w="4252"/>
          </w:tcPr>
          <w:p>
            <w:pPr>
              <w:spacing w:after="40"/>
            </w:pPr>
            <w:r/>
            <w:r>
              <w:rPr>
                <w:sz w:val="19"/>
              </w:rPr>
              <w:t>IMS-PRO-001 to IMS-PRO-009</w:t>
            </w:r>
          </w:p>
        </w:tc>
        <w:tc>
          <w:tcPr>
            <w:tcW w:type="dxa" w:w="1984"/>
          </w:tcPr>
          <w:p>
            <w:pPr>
              <w:spacing w:after="40"/>
            </w:pPr>
            <w:r/>
            <w:r>
              <w:rPr>
                <w:sz w:val="19"/>
              </w:rPr>
              <w:t>Security Lead or Head of AI</w:t>
            </w:r>
          </w:p>
        </w:tc>
      </w:tr>
      <w:tr>
        <w:tc>
          <w:tcPr>
            <w:tcW w:type="dxa" w:w="850"/>
            <w:shd w:val="clear" w:color="auto" w:fill="F5F7FA"/>
          </w:tcPr>
          <w:p>
            <w:pPr>
              <w:spacing w:after="40"/>
            </w:pPr>
            <w:r/>
            <w:r>
              <w:rPr>
                <w:sz w:val="19"/>
              </w:rPr>
              <w:t>4</w:t>
            </w:r>
          </w:p>
        </w:tc>
        <w:tc>
          <w:tcPr>
            <w:tcW w:type="dxa" w:w="2268"/>
            <w:shd w:val="clear" w:color="auto" w:fill="F5F7FA"/>
          </w:tcPr>
          <w:p>
            <w:pPr>
              <w:spacing w:after="40"/>
            </w:pPr>
            <w:r/>
            <w:r>
              <w:rPr>
                <w:sz w:val="19"/>
              </w:rPr>
              <w:t>Registers, templates, work instructions, runbooks</w:t>
            </w:r>
          </w:p>
        </w:tc>
        <w:tc>
          <w:tcPr>
            <w:tcW w:type="dxa" w:w="4252"/>
            <w:shd w:val="clear" w:color="auto" w:fill="F5F7FA"/>
          </w:tcPr>
          <w:p>
            <w:pPr>
              <w:spacing w:after="40"/>
            </w:pPr>
            <w:r/>
            <w:r>
              <w:rPr>
                <w:sz w:val="19"/>
              </w:rPr>
              <w:t>IMS-REG-001 to IMS-REG-008; on-call runbooks; model card template</w:t>
            </w:r>
          </w:p>
        </w:tc>
        <w:tc>
          <w:tcPr>
            <w:tcW w:type="dxa" w:w="1984"/>
            <w:shd w:val="clear" w:color="auto" w:fill="F5F7FA"/>
          </w:tcPr>
          <w:p>
            <w:pPr>
              <w:spacing w:after="40"/>
            </w:pPr>
            <w:r/>
            <w:r>
              <w:rPr>
                <w:sz w:val="19"/>
              </w:rPr>
              <w:t>Document owner</w:t>
            </w:r>
          </w:p>
        </w:tc>
      </w:tr>
      <w:tr>
        <w:tc>
          <w:tcPr>
            <w:tcW w:type="dxa" w:w="850"/>
          </w:tcPr>
          <w:p>
            <w:pPr>
              <w:spacing w:after="40"/>
            </w:pPr>
            <w:r/>
            <w:r>
              <w:rPr>
                <w:sz w:val="19"/>
              </w:rPr>
              <w:t>5</w:t>
            </w:r>
          </w:p>
        </w:tc>
        <w:tc>
          <w:tcPr>
            <w:tcW w:type="dxa" w:w="2268"/>
          </w:tcPr>
          <w:p>
            <w:pPr>
              <w:spacing w:after="40"/>
            </w:pPr>
            <w:r/>
            <w:r>
              <w:rPr>
                <w:sz w:val="19"/>
              </w:rPr>
              <w:t>Records</w:t>
            </w:r>
          </w:p>
        </w:tc>
        <w:tc>
          <w:tcPr>
            <w:tcW w:type="dxa" w:w="4252"/>
          </w:tcPr>
          <w:p>
            <w:pPr>
              <w:spacing w:after="40"/>
            </w:pPr>
            <w:r/>
            <w:r>
              <w:rPr>
                <w:sz w:val="19"/>
              </w:rPr>
              <w:t>Completed AIIAs, audit reports, training records, logs, tickets</w:t>
            </w:r>
          </w:p>
        </w:tc>
        <w:tc>
          <w:tcPr>
            <w:tcW w:type="dxa" w:w="1984"/>
          </w:tcPr>
          <w:p>
            <w:pPr>
              <w:spacing w:after="40"/>
            </w:pPr>
            <w:r/>
            <w:r>
              <w:rPr>
                <w:sz w:val="19"/>
              </w:rPr>
              <w:t>Not approved — protected from change</w:t>
            </w:r>
          </w:p>
        </w:tc>
      </w:tr>
    </w:tbl>
    <w:p/>
    <w:p>
      <w:pPr>
        <w:pStyle w:val="Heading1"/>
      </w:pPr>
      <w:r>
        <w:t>5. Identification</w:t>
      </w:r>
    </w:p>
    <w:p>
      <w:r>
        <w:rPr/>
        <w:t xml:space="preserve">Every controlled document has an ID of the form </w:t>
      </w:r>
      <w:r>
        <w:rPr>
          <w:b/>
        </w:rPr>
        <w:t>IMS-TYPE-NNN</w:t>
      </w:r>
      <w:r>
        <w:rPr/>
        <w:t>, where TYPE is one of:</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417"/>
            <w:shd w:val="clear" w:color="auto" w:fill="142B4C"/>
          </w:tcPr>
          <w:p>
            <w:r/>
            <w:r>
              <w:rPr>
                <w:b/>
                <w:color w:val="FFFFFF"/>
                <w:sz w:val="19"/>
              </w:rPr>
              <w:t>Type</w:t>
            </w:r>
          </w:p>
        </w:tc>
        <w:tc>
          <w:tcPr>
            <w:tcW w:type="dxa" w:w="4535"/>
            <w:shd w:val="clear" w:color="auto" w:fill="142B4C"/>
          </w:tcPr>
          <w:p>
            <w:r/>
            <w:r>
              <w:rPr>
                <w:b/>
                <w:color w:val="FFFFFF"/>
                <w:sz w:val="19"/>
              </w:rPr>
              <w:t>Meaning</w:t>
            </w:r>
          </w:p>
        </w:tc>
        <w:tc>
          <w:tcPr>
            <w:tcW w:type="dxa" w:w="3402"/>
            <w:shd w:val="clear" w:color="auto" w:fill="142B4C"/>
          </w:tcPr>
          <w:p>
            <w:r/>
            <w:r>
              <w:rPr>
                <w:b/>
                <w:color w:val="FFFFFF"/>
                <w:sz w:val="19"/>
              </w:rPr>
              <w:t>Example</w:t>
            </w:r>
          </w:p>
        </w:tc>
      </w:tr>
      <w:tr>
        <w:tc>
          <w:tcPr>
            <w:tcW w:type="dxa" w:w="1417"/>
          </w:tcPr>
          <w:p>
            <w:pPr>
              <w:spacing w:after="40"/>
            </w:pPr>
            <w:r/>
            <w:r>
              <w:rPr>
                <w:sz w:val="19"/>
              </w:rPr>
              <w:t>GDE</w:t>
            </w:r>
          </w:p>
        </w:tc>
        <w:tc>
          <w:tcPr>
            <w:tcW w:type="dxa" w:w="4535"/>
          </w:tcPr>
          <w:p>
            <w:pPr>
              <w:spacing w:after="40"/>
            </w:pPr>
            <w:r/>
            <w:r>
              <w:rPr>
                <w:sz w:val="19"/>
              </w:rPr>
              <w:t>Guide</w:t>
            </w:r>
          </w:p>
        </w:tc>
        <w:tc>
          <w:tcPr>
            <w:tcW w:type="dxa" w:w="3402"/>
          </w:tcPr>
          <w:p>
            <w:pPr>
              <w:spacing w:after="40"/>
            </w:pPr>
            <w:r/>
            <w:r>
              <w:rPr>
                <w:sz w:val="19"/>
              </w:rPr>
              <w:t>IMS-GDE-001</w:t>
            </w:r>
          </w:p>
        </w:tc>
      </w:tr>
      <w:tr>
        <w:tc>
          <w:tcPr>
            <w:tcW w:type="dxa" w:w="1417"/>
            <w:shd w:val="clear" w:color="auto" w:fill="F5F7FA"/>
          </w:tcPr>
          <w:p>
            <w:pPr>
              <w:spacing w:after="40"/>
            </w:pPr>
            <w:r/>
            <w:r>
              <w:rPr>
                <w:sz w:val="19"/>
              </w:rPr>
              <w:t>WBK</w:t>
            </w:r>
          </w:p>
        </w:tc>
        <w:tc>
          <w:tcPr>
            <w:tcW w:type="dxa" w:w="4535"/>
            <w:shd w:val="clear" w:color="auto" w:fill="F5F7FA"/>
          </w:tcPr>
          <w:p>
            <w:pPr>
              <w:spacing w:after="40"/>
            </w:pPr>
            <w:r/>
            <w:r>
              <w:rPr>
                <w:sz w:val="19"/>
              </w:rPr>
              <w:t>Workbook</w:t>
            </w:r>
          </w:p>
        </w:tc>
        <w:tc>
          <w:tcPr>
            <w:tcW w:type="dxa" w:w="3402"/>
            <w:shd w:val="clear" w:color="auto" w:fill="F5F7FA"/>
          </w:tcPr>
          <w:p>
            <w:pPr>
              <w:spacing w:after="40"/>
            </w:pPr>
            <w:r/>
            <w:r>
              <w:rPr>
                <w:sz w:val="19"/>
              </w:rPr>
              <w:t>IMS-WBK-001</w:t>
            </w:r>
          </w:p>
        </w:tc>
      </w:tr>
      <w:tr>
        <w:tc>
          <w:tcPr>
            <w:tcW w:type="dxa" w:w="1417"/>
          </w:tcPr>
          <w:p>
            <w:pPr>
              <w:spacing w:after="40"/>
            </w:pPr>
            <w:r/>
            <w:r>
              <w:rPr>
                <w:sz w:val="19"/>
              </w:rPr>
              <w:t>MAN</w:t>
            </w:r>
          </w:p>
        </w:tc>
        <w:tc>
          <w:tcPr>
            <w:tcW w:type="dxa" w:w="4535"/>
          </w:tcPr>
          <w:p>
            <w:pPr>
              <w:spacing w:after="40"/>
            </w:pPr>
            <w:r/>
            <w:r>
              <w:rPr>
                <w:sz w:val="19"/>
              </w:rPr>
              <w:t>Manual</w:t>
            </w:r>
          </w:p>
        </w:tc>
        <w:tc>
          <w:tcPr>
            <w:tcW w:type="dxa" w:w="3402"/>
          </w:tcPr>
          <w:p>
            <w:pPr>
              <w:spacing w:after="40"/>
            </w:pPr>
            <w:r/>
            <w:r>
              <w:rPr>
                <w:sz w:val="19"/>
              </w:rPr>
              <w:t>IMS-MAN-001</w:t>
            </w:r>
          </w:p>
        </w:tc>
      </w:tr>
      <w:tr>
        <w:tc>
          <w:tcPr>
            <w:tcW w:type="dxa" w:w="1417"/>
            <w:shd w:val="clear" w:color="auto" w:fill="F5F7FA"/>
          </w:tcPr>
          <w:p>
            <w:pPr>
              <w:spacing w:after="40"/>
            </w:pPr>
            <w:r/>
            <w:r>
              <w:rPr>
                <w:sz w:val="19"/>
              </w:rPr>
              <w:t>POL</w:t>
            </w:r>
          </w:p>
        </w:tc>
        <w:tc>
          <w:tcPr>
            <w:tcW w:type="dxa" w:w="4535"/>
            <w:shd w:val="clear" w:color="auto" w:fill="F5F7FA"/>
          </w:tcPr>
          <w:p>
            <w:pPr>
              <w:spacing w:after="40"/>
            </w:pPr>
            <w:r/>
            <w:r>
              <w:rPr>
                <w:sz w:val="19"/>
              </w:rPr>
              <w:t>Policy</w:t>
            </w:r>
          </w:p>
        </w:tc>
        <w:tc>
          <w:tcPr>
            <w:tcW w:type="dxa" w:w="3402"/>
            <w:shd w:val="clear" w:color="auto" w:fill="F5F7FA"/>
          </w:tcPr>
          <w:p>
            <w:pPr>
              <w:spacing w:after="40"/>
            </w:pPr>
            <w:r/>
            <w:r>
              <w:rPr>
                <w:sz w:val="19"/>
              </w:rPr>
              <w:t>IMS-POL-004</w:t>
            </w:r>
          </w:p>
        </w:tc>
      </w:tr>
      <w:tr>
        <w:tc>
          <w:tcPr>
            <w:tcW w:type="dxa" w:w="1417"/>
          </w:tcPr>
          <w:p>
            <w:pPr>
              <w:spacing w:after="40"/>
            </w:pPr>
            <w:r/>
            <w:r>
              <w:rPr>
                <w:sz w:val="19"/>
              </w:rPr>
              <w:t>GOV</w:t>
            </w:r>
          </w:p>
        </w:tc>
        <w:tc>
          <w:tcPr>
            <w:tcW w:type="dxa" w:w="4535"/>
          </w:tcPr>
          <w:p>
            <w:pPr>
              <w:spacing w:after="40"/>
            </w:pPr>
            <w:r/>
            <w:r>
              <w:rPr>
                <w:sz w:val="19"/>
              </w:rPr>
              <w:t>Governance charter</w:t>
            </w:r>
          </w:p>
        </w:tc>
        <w:tc>
          <w:tcPr>
            <w:tcW w:type="dxa" w:w="3402"/>
          </w:tcPr>
          <w:p>
            <w:pPr>
              <w:spacing w:after="40"/>
            </w:pPr>
            <w:r/>
            <w:r>
              <w:rPr>
                <w:sz w:val="19"/>
              </w:rPr>
              <w:t>IMS-GOV-001</w:t>
            </w:r>
          </w:p>
        </w:tc>
      </w:tr>
      <w:tr>
        <w:tc>
          <w:tcPr>
            <w:tcW w:type="dxa" w:w="1417"/>
            <w:shd w:val="clear" w:color="auto" w:fill="F5F7FA"/>
          </w:tcPr>
          <w:p>
            <w:pPr>
              <w:spacing w:after="40"/>
            </w:pPr>
            <w:r/>
            <w:r>
              <w:rPr>
                <w:sz w:val="19"/>
              </w:rPr>
              <w:t>PRO</w:t>
            </w:r>
          </w:p>
        </w:tc>
        <w:tc>
          <w:tcPr>
            <w:tcW w:type="dxa" w:w="4535"/>
            <w:shd w:val="clear" w:color="auto" w:fill="F5F7FA"/>
          </w:tcPr>
          <w:p>
            <w:pPr>
              <w:spacing w:after="40"/>
            </w:pPr>
            <w:r/>
            <w:r>
              <w:rPr>
                <w:sz w:val="19"/>
              </w:rPr>
              <w:t>Procedure</w:t>
            </w:r>
          </w:p>
        </w:tc>
        <w:tc>
          <w:tcPr>
            <w:tcW w:type="dxa" w:w="3402"/>
            <w:shd w:val="clear" w:color="auto" w:fill="F5F7FA"/>
          </w:tcPr>
          <w:p>
            <w:pPr>
              <w:spacing w:after="40"/>
            </w:pPr>
            <w:r/>
            <w:r>
              <w:rPr>
                <w:sz w:val="19"/>
              </w:rPr>
              <w:t>IMS-PRO-004</w:t>
            </w:r>
          </w:p>
        </w:tc>
      </w:tr>
      <w:tr>
        <w:tc>
          <w:tcPr>
            <w:tcW w:type="dxa" w:w="1417"/>
          </w:tcPr>
          <w:p>
            <w:pPr>
              <w:spacing w:after="40"/>
            </w:pPr>
            <w:r/>
            <w:r>
              <w:rPr>
                <w:sz w:val="19"/>
              </w:rPr>
              <w:t>REG</w:t>
            </w:r>
          </w:p>
        </w:tc>
        <w:tc>
          <w:tcPr>
            <w:tcW w:type="dxa" w:w="4535"/>
          </w:tcPr>
          <w:p>
            <w:pPr>
              <w:spacing w:after="40"/>
            </w:pPr>
            <w:r/>
            <w:r>
              <w:rPr>
                <w:sz w:val="19"/>
              </w:rPr>
              <w:t>Register (spreadsheet or database)</w:t>
            </w:r>
          </w:p>
        </w:tc>
        <w:tc>
          <w:tcPr>
            <w:tcW w:type="dxa" w:w="3402"/>
          </w:tcPr>
          <w:p>
            <w:pPr>
              <w:spacing w:after="40"/>
            </w:pPr>
            <w:r/>
            <w:r>
              <w:rPr>
                <w:sz w:val="19"/>
              </w:rPr>
              <w:t>IMS-REG-002</w:t>
            </w:r>
          </w:p>
        </w:tc>
      </w:tr>
      <w:tr>
        <w:tc>
          <w:tcPr>
            <w:tcW w:type="dxa" w:w="1417"/>
            <w:shd w:val="clear" w:color="auto" w:fill="F5F7FA"/>
          </w:tcPr>
          <w:p>
            <w:pPr>
              <w:spacing w:after="40"/>
            </w:pPr>
            <w:r/>
            <w:r>
              <w:rPr>
                <w:sz w:val="19"/>
              </w:rPr>
              <w:t>SOA</w:t>
            </w:r>
          </w:p>
        </w:tc>
        <w:tc>
          <w:tcPr>
            <w:tcW w:type="dxa" w:w="4535"/>
            <w:shd w:val="clear" w:color="auto" w:fill="F5F7FA"/>
          </w:tcPr>
          <w:p>
            <w:pPr>
              <w:spacing w:after="40"/>
            </w:pPr>
            <w:r/>
            <w:r>
              <w:rPr>
                <w:sz w:val="19"/>
              </w:rPr>
              <w:t>Statement of Applicability</w:t>
            </w:r>
          </w:p>
        </w:tc>
        <w:tc>
          <w:tcPr>
            <w:tcW w:type="dxa" w:w="3402"/>
            <w:shd w:val="clear" w:color="auto" w:fill="F5F7FA"/>
          </w:tcPr>
          <w:p>
            <w:pPr>
              <w:spacing w:after="40"/>
            </w:pPr>
            <w:r/>
            <w:r>
              <w:rPr>
                <w:sz w:val="19"/>
              </w:rPr>
              <w:t>IMS-SOA-002</w:t>
            </w:r>
          </w:p>
        </w:tc>
      </w:tr>
    </w:tbl>
    <w:p/>
    <w:p>
      <w:r>
        <w:rPr/>
        <w:t>Records use their own ID patterns so they can be cross-referenced across tools: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5669"/>
            <w:shd w:val="clear" w:color="auto" w:fill="142B4C"/>
          </w:tcPr>
          <w:p>
            <w:r/>
            <w:r>
              <w:rPr>
                <w:b/>
                <w:color w:val="FFFFFF"/>
                <w:sz w:val="19"/>
              </w:rPr>
              <w:t>Record</w:t>
            </w:r>
          </w:p>
        </w:tc>
        <w:tc>
          <w:tcPr>
            <w:tcW w:type="dxa" w:w="3685"/>
            <w:shd w:val="clear" w:color="auto" w:fill="142B4C"/>
          </w:tcPr>
          <w:p>
            <w:r/>
            <w:r>
              <w:rPr>
                <w:b/>
                <w:color w:val="FFFFFF"/>
                <w:sz w:val="19"/>
              </w:rPr>
              <w:t>ID pattern</w:t>
            </w:r>
          </w:p>
        </w:tc>
      </w:tr>
      <w:tr>
        <w:tc>
          <w:tcPr>
            <w:tcW w:type="dxa" w:w="5669"/>
          </w:tcPr>
          <w:p>
            <w:pPr>
              <w:spacing w:after="40"/>
            </w:pPr>
            <w:r/>
            <w:r>
              <w:rPr>
                <w:sz w:val="19"/>
              </w:rPr>
              <w:t>Information-security risk</w:t>
            </w:r>
          </w:p>
        </w:tc>
        <w:tc>
          <w:tcPr>
            <w:tcW w:type="dxa" w:w="3685"/>
          </w:tcPr>
          <w:p>
            <w:pPr>
              <w:spacing w:after="40"/>
            </w:pPr>
            <w:r/>
            <w:r>
              <w:rPr>
                <w:sz w:val="19"/>
              </w:rPr>
              <w:t>RSK-IS-001</w:t>
            </w:r>
          </w:p>
        </w:tc>
      </w:tr>
      <w:tr>
        <w:tc>
          <w:tcPr>
            <w:tcW w:type="dxa" w:w="5669"/>
            <w:shd w:val="clear" w:color="auto" w:fill="F5F7FA"/>
          </w:tcPr>
          <w:p>
            <w:pPr>
              <w:spacing w:after="40"/>
            </w:pPr>
            <w:r/>
            <w:r>
              <w:rPr>
                <w:sz w:val="19"/>
              </w:rPr>
              <w:t>AI risk</w:t>
            </w:r>
          </w:p>
        </w:tc>
        <w:tc>
          <w:tcPr>
            <w:tcW w:type="dxa" w:w="3685"/>
            <w:shd w:val="clear" w:color="auto" w:fill="F5F7FA"/>
          </w:tcPr>
          <w:p>
            <w:pPr>
              <w:spacing w:after="40"/>
            </w:pPr>
            <w:r/>
            <w:r>
              <w:rPr>
                <w:sz w:val="19"/>
              </w:rPr>
              <w:t>RSK-AI-001</w:t>
            </w:r>
          </w:p>
        </w:tc>
      </w:tr>
      <w:tr>
        <w:tc>
          <w:tcPr>
            <w:tcW w:type="dxa" w:w="5669"/>
          </w:tcPr>
          <w:p>
            <w:pPr>
              <w:spacing w:after="40"/>
            </w:pPr>
            <w:r/>
            <w:r>
              <w:rPr>
                <w:sz w:val="19"/>
              </w:rPr>
              <w:t>AI system</w:t>
            </w:r>
          </w:p>
        </w:tc>
        <w:tc>
          <w:tcPr>
            <w:tcW w:type="dxa" w:w="3685"/>
          </w:tcPr>
          <w:p>
            <w:pPr>
              <w:spacing w:after="40"/>
            </w:pPr>
            <w:r/>
            <w:r>
              <w:rPr>
                <w:sz w:val="19"/>
              </w:rPr>
              <w:t>AI-SYS-001</w:t>
            </w:r>
          </w:p>
        </w:tc>
      </w:tr>
      <w:tr>
        <w:tc>
          <w:tcPr>
            <w:tcW w:type="dxa" w:w="5669"/>
            <w:shd w:val="clear" w:color="auto" w:fill="F5F7FA"/>
          </w:tcPr>
          <w:p>
            <w:pPr>
              <w:spacing w:after="40"/>
            </w:pPr>
            <w:r/>
            <w:r>
              <w:rPr>
                <w:sz w:val="19"/>
              </w:rPr>
              <w:t>Information asset</w:t>
            </w:r>
          </w:p>
        </w:tc>
        <w:tc>
          <w:tcPr>
            <w:tcW w:type="dxa" w:w="3685"/>
            <w:shd w:val="clear" w:color="auto" w:fill="F5F7FA"/>
          </w:tcPr>
          <w:p>
            <w:pPr>
              <w:spacing w:after="40"/>
            </w:pPr>
            <w:r/>
            <w:r>
              <w:rPr>
                <w:sz w:val="19"/>
              </w:rPr>
              <w:t>AST-001</w:t>
            </w:r>
          </w:p>
        </w:tc>
      </w:tr>
      <w:tr>
        <w:tc>
          <w:tcPr>
            <w:tcW w:type="dxa" w:w="5669"/>
          </w:tcPr>
          <w:p>
            <w:pPr>
              <w:spacing w:after="40"/>
            </w:pPr>
            <w:r/>
            <w:r>
              <w:rPr>
                <w:sz w:val="19"/>
              </w:rPr>
              <w:t>AI system impact assessment</w:t>
            </w:r>
          </w:p>
        </w:tc>
        <w:tc>
          <w:tcPr>
            <w:tcW w:type="dxa" w:w="3685"/>
          </w:tcPr>
          <w:p>
            <w:pPr>
              <w:spacing w:after="40"/>
            </w:pPr>
            <w:r/>
            <w:r>
              <w:rPr>
                <w:sz w:val="19"/>
              </w:rPr>
              <w:t>AIIA-2026-01</w:t>
            </w:r>
          </w:p>
        </w:tc>
      </w:tr>
      <w:tr>
        <w:tc>
          <w:tcPr>
            <w:tcW w:type="dxa" w:w="5669"/>
            <w:shd w:val="clear" w:color="auto" w:fill="F5F7FA"/>
          </w:tcPr>
          <w:p>
            <w:pPr>
              <w:spacing w:after="40"/>
            </w:pPr>
            <w:r/>
            <w:r>
              <w:rPr>
                <w:sz w:val="19"/>
              </w:rPr>
              <w:t>Incident</w:t>
            </w:r>
          </w:p>
        </w:tc>
        <w:tc>
          <w:tcPr>
            <w:tcW w:type="dxa" w:w="3685"/>
            <w:shd w:val="clear" w:color="auto" w:fill="F5F7FA"/>
          </w:tcPr>
          <w:p>
            <w:pPr>
              <w:spacing w:after="40"/>
            </w:pPr>
            <w:r/>
            <w:r>
              <w:rPr>
                <w:sz w:val="19"/>
              </w:rPr>
              <w:t>INC-2026-001</w:t>
            </w:r>
          </w:p>
        </w:tc>
      </w:tr>
      <w:tr>
        <w:tc>
          <w:tcPr>
            <w:tcW w:type="dxa" w:w="5669"/>
          </w:tcPr>
          <w:p>
            <w:pPr>
              <w:spacing w:after="40"/>
            </w:pPr>
            <w:r/>
            <w:r>
              <w:rPr>
                <w:sz w:val="19"/>
              </w:rPr>
              <w:t>Nonconformity</w:t>
            </w:r>
          </w:p>
        </w:tc>
        <w:tc>
          <w:tcPr>
            <w:tcW w:type="dxa" w:w="3685"/>
          </w:tcPr>
          <w:p>
            <w:pPr>
              <w:spacing w:after="40"/>
            </w:pPr>
            <w:r/>
            <w:r>
              <w:rPr>
                <w:sz w:val="19"/>
              </w:rPr>
              <w:t>NC-2026-001</w:t>
            </w:r>
          </w:p>
        </w:tc>
      </w:tr>
      <w:tr>
        <w:tc>
          <w:tcPr>
            <w:tcW w:type="dxa" w:w="5669"/>
            <w:shd w:val="clear" w:color="auto" w:fill="F5F7FA"/>
          </w:tcPr>
          <w:p>
            <w:pPr>
              <w:spacing w:after="40"/>
            </w:pPr>
            <w:r/>
            <w:r>
              <w:rPr>
                <w:sz w:val="19"/>
              </w:rPr>
              <w:t>Corrective action</w:t>
            </w:r>
          </w:p>
        </w:tc>
        <w:tc>
          <w:tcPr>
            <w:tcW w:type="dxa" w:w="3685"/>
            <w:shd w:val="clear" w:color="auto" w:fill="F5F7FA"/>
          </w:tcPr>
          <w:p>
            <w:pPr>
              <w:spacing w:after="40"/>
            </w:pPr>
            <w:r/>
            <w:r>
              <w:rPr>
                <w:sz w:val="19"/>
              </w:rPr>
              <w:t>CA-2026-001</w:t>
            </w:r>
          </w:p>
        </w:tc>
      </w:tr>
      <w:tr>
        <w:tc>
          <w:tcPr>
            <w:tcW w:type="dxa" w:w="5669"/>
          </w:tcPr>
          <w:p>
            <w:pPr>
              <w:spacing w:after="40"/>
            </w:pPr>
            <w:r/>
            <w:r>
              <w:rPr>
                <w:sz w:val="19"/>
              </w:rPr>
              <w:t>Internal audit</w:t>
            </w:r>
          </w:p>
        </w:tc>
        <w:tc>
          <w:tcPr>
            <w:tcW w:type="dxa" w:w="3685"/>
          </w:tcPr>
          <w:p>
            <w:pPr>
              <w:spacing w:after="40"/>
            </w:pPr>
            <w:r/>
            <w:r>
              <w:rPr>
                <w:sz w:val="19"/>
              </w:rPr>
              <w:t>AUD-2026-01</w:t>
            </w:r>
          </w:p>
        </w:tc>
      </w:tr>
      <w:tr>
        <w:tc>
          <w:tcPr>
            <w:tcW w:type="dxa" w:w="5669"/>
            <w:shd w:val="clear" w:color="auto" w:fill="F5F7FA"/>
          </w:tcPr>
          <w:p>
            <w:pPr>
              <w:spacing w:after="40"/>
            </w:pPr>
            <w:r/>
            <w:r>
              <w:rPr>
                <w:sz w:val="19"/>
              </w:rPr>
              <w:t>Objective</w:t>
            </w:r>
          </w:p>
        </w:tc>
        <w:tc>
          <w:tcPr>
            <w:tcW w:type="dxa" w:w="3685"/>
            <w:shd w:val="clear" w:color="auto" w:fill="F5F7FA"/>
          </w:tcPr>
          <w:p>
            <w:pPr>
              <w:spacing w:after="40"/>
            </w:pPr>
            <w:r/>
            <w:r>
              <w:rPr>
                <w:sz w:val="19"/>
              </w:rPr>
              <w:t>OBJ-01</w:t>
            </w:r>
          </w:p>
        </w:tc>
      </w:tr>
      <w:tr>
        <w:tc>
          <w:tcPr>
            <w:tcW w:type="dxa" w:w="5669"/>
          </w:tcPr>
          <w:p>
            <w:pPr>
              <w:spacing w:after="40"/>
            </w:pPr>
            <w:r/>
            <w:r>
              <w:rPr>
                <w:sz w:val="19"/>
              </w:rPr>
              <w:t>Supplier</w:t>
            </w:r>
          </w:p>
        </w:tc>
        <w:tc>
          <w:tcPr>
            <w:tcW w:type="dxa" w:w="3685"/>
          </w:tcPr>
          <w:p>
            <w:pPr>
              <w:spacing w:after="40"/>
            </w:pPr>
            <w:r/>
            <w:r>
              <w:rPr>
                <w:sz w:val="19"/>
              </w:rPr>
              <w:t>SUP-01</w:t>
            </w:r>
          </w:p>
        </w:tc>
      </w:tr>
    </w:tbl>
    <w:p/>
    <w:p>
      <w:r>
        <w:rPr/>
        <w:t>Each document shows on its front page: ID, title, version, status, classification, owner, approver, effective date, next review date and the clauses it addresses. Every page carries the ID, version and classification in the footer.</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Start your register by copying the 29-row document list from the kit and deleting what you do not need. Do not renumber when you delete a document — retire the ID instead, so old references still make sense.</w:t>
            </w:r>
          </w:p>
        </w:tc>
      </w:tr>
    </w:tbl>
    <w:p/>
    <w:p>
      <w:pPr>
        <w:pStyle w:val="Heading1"/>
      </w:pPr>
      <w:r>
        <w:t>6. Creating, reviewing and approving</w:t>
      </w:r>
    </w:p>
    <w:p>
      <w:pPr>
        <w:pStyle w:val="ListNumber"/>
        <w:spacing w:after="60"/>
        <w:numPr>
          <w:ilvl w:val="0"/>
          <w:numId w:val="1010"/>
        </w:numPr>
      </w:pPr>
      <w:r>
        <w:rPr>
          <w:b/>
        </w:rPr>
        <w:t>Draft.</w:t>
      </w:r>
      <w:r>
        <w:rPr/>
        <w:t xml:space="preserve"> The owner starts from the kit template (or the Git template for policies-as-code) and saves it as version 0.1 with status 'Draft'.</w:t>
      </w:r>
    </w:p>
    <w:p>
      <w:pPr>
        <w:pStyle w:val="ListNumber"/>
        <w:spacing w:after="60"/>
        <w:numPr>
          <w:ilvl w:val="0"/>
          <w:numId w:val="1010"/>
        </w:numPr>
      </w:pPr>
      <w:r>
        <w:rPr>
          <w:b/>
        </w:rPr>
        <w:t>Review.</w:t>
      </w:r>
      <w:r>
        <w:rPr/>
        <w:t xml:space="preserve"> At least one reviewer outside the author's team reads it — for AI documents, someone from the AI Release Review; for anything customer-facing, the Privacy and Legal Lead. Comments are resolved in the tool (wiki comments or a Git pull request).</w:t>
      </w:r>
    </w:p>
    <w:p>
      <w:pPr>
        <w:pStyle w:val="ListNumber"/>
        <w:spacing w:after="60"/>
        <w:numPr>
          <w:ilvl w:val="0"/>
          <w:numId w:val="1010"/>
        </w:numPr>
      </w:pPr>
      <w:r>
        <w:rPr>
          <w:b/>
        </w:rPr>
        <w:t>Approve.</w:t>
      </w:r>
      <w:r>
        <w:rPr/>
        <w:t xml:space="preserve"> The approver from section 4 approves. In Git, the approving review on the pull request is the approval record; on the wiki, the approver ticks the approval property and the page history keeps the date.</w:t>
      </w:r>
    </w:p>
    <w:p>
      <w:pPr>
        <w:pStyle w:val="ListNumber"/>
        <w:spacing w:after="60"/>
        <w:numPr>
          <w:ilvl w:val="0"/>
          <w:numId w:val="1010"/>
        </w:numPr>
      </w:pPr>
      <w:r>
        <w:rPr>
          <w:b/>
        </w:rPr>
        <w:t>Publish.</w:t>
      </w:r>
      <w:r>
        <w:rPr/>
        <w:t xml:space="preserve"> The Compliance Coordinator sets the version (1.0, 1.1, 2.0…), updates the register and announces the change in #announcements within 5 working days (communication plan COM-01 in IMS-REG-004 Competence Matrix, Training Records and Communication Plan). Policies that need acknowledgement are pushed to the HR system.</w:t>
      </w:r>
    </w:p>
    <w:p>
      <w:pPr>
        <w:pStyle w:val="ListNumber"/>
        <w:spacing w:after="60"/>
        <w:numPr>
          <w:ilvl w:val="0"/>
          <w:numId w:val="1010"/>
        </w:numPr>
      </w:pPr>
      <w:r>
        <w:rPr>
          <w:b/>
        </w:rPr>
        <w:t>Review on schedule.</w:t>
      </w:r>
      <w:r>
        <w:rPr/>
        <w:t xml:space="preserve"> Policies and the Manual yearly; procedures yearly; registers at least every 6 months or as their procedure says; and always after a major incident, audit finding, law change or significant AI system change.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969"/>
            <w:shd w:val="clear" w:color="auto" w:fill="142B4C"/>
          </w:tcPr>
          <w:p>
            <w:r/>
            <w:r>
              <w:rPr>
                <w:b/>
                <w:color w:val="FFFFFF"/>
                <w:sz w:val="19"/>
              </w:rPr>
              <w:t>Change</w:t>
            </w:r>
          </w:p>
        </w:tc>
        <w:tc>
          <w:tcPr>
            <w:tcW w:type="dxa" w:w="1701"/>
            <w:shd w:val="clear" w:color="auto" w:fill="142B4C"/>
          </w:tcPr>
          <w:p>
            <w:r/>
            <w:r>
              <w:rPr>
                <w:b/>
                <w:color w:val="FFFFFF"/>
                <w:sz w:val="19"/>
              </w:rPr>
              <w:t>Version</w:t>
            </w:r>
          </w:p>
        </w:tc>
        <w:tc>
          <w:tcPr>
            <w:tcW w:type="dxa" w:w="3685"/>
            <w:shd w:val="clear" w:color="auto" w:fill="142B4C"/>
          </w:tcPr>
          <w:p>
            <w:r/>
            <w:r>
              <w:rPr>
                <w:b/>
                <w:color w:val="FFFFFF"/>
                <w:sz w:val="19"/>
              </w:rPr>
              <w:t>Re-approval?</w:t>
            </w:r>
          </w:p>
        </w:tc>
      </w:tr>
      <w:tr>
        <w:tc>
          <w:tcPr>
            <w:tcW w:type="dxa" w:w="3969"/>
          </w:tcPr>
          <w:p>
            <w:pPr>
              <w:spacing w:after="40"/>
            </w:pPr>
            <w:r/>
            <w:r>
              <w:rPr>
                <w:sz w:val="19"/>
              </w:rPr>
              <w:t>Typo, broken link, formatting</w:t>
            </w:r>
          </w:p>
        </w:tc>
        <w:tc>
          <w:tcPr>
            <w:tcW w:type="dxa" w:w="1701"/>
          </w:tcPr>
          <w:p>
            <w:pPr>
              <w:spacing w:after="40"/>
            </w:pPr>
            <w:r/>
            <w:r>
              <w:rPr>
                <w:sz w:val="19"/>
              </w:rPr>
              <w:t>1.0 → 1.1</w:t>
            </w:r>
          </w:p>
        </w:tc>
        <w:tc>
          <w:tcPr>
            <w:tcW w:type="dxa" w:w="3685"/>
          </w:tcPr>
          <w:p>
            <w:pPr>
              <w:spacing w:after="40"/>
            </w:pPr>
            <w:r/>
            <w:r>
              <w:rPr>
                <w:sz w:val="19"/>
              </w:rPr>
              <w:t>No — owner approves; noted in revision history</w:t>
            </w:r>
          </w:p>
        </w:tc>
      </w:tr>
      <w:tr>
        <w:tc>
          <w:tcPr>
            <w:tcW w:type="dxa" w:w="3969"/>
            <w:shd w:val="clear" w:color="auto" w:fill="F5F7FA"/>
          </w:tcPr>
          <w:p>
            <w:pPr>
              <w:spacing w:after="40"/>
            </w:pPr>
            <w:r/>
            <w:r>
              <w:rPr>
                <w:sz w:val="19"/>
              </w:rPr>
              <w:t>New or changed requirement, role or deadline</w:t>
            </w:r>
          </w:p>
        </w:tc>
        <w:tc>
          <w:tcPr>
            <w:tcW w:type="dxa" w:w="1701"/>
            <w:shd w:val="clear" w:color="auto" w:fill="F5F7FA"/>
          </w:tcPr>
          <w:p>
            <w:pPr>
              <w:spacing w:after="40"/>
            </w:pPr>
            <w:r/>
            <w:r>
              <w:rPr>
                <w:sz w:val="19"/>
              </w:rPr>
              <w:t>1.1 → 2.0</w:t>
            </w:r>
          </w:p>
        </w:tc>
        <w:tc>
          <w:tcPr>
            <w:tcW w:type="dxa" w:w="3685"/>
            <w:shd w:val="clear" w:color="auto" w:fill="F5F7FA"/>
          </w:tcPr>
          <w:p>
            <w:pPr>
              <w:spacing w:after="40"/>
            </w:pPr>
            <w:r/>
            <w:r>
              <w:rPr>
                <w:sz w:val="19"/>
              </w:rPr>
              <w:t>Yes — full approval</w:t>
            </w:r>
          </w:p>
        </w:tc>
      </w:tr>
      <w:tr>
        <w:tc>
          <w:tcPr>
            <w:tcW w:type="dxa" w:w="3969"/>
          </w:tcPr>
          <w:p>
            <w:pPr>
              <w:spacing w:after="40"/>
            </w:pPr>
            <w:r/>
            <w:r>
              <w:rPr>
                <w:sz w:val="19"/>
              </w:rPr>
              <w:t>Draft</w:t>
            </w:r>
          </w:p>
        </w:tc>
        <w:tc>
          <w:tcPr>
            <w:tcW w:type="dxa" w:w="1701"/>
          </w:tcPr>
          <w:p>
            <w:pPr>
              <w:spacing w:after="40"/>
            </w:pPr>
            <w:r/>
            <w:r>
              <w:rPr>
                <w:sz w:val="19"/>
              </w:rPr>
              <w:t>0.x</w:t>
            </w:r>
          </w:p>
        </w:tc>
        <w:tc>
          <w:tcPr>
            <w:tcW w:type="dxa" w:w="3685"/>
          </w:tcPr>
          <w:p>
            <w:pPr>
              <w:spacing w:after="40"/>
            </w:pPr>
            <w:r/>
            <w:r>
              <w:rPr>
                <w:sz w:val="19"/>
              </w:rPr>
              <w:t>Not yet in force</w:t>
            </w:r>
          </w:p>
        </w:tc>
      </w:tr>
    </w:tbl>
    <w:p/>
    <w:p>
      <w:pPr>
        <w:pStyle w:val="Heading1"/>
      </w:pPr>
      <w:r>
        <w:t>7. Where documents and records live</w:t>
      </w:r>
    </w:p>
    <w:p>
      <w:r>
        <w:rPr/>
        <w:t>Quillfen Studio has no file server. We use a small set of cloud tools, each with single sign-on and MFA (IMS-POL-004 Access Control Policy):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551"/>
            <w:shd w:val="clear" w:color="auto" w:fill="142B4C"/>
          </w:tcPr>
          <w:p>
            <w:r/>
            <w:r>
              <w:rPr>
                <w:b/>
                <w:color w:val="FFFFFF"/>
                <w:sz w:val="19"/>
              </w:rPr>
              <w:t>Store</w:t>
            </w:r>
          </w:p>
        </w:tc>
        <w:tc>
          <w:tcPr>
            <w:tcW w:type="dxa" w:w="3402"/>
            <w:shd w:val="clear" w:color="auto" w:fill="142B4C"/>
          </w:tcPr>
          <w:p>
            <w:r/>
            <w:r>
              <w:rPr>
                <w:b/>
                <w:color w:val="FFFFFF"/>
                <w:sz w:val="19"/>
              </w:rPr>
              <w:t>What lives there</w:t>
            </w:r>
          </w:p>
        </w:tc>
        <w:tc>
          <w:tcPr>
            <w:tcW w:type="dxa" w:w="3402"/>
            <w:shd w:val="clear" w:color="auto" w:fill="142B4C"/>
          </w:tcPr>
          <w:p>
            <w:r/>
            <w:r>
              <w:rPr>
                <w:b/>
                <w:color w:val="FFFFFF"/>
                <w:sz w:val="19"/>
              </w:rPr>
              <w:t>Version control and protection</w:t>
            </w:r>
          </w:p>
        </w:tc>
      </w:tr>
      <w:tr>
        <w:tc>
          <w:tcPr>
            <w:tcW w:type="dxa" w:w="2551"/>
          </w:tcPr>
          <w:p>
            <w:pPr>
              <w:spacing w:after="40"/>
            </w:pPr>
            <w:r/>
            <w:r>
              <w:rPr>
                <w:sz w:val="19"/>
              </w:rPr>
              <w:t>Company wiki (Trust space)</w:t>
            </w:r>
          </w:p>
        </w:tc>
        <w:tc>
          <w:tcPr>
            <w:tcW w:type="dxa" w:w="3402"/>
          </w:tcPr>
          <w:p>
            <w:pPr>
              <w:spacing w:after="40"/>
            </w:pPr>
            <w:r/>
            <w:r>
              <w:rPr>
                <w:sz w:val="19"/>
              </w:rPr>
              <w:t>Published Manual, policies, procedures, runbooks, awareness pages</w:t>
            </w:r>
          </w:p>
        </w:tc>
        <w:tc>
          <w:tcPr>
            <w:tcW w:type="dxa" w:w="3402"/>
          </w:tcPr>
          <w:p>
            <w:pPr>
              <w:spacing w:after="40"/>
            </w:pPr>
            <w:r/>
            <w:r>
              <w:rPr>
                <w:sz w:val="19"/>
              </w:rPr>
              <w:t>Page history; edit rights for owners only; everyone else read-only</w:t>
            </w:r>
          </w:p>
        </w:tc>
      </w:tr>
      <w:tr>
        <w:tc>
          <w:tcPr>
            <w:tcW w:type="dxa" w:w="2551"/>
            <w:shd w:val="clear" w:color="auto" w:fill="F5F7FA"/>
          </w:tcPr>
          <w:p>
            <w:pPr>
              <w:spacing w:after="40"/>
            </w:pPr>
            <w:r/>
            <w:r>
              <w:rPr>
                <w:sz w:val="19"/>
              </w:rPr>
              <w:t>Git repository 'trust-docs' on GitHub (policies-as-code)</w:t>
            </w:r>
          </w:p>
        </w:tc>
        <w:tc>
          <w:tcPr>
            <w:tcW w:type="dxa" w:w="3402"/>
            <w:shd w:val="clear" w:color="auto" w:fill="F5F7FA"/>
          </w:tcPr>
          <w:p>
            <w:pPr>
              <w:spacing w:after="40"/>
            </w:pPr>
            <w:r/>
            <w:r>
              <w:rPr>
                <w:sz w:val="19"/>
              </w:rPr>
              <w:t>Markdown source of policies and procedures; SoA and register CSV snapshots; templates</w:t>
            </w:r>
          </w:p>
        </w:tc>
        <w:tc>
          <w:tcPr>
            <w:tcW w:type="dxa" w:w="3402"/>
            <w:shd w:val="clear" w:color="auto" w:fill="F5F7FA"/>
          </w:tcPr>
          <w:p>
            <w:pPr>
              <w:spacing w:after="40"/>
            </w:pPr>
            <w:r/>
            <w:r>
              <w:rPr>
                <w:sz w:val="19"/>
              </w:rPr>
              <w:t>Pull request with required approver = approval record; tags = versions; protected main branch</w:t>
            </w:r>
          </w:p>
        </w:tc>
      </w:tr>
      <w:tr>
        <w:tc>
          <w:tcPr>
            <w:tcW w:type="dxa" w:w="2551"/>
          </w:tcPr>
          <w:p>
            <w:pPr>
              <w:spacing w:after="40"/>
            </w:pPr>
            <w:r/>
            <w:r>
              <w:rPr>
                <w:sz w:val="19"/>
              </w:rPr>
              <w:t>Shared drive — IMS folder</w:t>
            </w:r>
          </w:p>
        </w:tc>
        <w:tc>
          <w:tcPr>
            <w:tcW w:type="dxa" w:w="3402"/>
          </w:tcPr>
          <w:p>
            <w:pPr>
              <w:spacing w:after="40"/>
            </w:pPr>
            <w:r/>
            <w:r>
              <w:rPr>
                <w:sz w:val="19"/>
              </w:rPr>
              <w:t>Registers (xlsx), audit reports, management review minutes</w:t>
            </w:r>
          </w:p>
        </w:tc>
        <w:tc>
          <w:tcPr>
            <w:tcW w:type="dxa" w:w="3402"/>
          </w:tcPr>
          <w:p>
            <w:pPr>
              <w:spacing w:after="40"/>
            </w:pPr>
            <w:r/>
            <w:r>
              <w:rPr>
                <w:sz w:val="19"/>
              </w:rPr>
              <w:t>Folder permissions by role; version history; Restricted subfolders</w:t>
            </w:r>
          </w:p>
        </w:tc>
      </w:tr>
      <w:tr>
        <w:tc>
          <w:tcPr>
            <w:tcW w:type="dxa" w:w="2551"/>
            <w:shd w:val="clear" w:color="auto" w:fill="F5F7FA"/>
          </w:tcPr>
          <w:p>
            <w:pPr>
              <w:spacing w:after="40"/>
            </w:pPr>
            <w:r/>
            <w:r>
              <w:rPr>
                <w:sz w:val="19"/>
              </w:rPr>
              <w:t>Model registry and ML repository</w:t>
            </w:r>
          </w:p>
        </w:tc>
        <w:tc>
          <w:tcPr>
            <w:tcW w:type="dxa" w:w="3402"/>
            <w:shd w:val="clear" w:color="auto" w:fill="F5F7FA"/>
          </w:tcPr>
          <w:p>
            <w:pPr>
              <w:spacing w:after="40"/>
            </w:pPr>
            <w:r/>
            <w:r>
              <w:rPr>
                <w:sz w:val="19"/>
              </w:rPr>
              <w:t>Model cards, evaluation reports, dataset manifests, training configs</w:t>
            </w:r>
          </w:p>
        </w:tc>
        <w:tc>
          <w:tcPr>
            <w:tcW w:type="dxa" w:w="3402"/>
            <w:shd w:val="clear" w:color="auto" w:fill="F5F7FA"/>
          </w:tcPr>
          <w:p>
            <w:pPr>
              <w:spacing w:after="40"/>
            </w:pPr>
            <w:r/>
            <w:r>
              <w:rPr>
                <w:sz w:val="19"/>
              </w:rPr>
              <w:t>Immutable model versions; access limited to Data and ML team</w:t>
            </w:r>
          </w:p>
        </w:tc>
      </w:tr>
      <w:tr>
        <w:tc>
          <w:tcPr>
            <w:tcW w:type="dxa" w:w="2551"/>
          </w:tcPr>
          <w:p>
            <w:pPr>
              <w:spacing w:after="40"/>
            </w:pPr>
            <w:r/>
            <w:r>
              <w:rPr>
                <w:sz w:val="19"/>
              </w:rPr>
              <w:t>Consent ledger</w:t>
            </w:r>
          </w:p>
        </w:tc>
        <w:tc>
          <w:tcPr>
            <w:tcW w:type="dxa" w:w="3402"/>
          </w:tcPr>
          <w:p>
            <w:pPr>
              <w:spacing w:after="40"/>
            </w:pPr>
            <w:r/>
            <w:r>
              <w:rPr>
                <w:sz w:val="19"/>
              </w:rPr>
              <w:t>Artist consent and licence records linked to dataset items</w:t>
            </w:r>
          </w:p>
        </w:tc>
        <w:tc>
          <w:tcPr>
            <w:tcW w:type="dxa" w:w="3402"/>
          </w:tcPr>
          <w:p>
            <w:pPr>
              <w:spacing w:after="40"/>
            </w:pPr>
            <w:r/>
            <w:r>
              <w:rPr>
                <w:sz w:val="19"/>
              </w:rPr>
              <w:t>Append-only; changes logged; Restricted</w:t>
            </w:r>
          </w:p>
        </w:tc>
      </w:tr>
      <w:tr>
        <w:tc>
          <w:tcPr>
            <w:tcW w:type="dxa" w:w="2551"/>
            <w:shd w:val="clear" w:color="auto" w:fill="F5F7FA"/>
          </w:tcPr>
          <w:p>
            <w:pPr>
              <w:spacing w:after="40"/>
            </w:pPr>
            <w:r/>
            <w:r>
              <w:rPr>
                <w:sz w:val="19"/>
              </w:rPr>
              <w:t>Ticketing system</w:t>
            </w:r>
          </w:p>
        </w:tc>
        <w:tc>
          <w:tcPr>
            <w:tcW w:type="dxa" w:w="3402"/>
            <w:shd w:val="clear" w:color="auto" w:fill="F5F7FA"/>
          </w:tcPr>
          <w:p>
            <w:pPr>
              <w:spacing w:after="40"/>
            </w:pPr>
            <w:r/>
            <w:r>
              <w:rPr>
                <w:sz w:val="19"/>
              </w:rPr>
              <w:t>Incidents, corrective actions, access requests, AI concern reports</w:t>
            </w:r>
          </w:p>
        </w:tc>
        <w:tc>
          <w:tcPr>
            <w:tcW w:type="dxa" w:w="3402"/>
            <w:shd w:val="clear" w:color="auto" w:fill="F5F7FA"/>
          </w:tcPr>
          <w:p>
            <w:pPr>
              <w:spacing w:after="40"/>
            </w:pPr>
            <w:r/>
            <w:r>
              <w:rPr>
                <w:sz w:val="19"/>
              </w:rPr>
              <w:t>Audit trail per ticket</w:t>
            </w:r>
          </w:p>
        </w:tc>
      </w:tr>
      <w:tr>
        <w:tc>
          <w:tcPr>
            <w:tcW w:type="dxa" w:w="2551"/>
          </w:tcPr>
          <w:p>
            <w:pPr>
              <w:spacing w:after="40"/>
            </w:pPr>
            <w:r/>
            <w:r>
              <w:rPr>
                <w:sz w:val="19"/>
              </w:rPr>
              <w:t>Log platform</w:t>
            </w:r>
          </w:p>
        </w:tc>
        <w:tc>
          <w:tcPr>
            <w:tcW w:type="dxa" w:w="3402"/>
          </w:tcPr>
          <w:p>
            <w:pPr>
              <w:spacing w:after="40"/>
            </w:pPr>
            <w:r/>
            <w:r>
              <w:rPr>
                <w:sz w:val="19"/>
              </w:rPr>
              <w:t>Application, security and AI event logs</w:t>
            </w:r>
          </w:p>
        </w:tc>
        <w:tc>
          <w:tcPr>
            <w:tcW w:type="dxa" w:w="3402"/>
          </w:tcPr>
          <w:p>
            <w:pPr>
              <w:spacing w:after="40"/>
            </w:pPr>
            <w:r/>
            <w:r>
              <w:rPr>
                <w:sz w:val="19"/>
              </w:rPr>
              <w:t>Write-once retention policies; access for SRE and Security only</w:t>
            </w:r>
          </w:p>
        </w:tc>
      </w:tr>
      <w:tr>
        <w:tc>
          <w:tcPr>
            <w:tcW w:type="dxa" w:w="2551"/>
            <w:shd w:val="clear" w:color="auto" w:fill="F5F7FA"/>
          </w:tcPr>
          <w:p>
            <w:pPr>
              <w:spacing w:after="40"/>
            </w:pPr>
            <w:r/>
            <w:r>
              <w:rPr>
                <w:sz w:val="19"/>
              </w:rPr>
              <w:t>HR system and learning platform</w:t>
            </w:r>
          </w:p>
        </w:tc>
        <w:tc>
          <w:tcPr>
            <w:tcW w:type="dxa" w:w="3402"/>
            <w:shd w:val="clear" w:color="auto" w:fill="F5F7FA"/>
          </w:tcPr>
          <w:p>
            <w:pPr>
              <w:spacing w:after="40"/>
            </w:pPr>
            <w:r/>
            <w:r>
              <w:rPr>
                <w:sz w:val="19"/>
              </w:rPr>
              <w:t>Training records, acknowledgements, CVs, certificates</w:t>
            </w:r>
          </w:p>
        </w:tc>
        <w:tc>
          <w:tcPr>
            <w:tcW w:type="dxa" w:w="3402"/>
            <w:shd w:val="clear" w:color="auto" w:fill="F5F7FA"/>
          </w:tcPr>
          <w:p>
            <w:pPr>
              <w:spacing w:after="40"/>
            </w:pPr>
            <w:r/>
            <w:r>
              <w:rPr>
                <w:sz w:val="19"/>
              </w:rPr>
              <w:t>HR and line-manager access only</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A policy change through Git</w:t>
            </w:r>
          </w:p>
          <w:p>
            <w:pPr>
              <w:spacing w:after="60"/>
            </w:pPr>
            <w:r>
              <w:rPr>
                <w:sz w:val="20"/>
              </w:rPr>
              <w:t>•  The Security Lead wants to shorten the quarterly access review window in IMS-POL-004 Access Control Policy. He opens a branch in 'trust-docs', edits the Markdown, and raises a pull request.</w:t>
            </w:r>
          </w:p>
          <w:p>
            <w:pPr>
              <w:spacing w:after="60"/>
            </w:pPr>
            <w:r>
              <w:rPr>
                <w:sz w:val="20"/>
              </w:rPr>
              <w:t>•  GitHub requires an approving review from a Trust Council member (CODEOWNERS file). The CTO approves; the Compliance Coordinator merges, tags the commit 'IMS-POL-004-v2.0', and the CI pipeline publishes the rendered page to the wiki and exports a PDF to the IMS folder.</w:t>
            </w:r>
          </w:p>
          <w:p>
            <w:pPr>
              <w:spacing w:after="60"/>
            </w:pPr>
            <w:r>
              <w:rPr>
                <w:sz w:val="20"/>
              </w:rPr>
              <w:t>•  Evidence for the auditor: the pull request (who changed what, who approved, when), the tag, and the announcement link — no separate approval form needed.</w:t>
            </w:r>
          </w:p>
        </w:tc>
      </w:tr>
    </w:tbl>
    <w:p/>
    <w:p>
      <w:pPr>
        <w:pStyle w:val="Heading1"/>
      </w:pPr>
      <w:r>
        <w:t>8. Access, classification and protection</w:t>
      </w:r>
    </w:p>
    <w:p>
      <w:r>
        <w:rPr/>
        <w:t>Every document and record has one of four classifications: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417"/>
            <w:shd w:val="clear" w:color="auto" w:fill="142B4C"/>
          </w:tcPr>
          <w:p>
            <w:r/>
            <w:r>
              <w:rPr>
                <w:b/>
                <w:color w:val="FFFFFF"/>
                <w:sz w:val="19"/>
              </w:rPr>
              <w:t>Class</w:t>
            </w:r>
          </w:p>
        </w:tc>
        <w:tc>
          <w:tcPr>
            <w:tcW w:type="dxa" w:w="2268"/>
            <w:shd w:val="clear" w:color="auto" w:fill="142B4C"/>
          </w:tcPr>
          <w:p>
            <w:r/>
            <w:r>
              <w:rPr>
                <w:b/>
                <w:color w:val="FFFFFF"/>
                <w:sz w:val="19"/>
              </w:rPr>
              <w:t>Meaning</w:t>
            </w:r>
          </w:p>
        </w:tc>
        <w:tc>
          <w:tcPr>
            <w:tcW w:type="dxa" w:w="3402"/>
            <w:shd w:val="clear" w:color="auto" w:fill="142B4C"/>
          </w:tcPr>
          <w:p>
            <w:r/>
            <w:r>
              <w:rPr>
                <w:b/>
                <w:color w:val="FFFFFF"/>
                <w:sz w:val="19"/>
              </w:rPr>
              <w:t>Examples</w:t>
            </w:r>
          </w:p>
        </w:tc>
        <w:tc>
          <w:tcPr>
            <w:tcW w:type="dxa" w:w="2268"/>
            <w:shd w:val="clear" w:color="auto" w:fill="142B4C"/>
          </w:tcPr>
          <w:p>
            <w:r/>
            <w:r>
              <w:rPr>
                <w:b/>
                <w:color w:val="FFFFFF"/>
                <w:sz w:val="19"/>
              </w:rPr>
              <w:t>Handling</w:t>
            </w:r>
          </w:p>
        </w:tc>
      </w:tr>
      <w:tr>
        <w:tc>
          <w:tcPr>
            <w:tcW w:type="dxa" w:w="1417"/>
          </w:tcPr>
          <w:p>
            <w:pPr>
              <w:spacing w:after="40"/>
            </w:pPr>
            <w:r/>
            <w:r>
              <w:rPr>
                <w:sz w:val="19"/>
              </w:rPr>
              <w:t>Public</w:t>
            </w:r>
          </w:p>
        </w:tc>
        <w:tc>
          <w:tcPr>
            <w:tcW w:type="dxa" w:w="2268"/>
          </w:tcPr>
          <w:p>
            <w:pPr>
              <w:spacing w:after="40"/>
            </w:pPr>
            <w:r/>
            <w:r>
              <w:rPr>
                <w:sz w:val="19"/>
              </w:rPr>
              <w:t>Approved for anyone</w:t>
            </w:r>
          </w:p>
        </w:tc>
        <w:tc>
          <w:tcPr>
            <w:tcW w:type="dxa" w:w="3402"/>
          </w:tcPr>
          <w:p>
            <w:pPr>
              <w:spacing w:after="40"/>
            </w:pPr>
            <w:r/>
            <w:r>
              <w:rPr>
                <w:sz w:val="19"/>
              </w:rPr>
              <w:t>Trust Centre page, AI system summary pages</w:t>
            </w:r>
          </w:p>
        </w:tc>
        <w:tc>
          <w:tcPr>
            <w:tcW w:type="dxa" w:w="2268"/>
          </w:tcPr>
          <w:p>
            <w:pPr>
              <w:spacing w:after="40"/>
            </w:pPr>
            <w:r/>
            <w:r>
              <w:rPr>
                <w:sz w:val="19"/>
              </w:rPr>
              <w:t>No restriction once approved</w:t>
            </w:r>
          </w:p>
        </w:tc>
      </w:tr>
      <w:tr>
        <w:tc>
          <w:tcPr>
            <w:tcW w:type="dxa" w:w="1417"/>
            <w:shd w:val="clear" w:color="auto" w:fill="F5F7FA"/>
          </w:tcPr>
          <w:p>
            <w:pPr>
              <w:spacing w:after="40"/>
            </w:pPr>
            <w:r/>
            <w:r>
              <w:rPr>
                <w:sz w:val="19"/>
              </w:rPr>
              <w:t>Internal</w:t>
            </w:r>
          </w:p>
        </w:tc>
        <w:tc>
          <w:tcPr>
            <w:tcW w:type="dxa" w:w="2268"/>
            <w:shd w:val="clear" w:color="auto" w:fill="F5F7FA"/>
          </w:tcPr>
          <w:p>
            <w:pPr>
              <w:spacing w:after="40"/>
            </w:pPr>
            <w:r/>
            <w:r>
              <w:rPr>
                <w:sz w:val="19"/>
              </w:rPr>
              <w:t>For staff and contractors</w:t>
            </w:r>
          </w:p>
        </w:tc>
        <w:tc>
          <w:tcPr>
            <w:tcW w:type="dxa" w:w="3402"/>
            <w:shd w:val="clear" w:color="auto" w:fill="F5F7FA"/>
          </w:tcPr>
          <w:p>
            <w:pPr>
              <w:spacing w:after="40"/>
            </w:pPr>
            <w:r/>
            <w:r>
              <w:rPr>
                <w:sz w:val="19"/>
              </w:rPr>
              <w:t>Most policies and procedures in this kit</w:t>
            </w:r>
          </w:p>
        </w:tc>
        <w:tc>
          <w:tcPr>
            <w:tcW w:type="dxa" w:w="2268"/>
            <w:shd w:val="clear" w:color="auto" w:fill="F5F7FA"/>
          </w:tcPr>
          <w:p>
            <w:pPr>
              <w:spacing w:after="40"/>
            </w:pPr>
            <w:r/>
            <w:r>
              <w:rPr>
                <w:sz w:val="19"/>
              </w:rPr>
              <w:t>Company tools only</w:t>
            </w:r>
          </w:p>
        </w:tc>
      </w:tr>
      <w:tr>
        <w:tc>
          <w:tcPr>
            <w:tcW w:type="dxa" w:w="1417"/>
          </w:tcPr>
          <w:p>
            <w:pPr>
              <w:spacing w:after="40"/>
            </w:pPr>
            <w:r/>
            <w:r>
              <w:rPr>
                <w:sz w:val="19"/>
              </w:rPr>
              <w:t>Confidential</w:t>
            </w:r>
          </w:p>
        </w:tc>
        <w:tc>
          <w:tcPr>
            <w:tcW w:type="dxa" w:w="2268"/>
          </w:tcPr>
          <w:p>
            <w:pPr>
              <w:spacing w:after="40"/>
            </w:pPr>
            <w:r/>
            <w:r>
              <w:rPr>
                <w:sz w:val="19"/>
              </w:rPr>
              <w:t>Need-to-know within the company</w:t>
            </w:r>
          </w:p>
        </w:tc>
        <w:tc>
          <w:tcPr>
            <w:tcW w:type="dxa" w:w="3402"/>
          </w:tcPr>
          <w:p>
            <w:pPr>
              <w:spacing w:after="40"/>
            </w:pPr>
            <w:r/>
            <w:r>
              <w:rPr>
                <w:sz w:val="19"/>
              </w:rPr>
              <w:t>Risk register, audit reports, source code, logs</w:t>
            </w:r>
          </w:p>
        </w:tc>
        <w:tc>
          <w:tcPr>
            <w:tcW w:type="dxa" w:w="2268"/>
          </w:tcPr>
          <w:p>
            <w:pPr>
              <w:spacing w:after="40"/>
            </w:pPr>
            <w:r/>
            <w:r>
              <w:rPr>
                <w:sz w:val="19"/>
              </w:rPr>
              <w:t>Role-based access; no external sharing without NDA</w:t>
            </w:r>
          </w:p>
        </w:tc>
      </w:tr>
      <w:tr>
        <w:tc>
          <w:tcPr>
            <w:tcW w:type="dxa" w:w="1417"/>
            <w:shd w:val="clear" w:color="auto" w:fill="F5F7FA"/>
          </w:tcPr>
          <w:p>
            <w:pPr>
              <w:spacing w:after="40"/>
            </w:pPr>
            <w:r/>
            <w:r>
              <w:rPr>
                <w:sz w:val="19"/>
              </w:rPr>
              <w:t>Restricted</w:t>
            </w:r>
          </w:p>
        </w:tc>
        <w:tc>
          <w:tcPr>
            <w:tcW w:type="dxa" w:w="2268"/>
            <w:shd w:val="clear" w:color="auto" w:fill="F5F7FA"/>
          </w:tcPr>
          <w:p>
            <w:pPr>
              <w:spacing w:after="40"/>
            </w:pPr>
            <w:r/>
            <w:r>
              <w:rPr>
                <w:sz w:val="19"/>
              </w:rPr>
              <w:t>Highest harm if exposed</w:t>
            </w:r>
          </w:p>
        </w:tc>
        <w:tc>
          <w:tcPr>
            <w:tcW w:type="dxa" w:w="3402"/>
            <w:shd w:val="clear" w:color="auto" w:fill="F5F7FA"/>
          </w:tcPr>
          <w:p>
            <w:pPr>
              <w:spacing w:after="40"/>
            </w:pPr>
            <w:r/>
            <w:r>
              <w:rPr>
                <w:sz w:val="19"/>
              </w:rPr>
              <w:t>Customer scripts, artist portfolios and consent records, training datasets and model weights, secrets, breach files</w:t>
            </w:r>
          </w:p>
        </w:tc>
        <w:tc>
          <w:tcPr>
            <w:tcW w:type="dxa" w:w="2268"/>
            <w:shd w:val="clear" w:color="auto" w:fill="F5F7FA"/>
          </w:tcPr>
          <w:p>
            <w:pPr>
              <w:spacing w:after="40"/>
            </w:pPr>
            <w:r/>
            <w:r>
              <w:rPr>
                <w:sz w:val="19"/>
              </w:rPr>
              <w:t>Named access, approved by owner; encrypted; access logged</w:t>
            </w:r>
          </w:p>
        </w:tc>
      </w:tr>
    </w:tbl>
    <w:p/>
    <w:p>
      <w:r>
        <w:rPr/>
        <w:t>Labels: documents show the class in the footer; repositories, folders and buckets carry the class in their name or tag. When in doubt, use the higher class. Printed copies are uncontrolled and must be shredded after use.</w:t>
      </w:r>
    </w:p>
    <w:p>
      <w:pPr>
        <w:pStyle w:val="Heading1"/>
      </w:pPr>
      <w:r>
        <w:t>9. Retention and disposal</w:t>
      </w:r>
    </w:p>
    <w:p>
      <w:r>
        <w:rPr/>
        <w:t>Records are kept for the period below, then deleted or anonymised. Where a law, contract or legal hold requires longer, the longer period wins. The owner of each store sets automatic deletion where the tool allows.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3118"/>
            <w:shd w:val="clear" w:color="auto" w:fill="142B4C"/>
          </w:tcPr>
          <w:p>
            <w:r/>
            <w:r>
              <w:rPr>
                <w:b/>
                <w:color w:val="FFFFFF"/>
                <w:sz w:val="19"/>
              </w:rPr>
              <w:t>Record</w:t>
            </w:r>
          </w:p>
        </w:tc>
        <w:tc>
          <w:tcPr>
            <w:tcW w:type="dxa" w:w="2268"/>
            <w:shd w:val="clear" w:color="auto" w:fill="142B4C"/>
          </w:tcPr>
          <w:p>
            <w:r/>
            <w:r>
              <w:rPr>
                <w:b/>
                <w:color w:val="FFFFFF"/>
                <w:sz w:val="19"/>
              </w:rPr>
              <w:t>Standard link</w:t>
            </w:r>
          </w:p>
        </w:tc>
        <w:tc>
          <w:tcPr>
            <w:tcW w:type="dxa" w:w="2551"/>
            <w:shd w:val="clear" w:color="auto" w:fill="142B4C"/>
          </w:tcPr>
          <w:p>
            <w:r/>
            <w:r>
              <w:rPr>
                <w:b/>
                <w:color w:val="FFFFFF"/>
                <w:sz w:val="19"/>
              </w:rPr>
              <w:t>Retention</w:t>
            </w:r>
          </w:p>
        </w:tc>
        <w:tc>
          <w:tcPr>
            <w:tcW w:type="dxa" w:w="1417"/>
            <w:shd w:val="clear" w:color="auto" w:fill="142B4C"/>
          </w:tcPr>
          <w:p>
            <w:r/>
            <w:r>
              <w:rPr>
                <w:b/>
                <w:color w:val="FFFFFF"/>
                <w:sz w:val="19"/>
              </w:rPr>
              <w:t>Owner</w:t>
            </w:r>
          </w:p>
        </w:tc>
      </w:tr>
      <w:tr>
        <w:tc>
          <w:tcPr>
            <w:tcW w:type="dxa" w:w="3118"/>
          </w:tcPr>
          <w:p>
            <w:pPr>
              <w:spacing w:after="40"/>
            </w:pPr>
            <w:r/>
            <w:r>
              <w:rPr>
                <w:sz w:val="19"/>
              </w:rPr>
              <w:t>Superseded versions of policies, procedures, SoAs</w:t>
            </w:r>
          </w:p>
        </w:tc>
        <w:tc>
          <w:tcPr>
            <w:tcW w:type="dxa" w:w="2268"/>
          </w:tcPr>
          <w:p>
            <w:pPr>
              <w:spacing w:after="40"/>
            </w:pPr>
            <w:r/>
            <w:r>
              <w:rPr>
                <w:sz w:val="19"/>
              </w:rPr>
              <w:t>27001 / 42001 7.5</w:t>
            </w:r>
          </w:p>
        </w:tc>
        <w:tc>
          <w:tcPr>
            <w:tcW w:type="dxa" w:w="2551"/>
          </w:tcPr>
          <w:p>
            <w:pPr>
              <w:spacing w:after="40"/>
            </w:pPr>
            <w:r/>
            <w:r>
              <w:rPr>
                <w:sz w:val="19"/>
              </w:rPr>
              <w:t>6 years after replacement</w:t>
            </w:r>
          </w:p>
        </w:tc>
        <w:tc>
          <w:tcPr>
            <w:tcW w:type="dxa" w:w="1417"/>
          </w:tcPr>
          <w:p>
            <w:pPr>
              <w:spacing w:after="40"/>
            </w:pPr>
            <w:r/>
            <w:r>
              <w:rPr>
                <w:sz w:val="19"/>
              </w:rPr>
              <w:t>Compliance Coordinator</w:t>
            </w:r>
          </w:p>
        </w:tc>
      </w:tr>
      <w:tr>
        <w:tc>
          <w:tcPr>
            <w:tcW w:type="dxa" w:w="3118"/>
            <w:shd w:val="clear" w:color="auto" w:fill="F5F7FA"/>
          </w:tcPr>
          <w:p>
            <w:pPr>
              <w:spacing w:after="40"/>
            </w:pPr>
            <w:r/>
            <w:r>
              <w:rPr>
                <w:sz w:val="19"/>
              </w:rPr>
              <w:t>Risk register snapshots, risk acceptance decisions</w:t>
            </w:r>
          </w:p>
        </w:tc>
        <w:tc>
          <w:tcPr>
            <w:tcW w:type="dxa" w:w="2268"/>
            <w:shd w:val="clear" w:color="auto" w:fill="F5F7FA"/>
          </w:tcPr>
          <w:p>
            <w:pPr>
              <w:spacing w:after="40"/>
            </w:pPr>
            <w:r/>
            <w:r>
              <w:rPr>
                <w:sz w:val="19"/>
              </w:rPr>
              <w:t>27001 6.1.3, 8.3; 42001 6.1, 8.3</w:t>
            </w:r>
          </w:p>
        </w:tc>
        <w:tc>
          <w:tcPr>
            <w:tcW w:type="dxa" w:w="2551"/>
            <w:shd w:val="clear" w:color="auto" w:fill="F5F7FA"/>
          </w:tcPr>
          <w:p>
            <w:pPr>
              <w:spacing w:after="40"/>
            </w:pPr>
            <w:r/>
            <w:r>
              <w:rPr>
                <w:sz w:val="19"/>
              </w:rPr>
              <w:t>6 years</w:t>
            </w:r>
          </w:p>
        </w:tc>
        <w:tc>
          <w:tcPr>
            <w:tcW w:type="dxa" w:w="1417"/>
            <w:shd w:val="clear" w:color="auto" w:fill="F5F7FA"/>
          </w:tcPr>
          <w:p>
            <w:pPr>
              <w:spacing w:after="40"/>
            </w:pPr>
            <w:r/>
            <w:r>
              <w:rPr>
                <w:sz w:val="19"/>
              </w:rPr>
              <w:t>Security Lead (acting CISO)</w:t>
            </w:r>
          </w:p>
        </w:tc>
      </w:tr>
      <w:tr>
        <w:tc>
          <w:tcPr>
            <w:tcW w:type="dxa" w:w="3118"/>
          </w:tcPr>
          <w:p>
            <w:pPr>
              <w:spacing w:after="40"/>
            </w:pPr>
            <w:r/>
            <w:r>
              <w:rPr>
                <w:sz w:val="19"/>
              </w:rPr>
              <w:t>AI system impact assessments (AIIA-…)</w:t>
            </w:r>
          </w:p>
        </w:tc>
        <w:tc>
          <w:tcPr>
            <w:tcW w:type="dxa" w:w="2268"/>
          </w:tcPr>
          <w:p>
            <w:pPr>
              <w:spacing w:after="40"/>
            </w:pPr>
            <w:r/>
            <w:r>
              <w:rPr>
                <w:sz w:val="19"/>
              </w:rPr>
              <w:t>42001 6.1.4, 8.4, A.5.3</w:t>
            </w:r>
          </w:p>
        </w:tc>
        <w:tc>
          <w:tcPr>
            <w:tcW w:type="dxa" w:w="2551"/>
          </w:tcPr>
          <w:p>
            <w:pPr>
              <w:spacing w:after="40"/>
            </w:pPr>
            <w:r/>
            <w:r>
              <w:rPr>
                <w:sz w:val="19"/>
              </w:rPr>
              <w:t>Life of the AI system + 6 years</w:t>
            </w:r>
          </w:p>
        </w:tc>
        <w:tc>
          <w:tcPr>
            <w:tcW w:type="dxa" w:w="1417"/>
          </w:tcPr>
          <w:p>
            <w:pPr>
              <w:spacing w:after="40"/>
            </w:pPr>
            <w:r/>
            <w:r>
              <w:rPr>
                <w:sz w:val="19"/>
              </w:rPr>
              <w:t>Head of AI</w:t>
            </w:r>
          </w:p>
        </w:tc>
      </w:tr>
      <w:tr>
        <w:tc>
          <w:tcPr>
            <w:tcW w:type="dxa" w:w="3118"/>
            <w:shd w:val="clear" w:color="auto" w:fill="F5F7FA"/>
          </w:tcPr>
          <w:p>
            <w:pPr>
              <w:spacing w:after="40"/>
            </w:pPr>
            <w:r/>
            <w:r>
              <w:rPr>
                <w:sz w:val="19"/>
              </w:rPr>
              <w:t>Internal audit reports and evidence</w:t>
            </w:r>
          </w:p>
        </w:tc>
        <w:tc>
          <w:tcPr>
            <w:tcW w:type="dxa" w:w="2268"/>
            <w:shd w:val="clear" w:color="auto" w:fill="F5F7FA"/>
          </w:tcPr>
          <w:p>
            <w:pPr>
              <w:spacing w:after="40"/>
            </w:pPr>
            <w:r/>
            <w:r>
              <w:rPr>
                <w:sz w:val="19"/>
              </w:rPr>
              <w:t>9.2 (both)</w:t>
            </w:r>
          </w:p>
        </w:tc>
        <w:tc>
          <w:tcPr>
            <w:tcW w:type="dxa" w:w="2551"/>
            <w:shd w:val="clear" w:color="auto" w:fill="F5F7FA"/>
          </w:tcPr>
          <w:p>
            <w:pPr>
              <w:spacing w:after="40"/>
            </w:pPr>
            <w:r/>
            <w:r>
              <w:rPr>
                <w:sz w:val="19"/>
              </w:rPr>
              <w:t>6 years (two certification cycles)</w:t>
            </w:r>
          </w:p>
        </w:tc>
        <w:tc>
          <w:tcPr>
            <w:tcW w:type="dxa" w:w="1417"/>
            <w:shd w:val="clear" w:color="auto" w:fill="F5F7FA"/>
          </w:tcPr>
          <w:p>
            <w:pPr>
              <w:spacing w:after="40"/>
            </w:pPr>
            <w:r/>
            <w:r>
              <w:rPr>
                <w:sz w:val="19"/>
              </w:rPr>
              <w:t>Compliance Coordinator</w:t>
            </w:r>
          </w:p>
        </w:tc>
      </w:tr>
      <w:tr>
        <w:tc>
          <w:tcPr>
            <w:tcW w:type="dxa" w:w="3118"/>
          </w:tcPr>
          <w:p>
            <w:pPr>
              <w:spacing w:after="40"/>
            </w:pPr>
            <w:r/>
            <w:r>
              <w:rPr>
                <w:sz w:val="19"/>
              </w:rPr>
              <w:t>Management review minutes</w:t>
            </w:r>
          </w:p>
        </w:tc>
        <w:tc>
          <w:tcPr>
            <w:tcW w:type="dxa" w:w="2268"/>
          </w:tcPr>
          <w:p>
            <w:pPr>
              <w:spacing w:after="40"/>
            </w:pPr>
            <w:r/>
            <w:r>
              <w:rPr>
                <w:sz w:val="19"/>
              </w:rPr>
              <w:t>9.3 (both)</w:t>
            </w:r>
          </w:p>
        </w:tc>
        <w:tc>
          <w:tcPr>
            <w:tcW w:type="dxa" w:w="2551"/>
          </w:tcPr>
          <w:p>
            <w:pPr>
              <w:spacing w:after="40"/>
            </w:pPr>
            <w:r/>
            <w:r>
              <w:rPr>
                <w:sz w:val="19"/>
              </w:rPr>
              <w:t>6 years</w:t>
            </w:r>
          </w:p>
        </w:tc>
        <w:tc>
          <w:tcPr>
            <w:tcW w:type="dxa" w:w="1417"/>
          </w:tcPr>
          <w:p>
            <w:pPr>
              <w:spacing w:after="40"/>
            </w:pPr>
            <w:r/>
            <w:r>
              <w:rPr>
                <w:sz w:val="19"/>
              </w:rPr>
              <w:t>Compliance Coordinator</w:t>
            </w:r>
          </w:p>
        </w:tc>
      </w:tr>
      <w:tr>
        <w:tc>
          <w:tcPr>
            <w:tcW w:type="dxa" w:w="3118"/>
            <w:shd w:val="clear" w:color="auto" w:fill="F5F7FA"/>
          </w:tcPr>
          <w:p>
            <w:pPr>
              <w:spacing w:after="40"/>
            </w:pPr>
            <w:r/>
            <w:r>
              <w:rPr>
                <w:sz w:val="19"/>
              </w:rPr>
              <w:t>Nonconformities and corrective actions</w:t>
            </w:r>
          </w:p>
        </w:tc>
        <w:tc>
          <w:tcPr>
            <w:tcW w:type="dxa" w:w="2268"/>
            <w:shd w:val="clear" w:color="auto" w:fill="F5F7FA"/>
          </w:tcPr>
          <w:p>
            <w:pPr>
              <w:spacing w:after="40"/>
            </w:pPr>
            <w:r/>
            <w:r>
              <w:rPr>
                <w:sz w:val="19"/>
              </w:rPr>
              <w:t>10.2 (both)</w:t>
            </w:r>
          </w:p>
        </w:tc>
        <w:tc>
          <w:tcPr>
            <w:tcW w:type="dxa" w:w="2551"/>
            <w:shd w:val="clear" w:color="auto" w:fill="F5F7FA"/>
          </w:tcPr>
          <w:p>
            <w:pPr>
              <w:spacing w:after="40"/>
            </w:pPr>
            <w:r/>
            <w:r>
              <w:rPr>
                <w:sz w:val="19"/>
              </w:rPr>
              <w:t>6 years</w:t>
            </w:r>
          </w:p>
        </w:tc>
        <w:tc>
          <w:tcPr>
            <w:tcW w:type="dxa" w:w="1417"/>
            <w:shd w:val="clear" w:color="auto" w:fill="F5F7FA"/>
          </w:tcPr>
          <w:p>
            <w:pPr>
              <w:spacing w:after="40"/>
            </w:pPr>
            <w:r/>
            <w:r>
              <w:rPr>
                <w:sz w:val="19"/>
              </w:rPr>
              <w:t>Compliance Coordinator</w:t>
            </w:r>
          </w:p>
        </w:tc>
      </w:tr>
      <w:tr>
        <w:tc>
          <w:tcPr>
            <w:tcW w:type="dxa" w:w="3118"/>
          </w:tcPr>
          <w:p>
            <w:pPr>
              <w:spacing w:after="40"/>
            </w:pPr>
            <w:r/>
            <w:r>
              <w:rPr>
                <w:sz w:val="19"/>
              </w:rPr>
              <w:t>Training and competence records</w:t>
            </w:r>
          </w:p>
        </w:tc>
        <w:tc>
          <w:tcPr>
            <w:tcW w:type="dxa" w:w="2268"/>
          </w:tcPr>
          <w:p>
            <w:pPr>
              <w:spacing w:after="40"/>
            </w:pPr>
            <w:r/>
            <w:r>
              <w:rPr>
                <w:sz w:val="19"/>
              </w:rPr>
              <w:t>7.2 (both)</w:t>
            </w:r>
          </w:p>
        </w:tc>
        <w:tc>
          <w:tcPr>
            <w:tcW w:type="dxa" w:w="2551"/>
          </w:tcPr>
          <w:p>
            <w:pPr>
              <w:spacing w:after="40"/>
            </w:pPr>
            <w:r/>
            <w:r>
              <w:rPr>
                <w:sz w:val="19"/>
              </w:rPr>
              <w:t>Employment + 2 years</w:t>
            </w:r>
          </w:p>
        </w:tc>
        <w:tc>
          <w:tcPr>
            <w:tcW w:type="dxa" w:w="1417"/>
          </w:tcPr>
          <w:p>
            <w:pPr>
              <w:spacing w:after="40"/>
            </w:pPr>
            <w:r/>
            <w:r>
              <w:rPr>
                <w:sz w:val="19"/>
              </w:rPr>
              <w:t>People and Operations Lead</w:t>
            </w:r>
          </w:p>
        </w:tc>
      </w:tr>
      <w:tr>
        <w:tc>
          <w:tcPr>
            <w:tcW w:type="dxa" w:w="3118"/>
            <w:shd w:val="clear" w:color="auto" w:fill="F5F7FA"/>
          </w:tcPr>
          <w:p>
            <w:pPr>
              <w:spacing w:after="40"/>
            </w:pPr>
            <w:r/>
            <w:r>
              <w:rPr>
                <w:sz w:val="19"/>
              </w:rPr>
              <w:t>Incident records and post-incident reviews</w:t>
            </w:r>
          </w:p>
        </w:tc>
        <w:tc>
          <w:tcPr>
            <w:tcW w:type="dxa" w:w="2268"/>
            <w:shd w:val="clear" w:color="auto" w:fill="F5F7FA"/>
          </w:tcPr>
          <w:p>
            <w:pPr>
              <w:spacing w:after="40"/>
            </w:pPr>
            <w:r/>
            <w:r>
              <w:rPr>
                <w:sz w:val="19"/>
              </w:rPr>
              <w:t>27001 A 5.24–5.28; 42001 A.8.4</w:t>
            </w:r>
          </w:p>
        </w:tc>
        <w:tc>
          <w:tcPr>
            <w:tcW w:type="dxa" w:w="2551"/>
            <w:shd w:val="clear" w:color="auto" w:fill="F5F7FA"/>
          </w:tcPr>
          <w:p>
            <w:pPr>
              <w:spacing w:after="40"/>
            </w:pPr>
            <w:r/>
            <w:r>
              <w:rPr>
                <w:sz w:val="19"/>
              </w:rPr>
              <w:t>6 years</w:t>
            </w:r>
          </w:p>
        </w:tc>
        <w:tc>
          <w:tcPr>
            <w:tcW w:type="dxa" w:w="1417"/>
            <w:shd w:val="clear" w:color="auto" w:fill="F5F7FA"/>
          </w:tcPr>
          <w:p>
            <w:pPr>
              <w:spacing w:after="40"/>
            </w:pPr>
            <w:r/>
            <w:r>
              <w:rPr>
                <w:sz w:val="19"/>
              </w:rPr>
              <w:t>Security Lead (acting CISO)</w:t>
            </w:r>
          </w:p>
        </w:tc>
      </w:tr>
      <w:tr>
        <w:tc>
          <w:tcPr>
            <w:tcW w:type="dxa" w:w="3118"/>
          </w:tcPr>
          <w:p>
            <w:pPr>
              <w:spacing w:after="40"/>
            </w:pPr>
            <w:r/>
            <w:r>
              <w:rPr>
                <w:sz w:val="19"/>
              </w:rPr>
              <w:t>Access requests and quarterly access reviews</w:t>
            </w:r>
          </w:p>
        </w:tc>
        <w:tc>
          <w:tcPr>
            <w:tcW w:type="dxa" w:w="2268"/>
          </w:tcPr>
          <w:p>
            <w:pPr>
              <w:spacing w:after="40"/>
            </w:pPr>
            <w:r/>
            <w:r>
              <w:rPr>
                <w:sz w:val="19"/>
              </w:rPr>
              <w:t>27001 A 5.18</w:t>
            </w:r>
          </w:p>
        </w:tc>
        <w:tc>
          <w:tcPr>
            <w:tcW w:type="dxa" w:w="2551"/>
          </w:tcPr>
          <w:p>
            <w:pPr>
              <w:spacing w:after="40"/>
            </w:pPr>
            <w:r/>
            <w:r>
              <w:rPr>
                <w:sz w:val="19"/>
              </w:rPr>
              <w:t>3 years</w:t>
            </w:r>
          </w:p>
        </w:tc>
        <w:tc>
          <w:tcPr>
            <w:tcW w:type="dxa" w:w="1417"/>
          </w:tcPr>
          <w:p>
            <w:pPr>
              <w:spacing w:after="40"/>
            </w:pPr>
            <w:r/>
            <w:r>
              <w:rPr>
                <w:sz w:val="19"/>
              </w:rPr>
              <w:t>Security Lead (acting CISO)</w:t>
            </w:r>
          </w:p>
        </w:tc>
      </w:tr>
      <w:tr>
        <w:tc>
          <w:tcPr>
            <w:tcW w:type="dxa" w:w="3118"/>
            <w:shd w:val="clear" w:color="auto" w:fill="F5F7FA"/>
          </w:tcPr>
          <w:p>
            <w:pPr>
              <w:spacing w:after="40"/>
            </w:pPr>
            <w:r/>
            <w:r>
              <w:rPr>
                <w:sz w:val="19"/>
              </w:rPr>
              <w:t>Dataset provenance, licence and consent records</w:t>
            </w:r>
          </w:p>
        </w:tc>
        <w:tc>
          <w:tcPr>
            <w:tcW w:type="dxa" w:w="2268"/>
            <w:shd w:val="clear" w:color="auto" w:fill="F5F7FA"/>
          </w:tcPr>
          <w:p>
            <w:pPr>
              <w:spacing w:after="40"/>
            </w:pPr>
            <w:r/>
            <w:r>
              <w:rPr>
                <w:sz w:val="19"/>
              </w:rPr>
              <w:t>42001 A.7.5, A.7.3</w:t>
            </w:r>
          </w:p>
        </w:tc>
        <w:tc>
          <w:tcPr>
            <w:tcW w:type="dxa" w:w="2551"/>
            <w:shd w:val="clear" w:color="auto" w:fill="F5F7FA"/>
          </w:tcPr>
          <w:p>
            <w:pPr>
              <w:spacing w:after="40"/>
            </w:pPr>
            <w:r/>
            <w:r>
              <w:rPr>
                <w:sz w:val="19"/>
              </w:rPr>
              <w:t>Life of any model trained on the data + 6 years</w:t>
            </w:r>
          </w:p>
        </w:tc>
        <w:tc>
          <w:tcPr>
            <w:tcW w:type="dxa" w:w="1417"/>
            <w:shd w:val="clear" w:color="auto" w:fill="F5F7FA"/>
          </w:tcPr>
          <w:p>
            <w:pPr>
              <w:spacing w:after="40"/>
            </w:pPr>
            <w:r/>
            <w:r>
              <w:rPr>
                <w:sz w:val="19"/>
              </w:rPr>
              <w:t>Data and ML Lead</w:t>
            </w:r>
          </w:p>
        </w:tc>
      </w:tr>
      <w:tr>
        <w:tc>
          <w:tcPr>
            <w:tcW w:type="dxa" w:w="3118"/>
          </w:tcPr>
          <w:p>
            <w:pPr>
              <w:spacing w:after="40"/>
            </w:pPr>
            <w:r/>
            <w:r>
              <w:rPr>
                <w:sz w:val="19"/>
              </w:rPr>
              <w:t>Model cards, evaluation and fairness test reports</w:t>
            </w:r>
          </w:p>
        </w:tc>
        <w:tc>
          <w:tcPr>
            <w:tcW w:type="dxa" w:w="2268"/>
          </w:tcPr>
          <w:p>
            <w:pPr>
              <w:spacing w:after="40"/>
            </w:pPr>
            <w:r/>
            <w:r>
              <w:rPr>
                <w:sz w:val="19"/>
              </w:rPr>
              <w:t>42001 A.6.2.3–A.6.2.7</w:t>
            </w:r>
          </w:p>
        </w:tc>
        <w:tc>
          <w:tcPr>
            <w:tcW w:type="dxa" w:w="2551"/>
          </w:tcPr>
          <w:p>
            <w:pPr>
              <w:spacing w:after="40"/>
            </w:pPr>
            <w:r/>
            <w:r>
              <w:rPr>
                <w:sz w:val="19"/>
              </w:rPr>
              <w:t>Life of the model + 6 years</w:t>
            </w:r>
          </w:p>
        </w:tc>
        <w:tc>
          <w:tcPr>
            <w:tcW w:type="dxa" w:w="1417"/>
          </w:tcPr>
          <w:p>
            <w:pPr>
              <w:spacing w:after="40"/>
            </w:pPr>
            <w:r/>
            <w:r>
              <w:rPr>
                <w:sz w:val="19"/>
              </w:rPr>
              <w:t>Data and ML Lead</w:t>
            </w:r>
          </w:p>
        </w:tc>
      </w:tr>
      <w:tr>
        <w:tc>
          <w:tcPr>
            <w:tcW w:type="dxa" w:w="3118"/>
            <w:shd w:val="clear" w:color="auto" w:fill="F5F7FA"/>
          </w:tcPr>
          <w:p>
            <w:pPr>
              <w:spacing w:after="40"/>
            </w:pPr>
            <w:r/>
            <w:r>
              <w:rPr>
                <w:sz w:val="19"/>
              </w:rPr>
              <w:t>AI Release Review decisions</w:t>
            </w:r>
          </w:p>
        </w:tc>
        <w:tc>
          <w:tcPr>
            <w:tcW w:type="dxa" w:w="2268"/>
            <w:shd w:val="clear" w:color="auto" w:fill="F5F7FA"/>
          </w:tcPr>
          <w:p>
            <w:pPr>
              <w:spacing w:after="40"/>
            </w:pPr>
            <w:r/>
            <w:r>
              <w:rPr>
                <w:sz w:val="19"/>
              </w:rPr>
              <w:t>42001 A.6.2.5</w:t>
            </w:r>
          </w:p>
        </w:tc>
        <w:tc>
          <w:tcPr>
            <w:tcW w:type="dxa" w:w="2551"/>
            <w:shd w:val="clear" w:color="auto" w:fill="F5F7FA"/>
          </w:tcPr>
          <w:p>
            <w:pPr>
              <w:spacing w:after="40"/>
            </w:pPr>
            <w:r/>
            <w:r>
              <w:rPr>
                <w:sz w:val="19"/>
              </w:rPr>
              <w:t>Life of the AI system + 6 years</w:t>
            </w:r>
          </w:p>
        </w:tc>
        <w:tc>
          <w:tcPr>
            <w:tcW w:type="dxa" w:w="1417"/>
            <w:shd w:val="clear" w:color="auto" w:fill="F5F7FA"/>
          </w:tcPr>
          <w:p>
            <w:pPr>
              <w:spacing w:after="40"/>
            </w:pPr>
            <w:r/>
            <w:r>
              <w:rPr>
                <w:sz w:val="19"/>
              </w:rPr>
              <w:t>Head of AI</w:t>
            </w:r>
          </w:p>
        </w:tc>
      </w:tr>
      <w:tr>
        <w:tc>
          <w:tcPr>
            <w:tcW w:type="dxa" w:w="3118"/>
          </w:tcPr>
          <w:p>
            <w:pPr>
              <w:spacing w:after="40"/>
            </w:pPr>
            <w:r/>
            <w:r>
              <w:rPr>
                <w:sz w:val="19"/>
              </w:rPr>
              <w:t>AI event logs — prompts and outputs (metadata)</w:t>
            </w:r>
          </w:p>
        </w:tc>
        <w:tc>
          <w:tcPr>
            <w:tcW w:type="dxa" w:w="2268"/>
          </w:tcPr>
          <w:p>
            <w:pPr>
              <w:spacing w:after="40"/>
            </w:pPr>
            <w:r/>
            <w:r>
              <w:rPr>
                <w:sz w:val="19"/>
              </w:rPr>
              <w:t>42001 A.6.2.8</w:t>
            </w:r>
          </w:p>
        </w:tc>
        <w:tc>
          <w:tcPr>
            <w:tcW w:type="dxa" w:w="2551"/>
          </w:tcPr>
          <w:p>
            <w:pPr>
              <w:spacing w:after="40"/>
            </w:pPr>
            <w:r/>
            <w:r>
              <w:rPr>
                <w:sz w:val="19"/>
              </w:rPr>
              <w:t>12 months</w:t>
            </w:r>
          </w:p>
        </w:tc>
        <w:tc>
          <w:tcPr>
            <w:tcW w:type="dxa" w:w="1417"/>
          </w:tcPr>
          <w:p>
            <w:pPr>
              <w:spacing w:after="40"/>
            </w:pPr>
            <w:r/>
            <w:r>
              <w:rPr>
                <w:sz w:val="19"/>
              </w:rPr>
              <w:t>Platform Engineer (SRE)</w:t>
            </w:r>
          </w:p>
        </w:tc>
      </w:tr>
      <w:tr>
        <w:tc>
          <w:tcPr>
            <w:tcW w:type="dxa" w:w="3118"/>
            <w:shd w:val="clear" w:color="auto" w:fill="F5F7FA"/>
          </w:tcPr>
          <w:p>
            <w:pPr>
              <w:spacing w:after="40"/>
            </w:pPr>
            <w:r/>
            <w:r>
              <w:rPr>
                <w:sz w:val="19"/>
              </w:rPr>
              <w:t>AI event logs — content-safety decisions and blocked items</w:t>
            </w:r>
          </w:p>
        </w:tc>
        <w:tc>
          <w:tcPr>
            <w:tcW w:type="dxa" w:w="2268"/>
            <w:shd w:val="clear" w:color="auto" w:fill="F5F7FA"/>
          </w:tcPr>
          <w:p>
            <w:pPr>
              <w:spacing w:after="40"/>
            </w:pPr>
            <w:r/>
            <w:r>
              <w:rPr>
                <w:sz w:val="19"/>
              </w:rPr>
              <w:t>42001 A.6.2.8, A.6.2.6</w:t>
            </w:r>
          </w:p>
        </w:tc>
        <w:tc>
          <w:tcPr>
            <w:tcW w:type="dxa" w:w="2551"/>
            <w:shd w:val="clear" w:color="auto" w:fill="F5F7FA"/>
          </w:tcPr>
          <w:p>
            <w:pPr>
              <w:spacing w:after="40"/>
            </w:pPr>
            <w:r/>
            <w:r>
              <w:rPr>
                <w:sz w:val="19"/>
              </w:rPr>
              <w:t>24 months</w:t>
            </w:r>
          </w:p>
        </w:tc>
        <w:tc>
          <w:tcPr>
            <w:tcW w:type="dxa" w:w="1417"/>
            <w:shd w:val="clear" w:color="auto" w:fill="F5F7FA"/>
          </w:tcPr>
          <w:p>
            <w:pPr>
              <w:spacing w:after="40"/>
            </w:pPr>
            <w:r/>
            <w:r>
              <w:rPr>
                <w:sz w:val="19"/>
              </w:rPr>
              <w:t>Platform Engineer (SRE)</w:t>
            </w:r>
          </w:p>
        </w:tc>
      </w:tr>
      <w:tr>
        <w:tc>
          <w:tcPr>
            <w:tcW w:type="dxa" w:w="3118"/>
          </w:tcPr>
          <w:p>
            <w:pPr>
              <w:spacing w:after="40"/>
            </w:pPr>
            <w:r/>
            <w:r>
              <w:rPr>
                <w:sz w:val="19"/>
              </w:rPr>
              <w:t>Security logs (authentication, admin actions)</w:t>
            </w:r>
          </w:p>
        </w:tc>
        <w:tc>
          <w:tcPr>
            <w:tcW w:type="dxa" w:w="2268"/>
          </w:tcPr>
          <w:p>
            <w:pPr>
              <w:spacing w:after="40"/>
            </w:pPr>
            <w:r/>
            <w:r>
              <w:rPr>
                <w:sz w:val="19"/>
              </w:rPr>
              <w:t>27001 A 8.15</w:t>
            </w:r>
          </w:p>
        </w:tc>
        <w:tc>
          <w:tcPr>
            <w:tcW w:type="dxa" w:w="2551"/>
          </w:tcPr>
          <w:p>
            <w:pPr>
              <w:spacing w:after="40"/>
            </w:pPr>
            <w:r/>
            <w:r>
              <w:rPr>
                <w:sz w:val="19"/>
              </w:rPr>
              <w:t>12 months online + 12 months archive</w:t>
            </w:r>
          </w:p>
        </w:tc>
        <w:tc>
          <w:tcPr>
            <w:tcW w:type="dxa" w:w="1417"/>
          </w:tcPr>
          <w:p>
            <w:pPr>
              <w:spacing w:after="40"/>
            </w:pPr>
            <w:r/>
            <w:r>
              <w:rPr>
                <w:sz w:val="19"/>
              </w:rPr>
              <w:t>Platform Engineer (SRE)</w:t>
            </w:r>
          </w:p>
        </w:tc>
      </w:tr>
      <w:tr>
        <w:tc>
          <w:tcPr>
            <w:tcW w:type="dxa" w:w="3118"/>
            <w:shd w:val="clear" w:color="auto" w:fill="F5F7FA"/>
          </w:tcPr>
          <w:p>
            <w:pPr>
              <w:spacing w:after="40"/>
            </w:pPr>
            <w:r/>
            <w:r>
              <w:rPr>
                <w:sz w:val="19"/>
              </w:rPr>
              <w:t>Customer scripts and project files</w:t>
            </w:r>
          </w:p>
        </w:tc>
        <w:tc>
          <w:tcPr>
            <w:tcW w:type="dxa" w:w="2268"/>
            <w:shd w:val="clear" w:color="auto" w:fill="F5F7FA"/>
          </w:tcPr>
          <w:p>
            <w:pPr>
              <w:spacing w:after="40"/>
            </w:pPr>
            <w:r/>
            <w:r>
              <w:rPr>
                <w:sz w:val="19"/>
              </w:rPr>
              <w:t>Contract; 27001 A 5.33, 8.10</w:t>
            </w:r>
          </w:p>
        </w:tc>
        <w:tc>
          <w:tcPr>
            <w:tcW w:type="dxa" w:w="2551"/>
            <w:shd w:val="clear" w:color="auto" w:fill="F5F7FA"/>
          </w:tcPr>
          <w:p>
            <w:pPr>
              <w:spacing w:after="40"/>
            </w:pPr>
            <w:r/>
            <w:r>
              <w:rPr>
                <w:sz w:val="19"/>
              </w:rPr>
              <w:t>Contract term; deleted within 30 days of account closure</w:t>
            </w:r>
          </w:p>
        </w:tc>
        <w:tc>
          <w:tcPr>
            <w:tcW w:type="dxa" w:w="1417"/>
            <w:shd w:val="clear" w:color="auto" w:fill="F5F7FA"/>
          </w:tcPr>
          <w:p>
            <w:pPr>
              <w:spacing w:after="40"/>
            </w:pPr>
            <w:r/>
            <w:r>
              <w:rPr>
                <w:sz w:val="19"/>
              </w:rPr>
              <w:t>Chief Technology Officer and co-founder</w:t>
            </w:r>
          </w:p>
        </w:tc>
      </w:tr>
      <w:tr>
        <w:tc>
          <w:tcPr>
            <w:tcW w:type="dxa" w:w="3118"/>
          </w:tcPr>
          <w:p>
            <w:pPr>
              <w:spacing w:after="40"/>
            </w:pPr>
            <w:r/>
            <w:r>
              <w:rPr>
                <w:sz w:val="19"/>
              </w:rPr>
              <w:t>Supplier assessments and contracts</w:t>
            </w:r>
          </w:p>
        </w:tc>
        <w:tc>
          <w:tcPr>
            <w:tcW w:type="dxa" w:w="2268"/>
          </w:tcPr>
          <w:p>
            <w:pPr>
              <w:spacing w:after="40"/>
            </w:pPr>
            <w:r/>
            <w:r>
              <w:rPr>
                <w:sz w:val="19"/>
              </w:rPr>
              <w:t>27001 A 5.19–5.22; 42001 A.10</w:t>
            </w:r>
          </w:p>
        </w:tc>
        <w:tc>
          <w:tcPr>
            <w:tcW w:type="dxa" w:w="2551"/>
          </w:tcPr>
          <w:p>
            <w:pPr>
              <w:spacing w:after="40"/>
            </w:pPr>
            <w:r/>
            <w:r>
              <w:rPr>
                <w:sz w:val="19"/>
              </w:rPr>
              <w:t>Contract + 6 years</w:t>
            </w:r>
          </w:p>
        </w:tc>
        <w:tc>
          <w:tcPr>
            <w:tcW w:type="dxa" w:w="1417"/>
          </w:tcPr>
          <w:p>
            <w:pPr>
              <w:spacing w:after="40"/>
            </w:pPr>
            <w:r/>
            <w:r>
              <w:rPr>
                <w:sz w:val="19"/>
              </w:rPr>
              <w:t>Privacy and Legal Lead</w:t>
            </w:r>
          </w:p>
        </w:tc>
      </w:tr>
    </w:tbl>
    <w:p/>
    <w:p>
      <w:r>
        <w:rPr/>
        <w:t>Disposal: digital records are deleted through the tool's deletion function (cloud storage lifecycle rules, log retention policies); deletion of Restricted data is logged. Laptops are wiped through device management before reuse or recycling.</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Logs of prompts can contain personal data and unreleased scripts. Keep metadata (who, when, which model version, safety verdict) longer than full content — it is enough to investigate most incidents and much safer to hold.</w:t>
            </w:r>
          </w:p>
        </w:tc>
      </w:tr>
    </w:tbl>
    <w:p/>
    <w:p>
      <w:pPr>
        <w:pStyle w:val="Heading1"/>
      </w:pPr>
      <w:r>
        <w:t>10. AI system documentation</w:t>
      </w:r>
    </w:p>
    <w:p>
      <w:pPr>
        <w:pStyle w:val="Heading2"/>
      </w:pPr>
      <w:r>
        <w:t>10.1 Technical documentation (A.6.2.7)</w:t>
      </w:r>
    </w:p>
    <w:p>
      <w:r>
        <w:rPr/>
        <w:t>Each AI system in the inventory has a documentation pack, kept in the model registry and linked from IMS-REG-005 Asset and AI System Inventory. It is written for three readers: engineers who maintain it, reviewers and auditors who check it, and (in a shortened public form) users. Minimum contents:</w:t>
      </w:r>
    </w:p>
    <w:p>
      <w:pPr>
        <w:pStyle w:val="ListBullet"/>
        <w:spacing w:after="60"/>
      </w:pPr>
      <w:r>
        <w:rPr/>
        <w:t>Purpose, intended users and uses, and uses we do not support.</w:t>
      </w:r>
    </w:p>
    <w:p>
      <w:pPr>
        <w:pStyle w:val="ListBullet"/>
        <w:spacing w:after="60"/>
      </w:pPr>
      <w:r>
        <w:rPr/>
        <w:t>Our role for the system (provider, producer, user) and the suppliers involved.</w:t>
      </w:r>
    </w:p>
    <w:p>
      <w:pPr>
        <w:pStyle w:val="ListBullet"/>
        <w:spacing w:after="60"/>
      </w:pPr>
      <w:r>
        <w:rPr/>
        <w:t>Architecture overview: models and versions, data flows, guardrails, human oversight points.</w:t>
      </w:r>
    </w:p>
    <w:p>
      <w:pPr>
        <w:pStyle w:val="ListBullet"/>
        <w:spacing w:after="60"/>
      </w:pPr>
      <w:r>
        <w:rPr/>
        <w:t>Data: datasets used, their provenance and consent status, and data-quality checks (link to the dataset manifest).</w:t>
      </w:r>
    </w:p>
    <w:p>
      <w:pPr>
        <w:pStyle w:val="ListBullet"/>
        <w:spacing w:after="60"/>
      </w:pPr>
      <w:r>
        <w:rPr/>
        <w:t>Evaluation: accuracy, robustness, fairness and safety test results against release criteria.</w:t>
      </w:r>
    </w:p>
    <w:p>
      <w:pPr>
        <w:pStyle w:val="ListBullet"/>
        <w:spacing w:after="60"/>
      </w:pPr>
      <w:r>
        <w:rPr/>
        <w:t>Known limitations and residual risks (link to risk IDs and the AIIA).</w:t>
      </w:r>
    </w:p>
    <w:p>
      <w:pPr>
        <w:pStyle w:val="ListBullet"/>
        <w:spacing w:after="60"/>
      </w:pPr>
      <w:r>
        <w:rPr/>
        <w:t>Operating instructions: monitoring, thresholds, rollback, and how to switch the feature off.</w:t>
      </w:r>
    </w:p>
    <w:p>
      <w:pPr>
        <w:pStyle w:val="ListBullet"/>
        <w:spacing w:after="60"/>
      </w:pPr>
      <w:r>
        <w:rPr/>
        <w:t>Change history and AI Release Review decisions.</w:t>
      </w:r>
    </w:p>
    <w:p>
      <w:pPr>
        <w:pStyle w:val="Heading2"/>
      </w:pPr>
      <w:r>
        <w:t>10.2 Event logs (A.6.2.8)</w:t>
      </w:r>
    </w:p>
    <w:p>
      <w:r>
        <w:rPr/>
        <w:t>We decide per system which events are logged, and for how long, during design — not after an incident. The baseline: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984"/>
            <w:shd w:val="clear" w:color="auto" w:fill="142B4C"/>
          </w:tcPr>
          <w:p>
            <w:r/>
            <w:r>
              <w:rPr>
                <w:b/>
                <w:color w:val="FFFFFF"/>
                <w:sz w:val="19"/>
              </w:rPr>
              <w:t>AI system</w:t>
            </w:r>
          </w:p>
        </w:tc>
        <w:tc>
          <w:tcPr>
            <w:tcW w:type="dxa" w:w="7370"/>
            <w:shd w:val="clear" w:color="auto" w:fill="142B4C"/>
          </w:tcPr>
          <w:p>
            <w:r/>
            <w:r>
              <w:rPr>
                <w:b/>
                <w:color w:val="FFFFFF"/>
                <w:sz w:val="19"/>
              </w:rPr>
              <w:t>Logged events</w:t>
            </w:r>
          </w:p>
        </w:tc>
      </w:tr>
      <w:tr>
        <w:tc>
          <w:tcPr>
            <w:tcW w:type="dxa" w:w="1984"/>
          </w:tcPr>
          <w:p>
            <w:pPr>
              <w:spacing w:after="40"/>
            </w:pPr>
            <w:r/>
            <w:r>
              <w:rPr>
                <w:sz w:val="19"/>
              </w:rPr>
              <w:t>StoryFrame</w:t>
            </w:r>
          </w:p>
        </w:tc>
        <w:tc>
          <w:tcPr>
            <w:tcW w:type="dxa" w:w="7370"/>
          </w:tcPr>
          <w:p>
            <w:pPr>
              <w:spacing w:after="40"/>
            </w:pPr>
            <w:r/>
            <w:r>
              <w:rPr>
                <w:sz w:val="19"/>
              </w:rPr>
              <w:t>Request ID, user/org ID, model and filter versions, prompt hash, SafeFrame verdict, likeness-check result, label and C2PA status of the output.</w:t>
            </w:r>
          </w:p>
        </w:tc>
      </w:tr>
      <w:tr>
        <w:tc>
          <w:tcPr>
            <w:tcW w:type="dxa" w:w="1984"/>
            <w:shd w:val="clear" w:color="auto" w:fill="F5F7FA"/>
          </w:tcPr>
          <w:p>
            <w:pPr>
              <w:spacing w:after="40"/>
            </w:pPr>
            <w:r/>
            <w:r>
              <w:rPr>
                <w:sz w:val="19"/>
              </w:rPr>
              <w:t>ScriptMate</w:t>
            </w:r>
          </w:p>
        </w:tc>
        <w:tc>
          <w:tcPr>
            <w:tcW w:type="dxa" w:w="7370"/>
            <w:shd w:val="clear" w:color="auto" w:fill="F5F7FA"/>
          </w:tcPr>
          <w:p>
            <w:pPr>
              <w:spacing w:after="40"/>
            </w:pPr>
            <w:r/>
            <w:r>
              <w:rPr>
                <w:sz w:val="19"/>
              </w:rPr>
              <w:t>Request ID, user/org ID, model version, token counts, tenant isolation check, user feedback flags.</w:t>
            </w:r>
          </w:p>
        </w:tc>
      </w:tr>
      <w:tr>
        <w:tc>
          <w:tcPr>
            <w:tcW w:type="dxa" w:w="1984"/>
          </w:tcPr>
          <w:p>
            <w:pPr>
              <w:spacing w:after="40"/>
            </w:pPr>
            <w:r/>
            <w:r>
              <w:rPr>
                <w:sz w:val="19"/>
              </w:rPr>
              <w:t>ArtistMatch</w:t>
            </w:r>
          </w:p>
        </w:tc>
        <w:tc>
          <w:tcPr>
            <w:tcW w:type="dxa" w:w="7370"/>
          </w:tcPr>
          <w:p>
            <w:pPr>
              <w:spacing w:after="40"/>
            </w:pPr>
            <w:r/>
            <w:r>
              <w:rPr>
                <w:sz w:val="19"/>
              </w:rPr>
              <w:t>Ranking request, model version, top-10 artist IDs shown, new-artist exposure share, manual overrides.</w:t>
            </w:r>
          </w:p>
        </w:tc>
      </w:tr>
      <w:tr>
        <w:tc>
          <w:tcPr>
            <w:tcW w:type="dxa" w:w="1984"/>
            <w:shd w:val="clear" w:color="auto" w:fill="F5F7FA"/>
          </w:tcPr>
          <w:p>
            <w:pPr>
              <w:spacing w:after="40"/>
            </w:pPr>
            <w:r/>
            <w:r>
              <w:rPr>
                <w:sz w:val="19"/>
              </w:rPr>
              <w:t>SafeFrame</w:t>
            </w:r>
          </w:p>
        </w:tc>
        <w:tc>
          <w:tcPr>
            <w:tcW w:type="dxa" w:w="7370"/>
            <w:shd w:val="clear" w:color="auto" w:fill="F5F7FA"/>
          </w:tcPr>
          <w:p>
            <w:pPr>
              <w:spacing w:after="40"/>
            </w:pPr>
            <w:r/>
            <w:r>
              <w:rPr>
                <w:sz w:val="19"/>
              </w:rPr>
              <w:t>Every verdict with vendor model version, category, score and reviewer override.</w:t>
            </w:r>
          </w:p>
        </w:tc>
      </w:tr>
      <w:tr>
        <w:tc>
          <w:tcPr>
            <w:tcW w:type="dxa" w:w="1984"/>
          </w:tcPr>
          <w:p>
            <w:pPr>
              <w:spacing w:after="40"/>
            </w:pPr>
            <w:r/>
            <w:r>
              <w:rPr>
                <w:sz w:val="19"/>
              </w:rPr>
              <w:t>CodeAssist</w:t>
            </w:r>
          </w:p>
        </w:tc>
        <w:tc>
          <w:tcPr>
            <w:tcW w:type="dxa" w:w="7370"/>
          </w:tcPr>
          <w:p>
            <w:pPr>
              <w:spacing w:after="40"/>
            </w:pPr>
            <w:r/>
            <w:r>
              <w:rPr>
                <w:sz w:val="19"/>
              </w:rPr>
              <w:t>Seat assignment and admin-console audit log from the vendor (we do not log code suggestions).</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Why the logs mattered</w:t>
            </w:r>
          </w:p>
          <w:p>
            <w:pPr>
              <w:spacing w:after="60"/>
            </w:pPr>
            <w:r>
              <w:rPr>
                <w:sz w:val="20"/>
              </w:rPr>
              <w:t>•  During INC-2026-007, the SafeFrame verdict log showed the vendor model version on every decision. The team could see exactly when the new version went live and which images it had passed, and re-screen them — in hours, not days.</w:t>
            </w:r>
          </w:p>
        </w:tc>
      </w:tr>
    </w:tbl>
    <w:p/>
    <w:p>
      <w:pPr>
        <w:pStyle w:val="Heading1"/>
      </w:pPr>
      <w:r>
        <w:t>11. External documents</w:t>
      </w:r>
    </w:p>
    <w:p>
      <w:r>
        <w:rPr/>
        <w:t>Standards, laws, supplier security and model documentation, and customer requirements are listed in the document register in IMS-WBK-001 Starter Workbook — Gap Assessment, Roadmap, Crosswalk and Document Register as type 'External', with their version and the date we last checked for updates. The Privacy and Legal Lead checks laws and the owners check supplier documents every 6 months. Purchased ISO standards are stored in a Restricted folder because their licence limits sharing.</w:t>
      </w:r>
    </w:p>
    <w:p>
      <w:pPr>
        <w:pStyle w:val="Heading1"/>
      </w:pPr>
      <w:r>
        <w:t>12. Obsolete documents</w:t>
      </w:r>
    </w:p>
    <w:p>
      <w:pPr>
        <w:pStyle w:val="ListBullet"/>
        <w:spacing w:after="60"/>
      </w:pPr>
      <w:r>
        <w:rPr/>
        <w:t>When a new version is published, the old one is moved to the 'Archive' area (wiki archive space, Git history, or the shared drive's Archive folder) and marked 'SUPERSEDED'.</w:t>
      </w:r>
    </w:p>
    <w:p>
      <w:pPr>
        <w:pStyle w:val="ListBullet"/>
        <w:spacing w:after="60"/>
      </w:pPr>
      <w:r>
        <w:rPr/>
        <w:t>Retired documents keep their ID; the register shows status 'Withdrawn' and the date.</w:t>
      </w:r>
    </w:p>
    <w:p>
      <w:pPr>
        <w:pStyle w:val="ListBullet"/>
        <w:spacing w:after="60"/>
      </w:pPr>
      <w:r>
        <w:rPr/>
        <w:t>Nobody may work from an archived document. Links in other documents point to the register, not to a file.</w:t>
      </w:r>
    </w:p>
    <w:p>
      <w:pPr>
        <w:pStyle w:val="Heading1"/>
      </w:pPr>
      <w:r>
        <w:t>13. Related documents</w:t>
      </w:r>
    </w:p>
    <w:p>
      <w:pPr>
        <w:pStyle w:val="ListBullet"/>
        <w:spacing w:after="60"/>
      </w:pPr>
      <w:r>
        <w:rPr/>
        <w:t>IMS-WBK-001 Starter Workbook — Gap Assessment, Roadmap, Crosswalk and Document Register</w:t>
      </w:r>
    </w:p>
    <w:p>
      <w:pPr>
        <w:pStyle w:val="ListBullet"/>
        <w:spacing w:after="60"/>
      </w:pPr>
      <w:r>
        <w:rPr/>
        <w:t>IMS-MAN-001 Integrated Management System Manual (ISMS + AIMS)</w:t>
      </w:r>
    </w:p>
    <w:p>
      <w:pPr>
        <w:pStyle w:val="ListBullet"/>
        <w:spacing w:after="60"/>
      </w:pPr>
      <w:r>
        <w:rPr/>
        <w:t>IMS-POL-003 Data Governance and Privacy Policy for AI</w:t>
      </w:r>
    </w:p>
    <w:p>
      <w:pPr>
        <w:pStyle w:val="ListBullet"/>
        <w:spacing w:after="60"/>
      </w:pPr>
      <w:r>
        <w:rPr/>
        <w:t>IMS-POL-004 Access Control Policy</w:t>
      </w:r>
    </w:p>
    <w:p>
      <w:pPr>
        <w:pStyle w:val="ListBullet"/>
        <w:spacing w:after="60"/>
      </w:pPr>
      <w:r>
        <w:rPr/>
        <w:t>IMS-POL-002 Secure and Responsible Development Lifecycle Policy (AppSec + AI)</w:t>
      </w:r>
    </w:p>
    <w:p>
      <w:pPr>
        <w:pStyle w:val="ListBullet"/>
        <w:spacing w:after="60"/>
      </w:pPr>
      <w:r>
        <w:rPr/>
        <w:t>IMS-REG-005 Asset and AI System Inventory</w:t>
      </w:r>
    </w:p>
    <w:p>
      <w:pPr>
        <w:pStyle w:val="ListBullet"/>
        <w:spacing w:after="60"/>
      </w:pPr>
      <w:r>
        <w:rPr/>
        <w:t>IMS-PRO-003 Competence, Awareness and Communication Procedure</w:t>
      </w:r>
    </w:p>
    <w:p>
      <w:pPr>
        <w:pStyle w:val="Heading1"/>
      </w:pPr>
      <w:r>
        <w:t>14. Approval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[Compliance Coordinator]</w:t>
            </w:r>
          </w:p>
        </w:tc>
        <w:tc>
          <w:tcPr>
            <w:tcW w:type="dxa" w:w="3118"/>
          </w:tcPr>
          <w:p>
            <w:pPr>
              <w:spacing w:after="40"/>
            </w:pPr>
            <w:r/>
            <w:r>
              <w:rPr>
                <w:sz w:val="19"/>
              </w:rPr>
              <w:t>Compliance Coordinator, document owner</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r>
        <w:tc>
          <w:tcPr>
            <w:tcW w:type="dxa" w:w="2551"/>
            <w:shd w:val="clear" w:color="auto" w:fill="F5F7FA"/>
          </w:tcPr>
          <w:p>
            <w:pPr>
              <w:spacing w:after="40"/>
            </w:pPr>
            <w:r/>
            <w:r>
              <w:rPr>
                <w:sz w:val="19"/>
              </w:rPr>
              <w:t>[CEO]</w:t>
            </w:r>
          </w:p>
        </w:tc>
        <w:tc>
          <w:tcPr>
            <w:tcW w:type="dxa" w:w="3118"/>
            <w:shd w:val="clear" w:color="auto" w:fill="F5F7FA"/>
          </w:tcPr>
          <w:p>
            <w:pPr>
              <w:spacing w:after="40"/>
            </w:pPr>
            <w:r/>
            <w:r>
              <w:rPr>
                <w:sz w:val="19"/>
              </w:rPr>
              <w:t>CEO, for the Trust Council</w:t>
            </w:r>
          </w:p>
        </w:tc>
        <w:tc>
          <w:tcPr>
            <w:tcW w:type="dxa" w:w="1984"/>
            <w:shd w:val="clear" w:color="auto" w:fill="F5F7FA"/>
          </w:tcPr>
          <w:p>
            <w:pPr>
              <w:spacing w:after="40"/>
            </w:pPr>
            <w:r/>
            <w:r>
              <w:rPr>
                <w:sz w:val="19"/>
                <w:highlight w:val="yellow"/>
              </w:rPr>
              <w:t>[signature]</w:t>
            </w:r>
          </w:p>
        </w:tc>
        <w:tc>
          <w:tcPr>
            <w:tcW w:type="dxa" w:w="1701"/>
            <w:shd w:val="clear" w:color="auto" w:fill="F5F7FA"/>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IMS-PRO-004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Documented Information Control Procedure</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