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Business Continuity and ICT Readiness Plan</w:t>
      </w:r>
    </w:p>
    <w:p>
      <w:r>
        <w:rPr>
          <w:color w:val="595959"/>
          <w:sz w:val="23"/>
        </w:rPr>
        <w:t>How Quillfen Studio keeps Canvas, the API, Commons and its AI features running — or degrades them safely — when a cloud region, a model supplier or a key person is unavailable, and how we recover data. Includes the business impact analysis, backup strategy, invocation steps and test plan.</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IMS-PRO-006</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[Platform Engineer]</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04 Operate - Lifecycle Controls</w:t>
            </w:r>
          </w:p>
        </w:tc>
      </w:tr>
      <w:tr>
        <w:tc>
          <w:tcPr>
            <w:tcW w:type="dxa" w:w="2835"/>
            <w:shd w:val="clear" w:color="auto" w:fill="EEF2F7"/>
          </w:tcPr>
          <w:p>
            <w:r/>
            <w:r>
              <w:rPr>
                <w:b/>
                <w:sz w:val="19"/>
              </w:rPr>
              <w:t>ISO/IEC 27001:2022</w:t>
            </w:r>
          </w:p>
        </w:tc>
        <w:tc>
          <w:tcPr>
            <w:tcW w:type="dxa" w:w="6520"/>
          </w:tcPr>
          <w:p>
            <w:r/>
            <w:r>
              <w:rPr>
                <w:sz w:val="19"/>
              </w:rPr>
              <w:t>Annex A 5.29, 5.30, 8.13, 8.14, 5.23; Clause 8.1</w:t>
            </w:r>
          </w:p>
        </w:tc>
      </w:tr>
      <w:tr>
        <w:tc>
          <w:tcPr>
            <w:tcW w:type="dxa" w:w="2835"/>
            <w:shd w:val="clear" w:color="auto" w:fill="EEF2F7"/>
          </w:tcPr>
          <w:p>
            <w:r/>
            <w:r>
              <w:rPr>
                <w:b/>
                <w:sz w:val="19"/>
              </w:rPr>
              <w:t>ISO/IEC 42001:2023</w:t>
            </w:r>
          </w:p>
        </w:tc>
        <w:tc>
          <w:tcPr>
            <w:tcW w:type="dxa" w:w="6520"/>
          </w:tcPr>
          <w:p>
            <w:r/>
            <w:r>
              <w:rPr>
                <w:sz w:val="19"/>
              </w:rPr>
              <w:t>Annex A.4.5, A.6.2.6, A.10.3; Clauses 6.1, 8.1</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Start with the business impact analysis (section 4). Ask each product owner: 'How long can this be down before customers leave or artists cannot get paid?' The answer is your maximum tolerable outage.</w:t>
            </w:r>
          </w:p>
          <w:p>
            <w:pPr>
              <w:spacing w:after="60"/>
            </w:pPr>
            <w:r>
              <w:rPr>
                <w:sz w:val="20"/>
              </w:rPr>
              <w:t>•  RTO and RPO numbers only mean something once tested. Put the test dates in your audit evidence folder.</w:t>
            </w:r>
          </w:p>
        </w:tc>
      </w:tr>
    </w:tbl>
    <w:p/>
    <w:p>
      <w:r>
        <w:br w:type="page"/>
      </w:r>
    </w:p>
    <w:p>
      <w:pPr>
        <w:pStyle w:val="Heading1"/>
      </w:pPr>
      <w:r>
        <w:t>1. Purpose</w:t>
      </w:r>
    </w:p>
    <w:p>
      <w:r>
        <w:rPr/>
        <w:t>Quillfen Studio has no data centre of its own. Everything runs in the cloud, on supplier APIs and on staff laptops. That makes us resilient to many local problems, but dependent on a few suppliers. This plan says what we do when one of them, or something of ours, fails: how fast each service must come back, how much data we can afford to lose, and how AI features fall back safely instead of failing in harmful ways.</w:t>
      </w:r>
    </w:p>
    <w:p>
      <w:r>
        <w:rPr/>
        <w:t>It is one plan for both standards. For information security it covers continuity of security during disruption and ICT readiness. For AI it makes sure that, when AI resources fail, systems stop or degrade in a controlled way — and that safety controls are never the part that is skipped to keep the lights on.</w:t>
      </w:r>
    </w:p>
    <w:p>
      <w:pPr>
        <w:pStyle w:val="Heading1"/>
      </w:pPr>
      <w:r>
        <w:t>2. Scope</w:t>
      </w:r>
    </w:p>
    <w:p>
      <w:pPr>
        <w:pStyle w:val="ListBullet"/>
        <w:spacing w:after="60"/>
      </w:pPr>
      <w:r>
        <w:rPr/>
        <w:t>Customer services: Canvas, the API and Commons, and the AI systems inside them (StoryFrame, ScriptMate, ArtistMatch, SafeFrame).</w:t>
      </w:r>
    </w:p>
    <w:p>
      <w:pPr>
        <w:pStyle w:val="ListBullet"/>
        <w:spacing w:after="60"/>
      </w:pPr>
      <w:r>
        <w:rPr/>
        <w:t>Supporting platforms: production cloud (AWS — eu-west-1 (Ireland) primary; me-central-1 (UAE) for UAE enterprise customers who require it), identity and single sign-on, source code and CI/CD, secrets manager, log platform.</w:t>
      </w:r>
    </w:p>
    <w:p>
      <w:pPr>
        <w:pStyle w:val="ListBullet"/>
        <w:spacing w:after="60"/>
      </w:pPr>
      <w:r>
        <w:rPr/>
        <w:t>Critical suppliers: the cloud provider, foundation-model and image-model APIs, the content-moderation vendor, the payment processor.</w:t>
      </w:r>
    </w:p>
    <w:p>
      <w:pPr>
        <w:pStyle w:val="ListBullet"/>
        <w:spacing w:after="60"/>
      </w:pPr>
      <w:r>
        <w:rPr/>
        <w:t>People: key-person dependencies in a 34-person company.</w:t>
      </w:r>
    </w:p>
    <w:p>
      <w:r>
        <w:rPr/>
        <w:t>Out of scope: total loss of the company or its funding. Those are business risks handled by the Trust Council outside this plan.</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ISO/IEC 27001 Annex A expects you to keep information secure during a disruption (5.29), to plan, implement and test ICT readiness based on continuity objectives (5.30), to keep and test backups (8.13) and to build in enough redundancy to meet availability needs (8.14).</w:t>
            </w:r>
          </w:p>
          <w:p>
            <w:pPr>
              <w:spacing w:after="60"/>
            </w:pPr>
            <w:r>
              <w:rPr>
                <w:sz w:val="20"/>
              </w:rPr>
              <w:t>•  ISO/IEC 42001 has no continuity clause of its own, but expects you to document and provide the computing resources your AI systems depend on (A.4.5), monitor AI systems in operation (A.6.2.6) and manage suppliers so their failures do not compromise responsible AI (A.10.3).</w:t>
            </w:r>
          </w:p>
        </w:tc>
      </w:tr>
    </w:tbl>
    <w:p/>
    <w:p>
      <w:pPr>
        <w:pStyle w:val="Heading1"/>
      </w:pPr>
      <w:r>
        <w:t>3.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268"/>
            <w:shd w:val="clear" w:color="auto" w:fill="142B4C"/>
          </w:tcPr>
          <w:p>
            <w:r/>
            <w:r>
              <w:rPr>
                <w:b/>
                <w:color w:val="FFFFFF"/>
                <w:sz w:val="19"/>
              </w:rPr>
              <w:t>Role</w:t>
            </w:r>
          </w:p>
        </w:tc>
        <w:tc>
          <w:tcPr>
            <w:tcW w:type="dxa" w:w="2835"/>
            <w:shd w:val="clear" w:color="auto" w:fill="142B4C"/>
          </w:tcPr>
          <w:p>
            <w:r/>
            <w:r>
              <w:rPr>
                <w:b/>
                <w:color w:val="FFFFFF"/>
                <w:sz w:val="19"/>
              </w:rPr>
              <w:t>Who</w:t>
            </w:r>
          </w:p>
        </w:tc>
        <w:tc>
          <w:tcPr>
            <w:tcW w:type="dxa" w:w="4252"/>
            <w:shd w:val="clear" w:color="auto" w:fill="142B4C"/>
          </w:tcPr>
          <w:p>
            <w:r/>
            <w:r>
              <w:rPr>
                <w:b/>
                <w:color w:val="FFFFFF"/>
                <w:sz w:val="19"/>
              </w:rPr>
              <w:t>Responsibility</w:t>
            </w:r>
          </w:p>
        </w:tc>
      </w:tr>
      <w:tr>
        <w:tc>
          <w:tcPr>
            <w:tcW w:type="dxa" w:w="2268"/>
          </w:tcPr>
          <w:p>
            <w:pPr>
              <w:spacing w:after="40"/>
            </w:pPr>
            <w:r/>
            <w:r>
              <w:rPr>
                <w:sz w:val="19"/>
              </w:rPr>
              <w:t>Plan owner and Recovery Lead</w:t>
            </w:r>
          </w:p>
        </w:tc>
        <w:tc>
          <w:tcPr>
            <w:tcW w:type="dxa" w:w="2835"/>
          </w:tcPr>
          <w:p>
            <w:pPr>
              <w:spacing w:after="40"/>
            </w:pPr>
            <w:r/>
            <w:r>
              <w:rPr>
                <w:sz w:val="19"/>
              </w:rPr>
              <w:t>[Platform Engineer]</w:t>
            </w:r>
          </w:p>
        </w:tc>
        <w:tc>
          <w:tcPr>
            <w:tcW w:type="dxa" w:w="4252"/>
          </w:tcPr>
          <w:p>
            <w:pPr>
              <w:spacing w:after="40"/>
            </w:pPr>
            <w:r/>
            <w:r>
              <w:rPr>
                <w:sz w:val="19"/>
              </w:rPr>
              <w:t>Maintains this plan, runs backups and failover tests, leads technical recovery.</w:t>
            </w:r>
          </w:p>
        </w:tc>
      </w:tr>
      <w:tr>
        <w:tc>
          <w:tcPr>
            <w:tcW w:type="dxa" w:w="2268"/>
            <w:shd w:val="clear" w:color="auto" w:fill="F5F7FA"/>
          </w:tcPr>
          <w:p>
            <w:pPr>
              <w:spacing w:after="40"/>
            </w:pPr>
            <w:r/>
            <w:r>
              <w:rPr>
                <w:sz w:val="19"/>
              </w:rPr>
              <w:t>Continuity Decision-maker</w:t>
            </w:r>
          </w:p>
        </w:tc>
        <w:tc>
          <w:tcPr>
            <w:tcW w:type="dxa" w:w="2835"/>
            <w:shd w:val="clear" w:color="auto" w:fill="F5F7FA"/>
          </w:tcPr>
          <w:p>
            <w:pPr>
              <w:spacing w:after="40"/>
            </w:pPr>
            <w:r/>
            <w:r>
              <w:rPr>
                <w:sz w:val="19"/>
              </w:rPr>
              <w:t>[CEO]; deputy [CTO]</w:t>
            </w:r>
          </w:p>
        </w:tc>
        <w:tc>
          <w:tcPr>
            <w:tcW w:type="dxa" w:w="4252"/>
            <w:shd w:val="clear" w:color="auto" w:fill="F5F7FA"/>
          </w:tcPr>
          <w:p>
            <w:pPr>
              <w:spacing w:after="40"/>
            </w:pPr>
            <w:r/>
            <w:r>
              <w:rPr>
                <w:sz w:val="19"/>
              </w:rPr>
              <w:t>Formally invokes the plan, approves spending and customer messaging.</w:t>
            </w:r>
          </w:p>
        </w:tc>
      </w:tr>
      <w:tr>
        <w:tc>
          <w:tcPr>
            <w:tcW w:type="dxa" w:w="2268"/>
          </w:tcPr>
          <w:p>
            <w:pPr>
              <w:spacing w:after="40"/>
            </w:pPr>
            <w:r/>
            <w:r>
              <w:rPr>
                <w:sz w:val="19"/>
              </w:rPr>
              <w:t>Security during disruption</w:t>
            </w:r>
          </w:p>
        </w:tc>
        <w:tc>
          <w:tcPr>
            <w:tcW w:type="dxa" w:w="2835"/>
          </w:tcPr>
          <w:p>
            <w:pPr>
              <w:spacing w:after="40"/>
            </w:pPr>
            <w:r/>
            <w:r>
              <w:rPr>
                <w:sz w:val="19"/>
              </w:rPr>
              <w:t>[Security Lead]</w:t>
            </w:r>
          </w:p>
        </w:tc>
        <w:tc>
          <w:tcPr>
            <w:tcW w:type="dxa" w:w="4252"/>
          </w:tcPr>
          <w:p>
            <w:pPr>
              <w:spacing w:after="40"/>
            </w:pPr>
            <w:r/>
            <w:r>
              <w:rPr>
                <w:sz w:val="19"/>
              </w:rPr>
              <w:t>Makes sure emergency changes keep access control, logging and encryption in place.</w:t>
            </w:r>
          </w:p>
        </w:tc>
      </w:tr>
      <w:tr>
        <w:tc>
          <w:tcPr>
            <w:tcW w:type="dxa" w:w="2268"/>
            <w:shd w:val="clear" w:color="auto" w:fill="F5F7FA"/>
          </w:tcPr>
          <w:p>
            <w:pPr>
              <w:spacing w:after="40"/>
            </w:pPr>
            <w:r/>
            <w:r>
              <w:rPr>
                <w:sz w:val="19"/>
              </w:rPr>
              <w:t>AI fallback owner</w:t>
            </w:r>
          </w:p>
        </w:tc>
        <w:tc>
          <w:tcPr>
            <w:tcW w:type="dxa" w:w="2835"/>
            <w:shd w:val="clear" w:color="auto" w:fill="F5F7FA"/>
          </w:tcPr>
          <w:p>
            <w:pPr>
              <w:spacing w:after="40"/>
            </w:pPr>
            <w:r/>
            <w:r>
              <w:rPr>
                <w:sz w:val="19"/>
              </w:rPr>
              <w:t>[Head of AI]</w:t>
            </w:r>
          </w:p>
        </w:tc>
        <w:tc>
          <w:tcPr>
            <w:tcW w:type="dxa" w:w="4252"/>
            <w:shd w:val="clear" w:color="auto" w:fill="F5F7FA"/>
          </w:tcPr>
          <w:p>
            <w:pPr>
              <w:spacing w:after="40"/>
            </w:pPr>
            <w:r/>
            <w:r>
              <w:rPr>
                <w:sz w:val="19"/>
              </w:rPr>
              <w:t>Decides when AI features degrade or switch provider; confirms safety controls before restart.</w:t>
            </w:r>
          </w:p>
        </w:tc>
      </w:tr>
      <w:tr>
        <w:tc>
          <w:tcPr>
            <w:tcW w:type="dxa" w:w="2268"/>
          </w:tcPr>
          <w:p>
            <w:pPr>
              <w:spacing w:after="40"/>
            </w:pPr>
            <w:r/>
            <w:r>
              <w:rPr>
                <w:sz w:val="19"/>
              </w:rPr>
              <w:t>Customer and artist communication</w:t>
            </w:r>
          </w:p>
        </w:tc>
        <w:tc>
          <w:tcPr>
            <w:tcW w:type="dxa" w:w="2835"/>
          </w:tcPr>
          <w:p>
            <w:pPr>
              <w:spacing w:after="40"/>
            </w:pPr>
            <w:r/>
            <w:r>
              <w:rPr>
                <w:sz w:val="19"/>
              </w:rPr>
              <w:t>[Creative Director] with account owners</w:t>
            </w:r>
          </w:p>
        </w:tc>
        <w:tc>
          <w:tcPr>
            <w:tcW w:type="dxa" w:w="4252"/>
          </w:tcPr>
          <w:p>
            <w:pPr>
              <w:spacing w:after="40"/>
            </w:pPr>
            <w:r/>
            <w:r>
              <w:rPr>
                <w:sz w:val="19"/>
              </w:rPr>
              <w:t>Status page, customer emails, artist notices.</w:t>
            </w:r>
          </w:p>
        </w:tc>
      </w:tr>
      <w:tr>
        <w:tc>
          <w:tcPr>
            <w:tcW w:type="dxa" w:w="2268"/>
            <w:shd w:val="clear" w:color="auto" w:fill="F5F7FA"/>
          </w:tcPr>
          <w:p>
            <w:pPr>
              <w:spacing w:after="40"/>
            </w:pPr>
            <w:r/>
            <w:r>
              <w:rPr>
                <w:sz w:val="19"/>
              </w:rPr>
              <w:t>Supplier liaison</w:t>
            </w:r>
          </w:p>
        </w:tc>
        <w:tc>
          <w:tcPr>
            <w:tcW w:type="dxa" w:w="2835"/>
            <w:shd w:val="clear" w:color="auto" w:fill="F5F7FA"/>
          </w:tcPr>
          <w:p>
            <w:pPr>
              <w:spacing w:after="40"/>
            </w:pPr>
            <w:r/>
            <w:r>
              <w:rPr>
                <w:sz w:val="19"/>
              </w:rPr>
              <w:t>[Privacy and Legal Lead]</w:t>
            </w:r>
          </w:p>
        </w:tc>
        <w:tc>
          <w:tcPr>
            <w:tcW w:type="dxa" w:w="4252"/>
            <w:shd w:val="clear" w:color="auto" w:fill="F5F7FA"/>
          </w:tcPr>
          <w:p>
            <w:pPr>
              <w:spacing w:after="40"/>
            </w:pPr>
            <w:r/>
            <w:r>
              <w:rPr>
                <w:sz w:val="19"/>
              </w:rPr>
              <w:t>Contract terms, supplier escalation, alternative-provider terms.</w:t>
            </w:r>
          </w:p>
        </w:tc>
      </w:tr>
      <w:tr>
        <w:tc>
          <w:tcPr>
            <w:tcW w:type="dxa" w:w="2268"/>
          </w:tcPr>
          <w:p>
            <w:pPr>
              <w:spacing w:after="40"/>
            </w:pPr>
            <w:r/>
            <w:r>
              <w:rPr>
                <w:sz w:val="19"/>
              </w:rPr>
              <w:t>Plan administration</w:t>
            </w:r>
          </w:p>
        </w:tc>
        <w:tc>
          <w:tcPr>
            <w:tcW w:type="dxa" w:w="2835"/>
          </w:tcPr>
          <w:p>
            <w:pPr>
              <w:spacing w:after="40"/>
            </w:pPr>
            <w:r/>
            <w:r>
              <w:rPr>
                <w:sz w:val="19"/>
              </w:rPr>
              <w:t>[Compliance Coordinator]</w:t>
            </w:r>
          </w:p>
        </w:tc>
        <w:tc>
          <w:tcPr>
            <w:tcW w:type="dxa" w:w="4252"/>
          </w:tcPr>
          <w:p>
            <w:pPr>
              <w:spacing w:after="40"/>
            </w:pPr>
            <w:r/>
            <w:r>
              <w:rPr>
                <w:sz w:val="19"/>
              </w:rPr>
              <w:t>Contact lists, test calendar, evidence of tests.</w:t>
            </w:r>
          </w:p>
        </w:tc>
      </w:tr>
    </w:tbl>
    <w:p/>
    <w:p>
      <w:pPr>
        <w:pStyle w:val="Heading1"/>
      </w:pPr>
      <w:r>
        <w:t>4. Business impact analysis</w:t>
      </w:r>
    </w:p>
    <w:p>
      <w:r>
        <w:rPr/>
        <w:t xml:space="preserve">The table below is our business impact analysis (BIA). </w:t>
      </w:r>
      <w:r>
        <w:rPr>
          <w:b/>
        </w:rPr>
        <w:t>MTPD</w:t>
      </w:r>
      <w:r>
        <w:rPr/>
        <w:t xml:space="preserve"> is the maximum tolerable period of disruption — after that, serious damage is done. </w:t>
      </w:r>
      <w:r>
        <w:rPr>
          <w:b/>
        </w:rPr>
        <w:t>RTO</w:t>
      </w:r>
      <w:r>
        <w:rPr/>
        <w:t xml:space="preserve"> (recovery time objective) is how quickly we aim to restore. </w:t>
      </w:r>
      <w:r>
        <w:rPr>
          <w:b/>
        </w:rPr>
        <w:t>RPO</w:t>
      </w:r>
      <w:r>
        <w:rPr/>
        <w:t xml:space="preserve"> (recovery point objective) is the most data we accept losing, measured in time. Targets support objective OBJ-07 (stay available: ≥ 99.5% monthly).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569"/>
        <w:gridCol w:w="1569"/>
        <w:gridCol w:w="1569"/>
        <w:gridCol w:w="1569"/>
        <w:gridCol w:w="1569"/>
        <w:gridCol w:w="1569"/>
      </w:tblGrid>
      <w:tr>
        <w:trPr>
          <w:tblHeader w:val="true"/>
        </w:trPr>
        <w:tc>
          <w:tcPr>
            <w:tcW w:type="dxa" w:w="1871"/>
            <w:shd w:val="clear" w:color="auto" w:fill="142B4C"/>
          </w:tcPr>
          <w:p>
            <w:r/>
            <w:r>
              <w:rPr>
                <w:b/>
                <w:color w:val="FFFFFF"/>
                <w:sz w:val="19"/>
              </w:rPr>
              <w:t>Service / resource</w:t>
            </w:r>
          </w:p>
        </w:tc>
        <w:tc>
          <w:tcPr>
            <w:tcW w:type="dxa" w:w="2551"/>
            <w:shd w:val="clear" w:color="auto" w:fill="142B4C"/>
          </w:tcPr>
          <w:p>
            <w:r/>
            <w:r>
              <w:rPr>
                <w:b/>
                <w:color w:val="FFFFFF"/>
                <w:sz w:val="19"/>
              </w:rPr>
              <w:t>Impact if down</w:t>
            </w:r>
          </w:p>
        </w:tc>
        <w:tc>
          <w:tcPr>
            <w:tcW w:type="dxa" w:w="850"/>
            <w:shd w:val="clear" w:color="auto" w:fill="142B4C"/>
          </w:tcPr>
          <w:p>
            <w:r/>
            <w:r>
              <w:rPr>
                <w:b/>
                <w:color w:val="FFFFFF"/>
                <w:sz w:val="19"/>
              </w:rPr>
              <w:t>MTPD</w:t>
            </w:r>
          </w:p>
        </w:tc>
        <w:tc>
          <w:tcPr>
            <w:tcW w:type="dxa" w:w="794"/>
            <w:shd w:val="clear" w:color="auto" w:fill="142B4C"/>
          </w:tcPr>
          <w:p>
            <w:r/>
            <w:r>
              <w:rPr>
                <w:b/>
                <w:color w:val="FFFFFF"/>
                <w:sz w:val="19"/>
              </w:rPr>
              <w:t>RTO</w:t>
            </w:r>
          </w:p>
        </w:tc>
        <w:tc>
          <w:tcPr>
            <w:tcW w:type="dxa" w:w="1474"/>
            <w:shd w:val="clear" w:color="auto" w:fill="142B4C"/>
          </w:tcPr>
          <w:p>
            <w:r/>
            <w:r>
              <w:rPr>
                <w:b/>
                <w:color w:val="FFFFFF"/>
                <w:sz w:val="19"/>
              </w:rPr>
              <w:t>RPO</w:t>
            </w:r>
          </w:p>
        </w:tc>
        <w:tc>
          <w:tcPr>
            <w:tcW w:type="dxa" w:w="1814"/>
            <w:shd w:val="clear" w:color="auto" w:fill="142B4C"/>
          </w:tcPr>
          <w:p>
            <w:r/>
            <w:r>
              <w:rPr>
                <w:b/>
                <w:color w:val="FFFFFF"/>
                <w:sz w:val="19"/>
              </w:rPr>
              <w:t>Fallback</w:t>
            </w:r>
          </w:p>
        </w:tc>
      </w:tr>
      <w:tr>
        <w:tc>
          <w:tcPr>
            <w:tcW w:type="dxa" w:w="1871"/>
          </w:tcPr>
          <w:p>
            <w:pPr>
              <w:spacing w:after="40"/>
            </w:pPr>
            <w:r/>
            <w:r>
              <w:rPr>
                <w:sz w:val="19"/>
              </w:rPr>
              <w:t>Canvas web app</w:t>
            </w:r>
          </w:p>
        </w:tc>
        <w:tc>
          <w:tcPr>
            <w:tcW w:type="dxa" w:w="2551"/>
          </w:tcPr>
          <w:p>
            <w:pPr>
              <w:spacing w:after="40"/>
            </w:pPr>
            <w:r/>
            <w:r>
              <w:rPr>
                <w:sz w:val="19"/>
              </w:rPr>
              <w:t>Customers cannot work on projects; enterprise SLA credits after 4 hours</w:t>
            </w:r>
          </w:p>
        </w:tc>
        <w:tc>
          <w:tcPr>
            <w:tcW w:type="dxa" w:w="850"/>
          </w:tcPr>
          <w:p>
            <w:pPr>
              <w:spacing w:after="40"/>
            </w:pPr>
            <w:r/>
            <w:r>
              <w:rPr>
                <w:sz w:val="19"/>
              </w:rPr>
              <w:t>24 h</w:t>
            </w:r>
          </w:p>
        </w:tc>
        <w:tc>
          <w:tcPr>
            <w:tcW w:type="dxa" w:w="794"/>
          </w:tcPr>
          <w:p>
            <w:pPr>
              <w:spacing w:after="40"/>
            </w:pPr>
            <w:r/>
            <w:r>
              <w:rPr>
                <w:sz w:val="19"/>
              </w:rPr>
              <w:t>8 h</w:t>
            </w:r>
          </w:p>
        </w:tc>
        <w:tc>
          <w:tcPr>
            <w:tcW w:type="dxa" w:w="1474"/>
          </w:tcPr>
          <w:p>
            <w:pPr>
              <w:spacing w:after="40"/>
            </w:pPr>
            <w:r/>
            <w:r>
              <w:rPr>
                <w:sz w:val="19"/>
              </w:rPr>
              <w:t>15 min</w:t>
            </w:r>
          </w:p>
        </w:tc>
        <w:tc>
          <w:tcPr>
            <w:tcW w:type="dxa" w:w="1814"/>
          </w:tcPr>
          <w:p>
            <w:pPr>
              <w:spacing w:after="40"/>
            </w:pPr>
            <w:r/>
            <w:r>
              <w:rPr>
                <w:sz w:val="19"/>
              </w:rPr>
              <w:t>Region failover (section 6)</w:t>
            </w:r>
          </w:p>
        </w:tc>
      </w:tr>
      <w:tr>
        <w:tc>
          <w:tcPr>
            <w:tcW w:type="dxa" w:w="1871"/>
            <w:shd w:val="clear" w:color="auto" w:fill="F5F7FA"/>
          </w:tcPr>
          <w:p>
            <w:pPr>
              <w:spacing w:after="40"/>
            </w:pPr>
            <w:r/>
            <w:r>
              <w:rPr>
                <w:sz w:val="19"/>
              </w:rPr>
              <w:t>API</w:t>
            </w:r>
          </w:p>
        </w:tc>
        <w:tc>
          <w:tcPr>
            <w:tcW w:type="dxa" w:w="2551"/>
            <w:shd w:val="clear" w:color="auto" w:fill="F5F7FA"/>
          </w:tcPr>
          <w:p>
            <w:pPr>
              <w:spacing w:after="40"/>
            </w:pPr>
            <w:r/>
            <w:r>
              <w:rPr>
                <w:sz w:val="19"/>
              </w:rPr>
              <w:t>Agency integrations fail; contractual SLA</w:t>
            </w:r>
          </w:p>
        </w:tc>
        <w:tc>
          <w:tcPr>
            <w:tcW w:type="dxa" w:w="850"/>
            <w:shd w:val="clear" w:color="auto" w:fill="F5F7FA"/>
          </w:tcPr>
          <w:p>
            <w:pPr>
              <w:spacing w:after="40"/>
            </w:pPr>
            <w:r/>
            <w:r>
              <w:rPr>
                <w:sz w:val="19"/>
              </w:rPr>
              <w:t>24 h</w:t>
            </w:r>
          </w:p>
        </w:tc>
        <w:tc>
          <w:tcPr>
            <w:tcW w:type="dxa" w:w="794"/>
            <w:shd w:val="clear" w:color="auto" w:fill="F5F7FA"/>
          </w:tcPr>
          <w:p>
            <w:pPr>
              <w:spacing w:after="40"/>
            </w:pPr>
            <w:r/>
            <w:r>
              <w:rPr>
                <w:sz w:val="19"/>
              </w:rPr>
              <w:t>8 h</w:t>
            </w:r>
          </w:p>
        </w:tc>
        <w:tc>
          <w:tcPr>
            <w:tcW w:type="dxa" w:w="1474"/>
            <w:shd w:val="clear" w:color="auto" w:fill="F5F7FA"/>
          </w:tcPr>
          <w:p>
            <w:pPr>
              <w:spacing w:after="40"/>
            </w:pPr>
            <w:r/>
            <w:r>
              <w:rPr>
                <w:sz w:val="19"/>
              </w:rPr>
              <w:t>15 min</w:t>
            </w:r>
          </w:p>
        </w:tc>
        <w:tc>
          <w:tcPr>
            <w:tcW w:type="dxa" w:w="1814"/>
            <w:shd w:val="clear" w:color="auto" w:fill="F5F7FA"/>
          </w:tcPr>
          <w:p>
            <w:pPr>
              <w:spacing w:after="40"/>
            </w:pPr>
            <w:r/>
            <w:r>
              <w:rPr>
                <w:sz w:val="19"/>
              </w:rPr>
              <w:t>Region failover</w:t>
            </w:r>
          </w:p>
        </w:tc>
      </w:tr>
      <w:tr>
        <w:tc>
          <w:tcPr>
            <w:tcW w:type="dxa" w:w="1871"/>
          </w:tcPr>
          <w:p>
            <w:pPr>
              <w:spacing w:after="40"/>
            </w:pPr>
            <w:r/>
            <w:r>
              <w:rPr>
                <w:sz w:val="19"/>
              </w:rPr>
              <w:t>Customer scripts and project files</w:t>
            </w:r>
          </w:p>
        </w:tc>
        <w:tc>
          <w:tcPr>
            <w:tcW w:type="dxa" w:w="2551"/>
          </w:tcPr>
          <w:p>
            <w:pPr>
              <w:spacing w:after="40"/>
            </w:pPr>
            <w:r/>
            <w:r>
              <w:rPr>
                <w:sz w:val="19"/>
              </w:rPr>
              <w:t>Loss would breach contracts and destroy trust</w:t>
            </w:r>
          </w:p>
        </w:tc>
        <w:tc>
          <w:tcPr>
            <w:tcW w:type="dxa" w:w="850"/>
          </w:tcPr>
          <w:p>
            <w:pPr>
              <w:spacing w:after="40"/>
            </w:pPr>
            <w:r/>
            <w:r>
              <w:rPr>
                <w:sz w:val="19"/>
              </w:rPr>
              <w:t>—</w:t>
            </w:r>
          </w:p>
        </w:tc>
        <w:tc>
          <w:tcPr>
            <w:tcW w:type="dxa" w:w="794"/>
          </w:tcPr>
          <w:p>
            <w:pPr>
              <w:spacing w:after="40"/>
            </w:pPr>
            <w:r/>
            <w:r>
              <w:rPr>
                <w:sz w:val="19"/>
              </w:rPr>
              <w:t>8 h</w:t>
            </w:r>
          </w:p>
        </w:tc>
        <w:tc>
          <w:tcPr>
            <w:tcW w:type="dxa" w:w="1474"/>
          </w:tcPr>
          <w:p>
            <w:pPr>
              <w:spacing w:after="40"/>
            </w:pPr>
            <w:r/>
            <w:r>
              <w:rPr>
                <w:sz w:val="19"/>
              </w:rPr>
              <w:t>≈ 0 (versioned, replicated)</w:t>
            </w:r>
          </w:p>
        </w:tc>
        <w:tc>
          <w:tcPr>
            <w:tcW w:type="dxa" w:w="1814"/>
          </w:tcPr>
          <w:p>
            <w:pPr>
              <w:spacing w:after="40"/>
            </w:pPr>
            <w:r/>
            <w:r>
              <w:rPr>
                <w:sz w:val="19"/>
              </w:rPr>
              <w:t>Restore from cross-region replica</w:t>
            </w:r>
          </w:p>
        </w:tc>
      </w:tr>
      <w:tr>
        <w:tc>
          <w:tcPr>
            <w:tcW w:type="dxa" w:w="1871"/>
            <w:shd w:val="clear" w:color="auto" w:fill="F5F7FA"/>
          </w:tcPr>
          <w:p>
            <w:pPr>
              <w:spacing w:after="40"/>
            </w:pPr>
            <w:r/>
            <w:r>
              <w:rPr>
                <w:sz w:val="19"/>
              </w:rPr>
              <w:t>Commons marketplace</w:t>
            </w:r>
          </w:p>
        </w:tc>
        <w:tc>
          <w:tcPr>
            <w:tcW w:type="dxa" w:w="2551"/>
            <w:shd w:val="clear" w:color="auto" w:fill="F5F7FA"/>
          </w:tcPr>
          <w:p>
            <w:pPr>
              <w:spacing w:after="40"/>
            </w:pPr>
            <w:r/>
            <w:r>
              <w:rPr>
                <w:sz w:val="19"/>
              </w:rPr>
              <w:t>Artists cannot accept commissions; payouts delayed</w:t>
            </w:r>
          </w:p>
        </w:tc>
        <w:tc>
          <w:tcPr>
            <w:tcW w:type="dxa" w:w="850"/>
            <w:shd w:val="clear" w:color="auto" w:fill="F5F7FA"/>
          </w:tcPr>
          <w:p>
            <w:pPr>
              <w:spacing w:after="40"/>
            </w:pPr>
            <w:r/>
            <w:r>
              <w:rPr>
                <w:sz w:val="19"/>
              </w:rPr>
              <w:t>72 h</w:t>
            </w:r>
          </w:p>
        </w:tc>
        <w:tc>
          <w:tcPr>
            <w:tcW w:type="dxa" w:w="794"/>
            <w:shd w:val="clear" w:color="auto" w:fill="F5F7FA"/>
          </w:tcPr>
          <w:p>
            <w:pPr>
              <w:spacing w:after="40"/>
            </w:pPr>
            <w:r/>
            <w:r>
              <w:rPr>
                <w:sz w:val="19"/>
              </w:rPr>
              <w:t>24 h</w:t>
            </w:r>
          </w:p>
        </w:tc>
        <w:tc>
          <w:tcPr>
            <w:tcW w:type="dxa" w:w="1474"/>
            <w:shd w:val="clear" w:color="auto" w:fill="F5F7FA"/>
          </w:tcPr>
          <w:p>
            <w:pPr>
              <w:spacing w:after="40"/>
            </w:pPr>
            <w:r/>
            <w:r>
              <w:rPr>
                <w:sz w:val="19"/>
              </w:rPr>
              <w:t>1 h</w:t>
            </w:r>
          </w:p>
        </w:tc>
        <w:tc>
          <w:tcPr>
            <w:tcW w:type="dxa" w:w="1814"/>
            <w:shd w:val="clear" w:color="auto" w:fill="F5F7FA"/>
          </w:tcPr>
          <w:p>
            <w:pPr>
              <w:spacing w:after="40"/>
            </w:pPr>
            <w:r/>
            <w:r>
              <w:rPr>
                <w:sz w:val="19"/>
              </w:rPr>
              <w:t>Read-only mode; payments stay with processor</w:t>
            </w:r>
          </w:p>
        </w:tc>
      </w:tr>
      <w:tr>
        <w:tc>
          <w:tcPr>
            <w:tcW w:type="dxa" w:w="1871"/>
          </w:tcPr>
          <w:p>
            <w:pPr>
              <w:spacing w:after="40"/>
            </w:pPr>
            <w:r/>
            <w:r>
              <w:rPr>
                <w:sz w:val="19"/>
              </w:rPr>
              <w:t>StoryFrame</w:t>
            </w:r>
          </w:p>
        </w:tc>
        <w:tc>
          <w:tcPr>
            <w:tcW w:type="dxa" w:w="2551"/>
          </w:tcPr>
          <w:p>
            <w:pPr>
              <w:spacing w:after="40"/>
            </w:pPr>
            <w:r/>
            <w:r>
              <w:rPr>
                <w:sz w:val="19"/>
              </w:rPr>
              <w:t>No new panels; human artists still available</w:t>
            </w:r>
          </w:p>
        </w:tc>
        <w:tc>
          <w:tcPr>
            <w:tcW w:type="dxa" w:w="850"/>
          </w:tcPr>
          <w:p>
            <w:pPr>
              <w:spacing w:after="40"/>
            </w:pPr>
            <w:r/>
            <w:r>
              <w:rPr>
                <w:sz w:val="19"/>
              </w:rPr>
              <w:t>72 h</w:t>
            </w:r>
          </w:p>
        </w:tc>
        <w:tc>
          <w:tcPr>
            <w:tcW w:type="dxa" w:w="794"/>
          </w:tcPr>
          <w:p>
            <w:pPr>
              <w:spacing w:after="40"/>
            </w:pPr>
            <w:r/>
            <w:r>
              <w:rPr>
                <w:sz w:val="19"/>
              </w:rPr>
              <w:t>24 h</w:t>
            </w:r>
          </w:p>
        </w:tc>
        <w:tc>
          <w:tcPr>
            <w:tcW w:type="dxa" w:w="1474"/>
          </w:tcPr>
          <w:p>
            <w:pPr>
              <w:spacing w:after="40"/>
            </w:pPr>
            <w:r/>
            <w:r>
              <w:rPr>
                <w:sz w:val="19"/>
              </w:rPr>
              <w:t>24 h (model registry)</w:t>
            </w:r>
          </w:p>
        </w:tc>
        <w:tc>
          <w:tcPr>
            <w:tcW w:type="dxa" w:w="1814"/>
          </w:tcPr>
          <w:p>
            <w:pPr>
              <w:spacing w:after="40"/>
            </w:pPr>
            <w:r/>
            <w:r>
              <w:rPr>
                <w:sz w:val="19"/>
              </w:rPr>
              <w:t>Queue jobs; offer human commission</w:t>
            </w:r>
          </w:p>
        </w:tc>
      </w:tr>
      <w:tr>
        <w:tc>
          <w:tcPr>
            <w:tcW w:type="dxa" w:w="1871"/>
            <w:shd w:val="clear" w:color="auto" w:fill="F5F7FA"/>
          </w:tcPr>
          <w:p>
            <w:pPr>
              <w:spacing w:after="40"/>
            </w:pPr>
            <w:r/>
            <w:r>
              <w:rPr>
                <w:sz w:val="19"/>
              </w:rPr>
              <w:t>ScriptMate</w:t>
            </w:r>
          </w:p>
        </w:tc>
        <w:tc>
          <w:tcPr>
            <w:tcW w:type="dxa" w:w="2551"/>
            <w:shd w:val="clear" w:color="auto" w:fill="F5F7FA"/>
          </w:tcPr>
          <w:p>
            <w:pPr>
              <w:spacing w:after="40"/>
            </w:pPr>
            <w:r/>
            <w:r>
              <w:rPr>
                <w:sz w:val="19"/>
              </w:rPr>
              <w:t>Writing assistant unavailable</w:t>
            </w:r>
          </w:p>
        </w:tc>
        <w:tc>
          <w:tcPr>
            <w:tcW w:type="dxa" w:w="850"/>
            <w:shd w:val="clear" w:color="auto" w:fill="F5F7FA"/>
          </w:tcPr>
          <w:p>
            <w:pPr>
              <w:spacing w:after="40"/>
            </w:pPr>
            <w:r/>
            <w:r>
              <w:rPr>
                <w:sz w:val="19"/>
              </w:rPr>
              <w:t>5 days</w:t>
            </w:r>
          </w:p>
        </w:tc>
        <w:tc>
          <w:tcPr>
            <w:tcW w:type="dxa" w:w="794"/>
            <w:shd w:val="clear" w:color="auto" w:fill="F5F7FA"/>
          </w:tcPr>
          <w:p>
            <w:pPr>
              <w:spacing w:after="40"/>
            </w:pPr>
            <w:r/>
            <w:r>
              <w:rPr>
                <w:sz w:val="19"/>
              </w:rPr>
              <w:t>24 h</w:t>
            </w:r>
          </w:p>
        </w:tc>
        <w:tc>
          <w:tcPr>
            <w:tcW w:type="dxa" w:w="1474"/>
            <w:shd w:val="clear" w:color="auto" w:fill="F5F7FA"/>
          </w:tcPr>
          <w:p>
            <w:pPr>
              <w:spacing w:after="40"/>
            </w:pPr>
            <w:r/>
            <w:r>
              <w:rPr>
                <w:sz w:val="19"/>
              </w:rPr>
              <w:t>n/a</w:t>
            </w:r>
          </w:p>
        </w:tc>
        <w:tc>
          <w:tcPr>
            <w:tcW w:type="dxa" w:w="1814"/>
            <w:shd w:val="clear" w:color="auto" w:fill="F5F7FA"/>
          </w:tcPr>
          <w:p>
            <w:pPr>
              <w:spacing w:after="40"/>
            </w:pPr>
            <w:r/>
            <w:r>
              <w:rPr>
                <w:sz w:val="19"/>
              </w:rPr>
              <w:t>Manual mode; alternative model</w:t>
            </w:r>
          </w:p>
        </w:tc>
      </w:tr>
      <w:tr>
        <w:tc>
          <w:tcPr>
            <w:tcW w:type="dxa" w:w="1871"/>
          </w:tcPr>
          <w:p>
            <w:pPr>
              <w:spacing w:after="40"/>
            </w:pPr>
            <w:r/>
            <w:r>
              <w:rPr>
                <w:sz w:val="19"/>
              </w:rPr>
              <w:t>ArtistMatch</w:t>
            </w:r>
          </w:p>
        </w:tc>
        <w:tc>
          <w:tcPr>
            <w:tcW w:type="dxa" w:w="2551"/>
          </w:tcPr>
          <w:p>
            <w:pPr>
              <w:spacing w:after="40"/>
            </w:pPr>
            <w:r/>
            <w:r>
              <w:rPr>
                <w:sz w:val="19"/>
              </w:rPr>
              <w:t>Recommendations unavailable</w:t>
            </w:r>
          </w:p>
        </w:tc>
        <w:tc>
          <w:tcPr>
            <w:tcW w:type="dxa" w:w="850"/>
          </w:tcPr>
          <w:p>
            <w:pPr>
              <w:spacing w:after="40"/>
            </w:pPr>
            <w:r/>
            <w:r>
              <w:rPr>
                <w:sz w:val="19"/>
              </w:rPr>
              <w:t>5 days</w:t>
            </w:r>
          </w:p>
        </w:tc>
        <w:tc>
          <w:tcPr>
            <w:tcW w:type="dxa" w:w="794"/>
          </w:tcPr>
          <w:p>
            <w:pPr>
              <w:spacing w:after="40"/>
            </w:pPr>
            <w:r/>
            <w:r>
              <w:rPr>
                <w:sz w:val="19"/>
              </w:rPr>
              <w:t>72 h</w:t>
            </w:r>
          </w:p>
        </w:tc>
        <w:tc>
          <w:tcPr>
            <w:tcW w:type="dxa" w:w="1474"/>
          </w:tcPr>
          <w:p>
            <w:pPr>
              <w:spacing w:after="40"/>
            </w:pPr>
            <w:r/>
            <w:r>
              <w:rPr>
                <w:sz w:val="19"/>
              </w:rPr>
              <w:t>24 h</w:t>
            </w:r>
          </w:p>
        </w:tc>
        <w:tc>
          <w:tcPr>
            <w:tcW w:type="dxa" w:w="1814"/>
          </w:tcPr>
          <w:p>
            <w:pPr>
              <w:spacing w:after="40"/>
            </w:pPr>
            <w:r/>
            <w:r>
              <w:rPr>
                <w:sz w:val="19"/>
              </w:rPr>
              <w:t>Transparent simple ordering</w:t>
            </w:r>
          </w:p>
        </w:tc>
      </w:tr>
      <w:tr>
        <w:tc>
          <w:tcPr>
            <w:tcW w:type="dxa" w:w="1871"/>
            <w:shd w:val="clear" w:color="auto" w:fill="F5F7FA"/>
          </w:tcPr>
          <w:p>
            <w:pPr>
              <w:spacing w:after="40"/>
            </w:pPr>
            <w:r/>
            <w:r>
              <w:rPr>
                <w:sz w:val="19"/>
              </w:rPr>
              <w:t>SafeFrame</w:t>
            </w:r>
          </w:p>
        </w:tc>
        <w:tc>
          <w:tcPr>
            <w:tcW w:type="dxa" w:w="2551"/>
            <w:shd w:val="clear" w:color="auto" w:fill="F5F7FA"/>
          </w:tcPr>
          <w:p>
            <w:pPr>
              <w:spacing w:after="40"/>
            </w:pPr>
            <w:r/>
            <w:r>
              <w:rPr>
                <w:sz w:val="19"/>
              </w:rPr>
              <w:t>Generation must stop — safety control</w:t>
            </w:r>
          </w:p>
        </w:tc>
        <w:tc>
          <w:tcPr>
            <w:tcW w:type="dxa" w:w="850"/>
            <w:shd w:val="clear" w:color="auto" w:fill="F5F7FA"/>
          </w:tcPr>
          <w:p>
            <w:pPr>
              <w:spacing w:after="40"/>
            </w:pPr>
            <w:r/>
            <w:r>
              <w:rPr>
                <w:sz w:val="19"/>
              </w:rPr>
              <w:t>n/a</w:t>
            </w:r>
          </w:p>
        </w:tc>
        <w:tc>
          <w:tcPr>
            <w:tcW w:type="dxa" w:w="794"/>
            <w:shd w:val="clear" w:color="auto" w:fill="F5F7FA"/>
          </w:tcPr>
          <w:p>
            <w:pPr>
              <w:spacing w:after="40"/>
            </w:pPr>
            <w:r/>
            <w:r>
              <w:rPr>
                <w:sz w:val="19"/>
              </w:rPr>
              <w:t>4 h</w:t>
            </w:r>
          </w:p>
        </w:tc>
        <w:tc>
          <w:tcPr>
            <w:tcW w:type="dxa" w:w="1474"/>
            <w:shd w:val="clear" w:color="auto" w:fill="F5F7FA"/>
          </w:tcPr>
          <w:p>
            <w:pPr>
              <w:spacing w:after="40"/>
            </w:pPr>
            <w:r/>
            <w:r>
              <w:rPr>
                <w:sz w:val="19"/>
              </w:rPr>
              <w:t>n/a</w:t>
            </w:r>
          </w:p>
        </w:tc>
        <w:tc>
          <w:tcPr>
            <w:tcW w:type="dxa" w:w="1814"/>
            <w:shd w:val="clear" w:color="auto" w:fill="F5F7FA"/>
          </w:tcPr>
          <w:p>
            <w:pPr>
              <w:spacing w:after="40"/>
            </w:pPr>
            <w:r/>
            <w:r>
              <w:rPr>
                <w:sz w:val="19"/>
              </w:rPr>
              <w:t>Fail closed; backup moderation vendor</w:t>
            </w:r>
          </w:p>
        </w:tc>
      </w:tr>
      <w:tr>
        <w:tc>
          <w:tcPr>
            <w:tcW w:type="dxa" w:w="1871"/>
          </w:tcPr>
          <w:p>
            <w:pPr>
              <w:spacing w:after="40"/>
            </w:pPr>
            <w:r/>
            <w:r>
              <w:rPr>
                <w:sz w:val="19"/>
              </w:rPr>
              <w:t>Artist consent and licence ledger</w:t>
            </w:r>
          </w:p>
        </w:tc>
        <w:tc>
          <w:tcPr>
            <w:tcW w:type="dxa" w:w="2551"/>
          </w:tcPr>
          <w:p>
            <w:pPr>
              <w:spacing w:after="40"/>
            </w:pPr>
            <w:r/>
            <w:r>
              <w:rPr>
                <w:sz w:val="19"/>
              </w:rPr>
              <w:t>Fine-tuning must pause</w:t>
            </w:r>
          </w:p>
        </w:tc>
        <w:tc>
          <w:tcPr>
            <w:tcW w:type="dxa" w:w="850"/>
          </w:tcPr>
          <w:p>
            <w:pPr>
              <w:spacing w:after="40"/>
            </w:pPr>
            <w:r/>
            <w:r>
              <w:rPr>
                <w:sz w:val="19"/>
              </w:rPr>
              <w:t>10 days</w:t>
            </w:r>
          </w:p>
        </w:tc>
        <w:tc>
          <w:tcPr>
            <w:tcW w:type="dxa" w:w="794"/>
          </w:tcPr>
          <w:p>
            <w:pPr>
              <w:spacing w:after="40"/>
            </w:pPr>
            <w:r/>
            <w:r>
              <w:rPr>
                <w:sz w:val="19"/>
              </w:rPr>
              <w:t>48 h</w:t>
            </w:r>
          </w:p>
        </w:tc>
        <w:tc>
          <w:tcPr>
            <w:tcW w:type="dxa" w:w="1474"/>
          </w:tcPr>
          <w:p>
            <w:pPr>
              <w:spacing w:after="40"/>
            </w:pPr>
            <w:r/>
            <w:r>
              <w:rPr>
                <w:sz w:val="19"/>
              </w:rPr>
              <w:t>1 h</w:t>
            </w:r>
          </w:p>
        </w:tc>
        <w:tc>
          <w:tcPr>
            <w:tcW w:type="dxa" w:w="1814"/>
          </w:tcPr>
          <w:p>
            <w:pPr>
              <w:spacing w:after="40"/>
            </w:pPr>
            <w:r/>
            <w:r>
              <w:rPr>
                <w:sz w:val="19"/>
              </w:rPr>
              <w:t>Freeze all training until restored</w:t>
            </w:r>
          </w:p>
        </w:tc>
      </w:tr>
      <w:tr>
        <w:tc>
          <w:tcPr>
            <w:tcW w:type="dxa" w:w="1871"/>
            <w:shd w:val="clear" w:color="auto" w:fill="F5F7FA"/>
          </w:tcPr>
          <w:p>
            <w:pPr>
              <w:spacing w:after="40"/>
            </w:pPr>
            <w:r/>
            <w:r>
              <w:rPr>
                <w:sz w:val="19"/>
              </w:rPr>
              <w:t>Single sign-on and identity</w:t>
            </w:r>
          </w:p>
        </w:tc>
        <w:tc>
          <w:tcPr>
            <w:tcW w:type="dxa" w:w="2551"/>
            <w:shd w:val="clear" w:color="auto" w:fill="F5F7FA"/>
          </w:tcPr>
          <w:p>
            <w:pPr>
              <w:spacing w:after="40"/>
            </w:pPr>
            <w:r/>
            <w:r>
              <w:rPr>
                <w:sz w:val="19"/>
              </w:rPr>
              <w:t>Nobody can log in to admin tools</w:t>
            </w:r>
          </w:p>
        </w:tc>
        <w:tc>
          <w:tcPr>
            <w:tcW w:type="dxa" w:w="850"/>
            <w:shd w:val="clear" w:color="auto" w:fill="F5F7FA"/>
          </w:tcPr>
          <w:p>
            <w:pPr>
              <w:spacing w:after="40"/>
            </w:pPr>
            <w:r/>
            <w:r>
              <w:rPr>
                <w:sz w:val="19"/>
              </w:rPr>
              <w:t>8 h</w:t>
            </w:r>
          </w:p>
        </w:tc>
        <w:tc>
          <w:tcPr>
            <w:tcW w:type="dxa" w:w="794"/>
            <w:shd w:val="clear" w:color="auto" w:fill="F5F7FA"/>
          </w:tcPr>
          <w:p>
            <w:pPr>
              <w:spacing w:after="40"/>
            </w:pPr>
            <w:r/>
            <w:r>
              <w:rPr>
                <w:sz w:val="19"/>
              </w:rPr>
              <w:t>4 h</w:t>
            </w:r>
          </w:p>
        </w:tc>
        <w:tc>
          <w:tcPr>
            <w:tcW w:type="dxa" w:w="1474"/>
            <w:shd w:val="clear" w:color="auto" w:fill="F5F7FA"/>
          </w:tcPr>
          <w:p>
            <w:pPr>
              <w:spacing w:after="40"/>
            </w:pPr>
            <w:r/>
            <w:r>
              <w:rPr>
                <w:sz w:val="19"/>
              </w:rPr>
              <w:t>n/a</w:t>
            </w:r>
          </w:p>
        </w:tc>
        <w:tc>
          <w:tcPr>
            <w:tcW w:type="dxa" w:w="1814"/>
            <w:shd w:val="clear" w:color="auto" w:fill="F5F7FA"/>
          </w:tcPr>
          <w:p>
            <w:pPr>
              <w:spacing w:after="40"/>
            </w:pPr>
            <w:r/>
            <w:r>
              <w:rPr>
                <w:sz w:val="19"/>
              </w:rPr>
              <w:t>Two sealed break-glass accounts</w:t>
            </w:r>
          </w:p>
        </w:tc>
      </w:tr>
      <w:tr>
        <w:tc>
          <w:tcPr>
            <w:tcW w:type="dxa" w:w="1871"/>
          </w:tcPr>
          <w:p>
            <w:pPr>
              <w:spacing w:after="40"/>
            </w:pPr>
            <w:r/>
            <w:r>
              <w:rPr>
                <w:sz w:val="19"/>
              </w:rPr>
              <w:t>Source code and CI/CD</w:t>
            </w:r>
          </w:p>
        </w:tc>
        <w:tc>
          <w:tcPr>
            <w:tcW w:type="dxa" w:w="2551"/>
          </w:tcPr>
          <w:p>
            <w:pPr>
              <w:spacing w:after="40"/>
            </w:pPr>
            <w:r/>
            <w:r>
              <w:rPr>
                <w:sz w:val="19"/>
              </w:rPr>
              <w:t>Cannot ship fixes</w:t>
            </w:r>
          </w:p>
        </w:tc>
        <w:tc>
          <w:tcPr>
            <w:tcW w:type="dxa" w:w="850"/>
          </w:tcPr>
          <w:p>
            <w:pPr>
              <w:spacing w:after="40"/>
            </w:pPr>
            <w:r/>
            <w:r>
              <w:rPr>
                <w:sz w:val="19"/>
              </w:rPr>
              <w:t>5 days</w:t>
            </w:r>
          </w:p>
        </w:tc>
        <w:tc>
          <w:tcPr>
            <w:tcW w:type="dxa" w:w="794"/>
          </w:tcPr>
          <w:p>
            <w:pPr>
              <w:spacing w:after="40"/>
            </w:pPr>
            <w:r/>
            <w:r>
              <w:rPr>
                <w:sz w:val="19"/>
              </w:rPr>
              <w:t>48 h</w:t>
            </w:r>
          </w:p>
        </w:tc>
        <w:tc>
          <w:tcPr>
            <w:tcW w:type="dxa" w:w="1474"/>
          </w:tcPr>
          <w:p>
            <w:pPr>
              <w:spacing w:after="40"/>
            </w:pPr>
            <w:r/>
            <w:r>
              <w:rPr>
                <w:sz w:val="19"/>
              </w:rPr>
              <w:t>0 (distributed git)</w:t>
            </w:r>
          </w:p>
        </w:tc>
        <w:tc>
          <w:tcPr>
            <w:tcW w:type="dxa" w:w="1814"/>
          </w:tcPr>
          <w:p>
            <w:pPr>
              <w:spacing w:after="40"/>
            </w:pPr>
            <w:r/>
            <w:r>
              <w:rPr>
                <w:sz w:val="19"/>
              </w:rPr>
              <w:t>Local clones; manual deploy runbook</w:t>
            </w:r>
          </w:p>
        </w:tc>
      </w:tr>
      <w:tr>
        <w:tc>
          <w:tcPr>
            <w:tcW w:type="dxa" w:w="1871"/>
            <w:shd w:val="clear" w:color="auto" w:fill="F5F7FA"/>
          </w:tcPr>
          <w:p>
            <w:pPr>
              <w:spacing w:after="40"/>
            </w:pPr>
            <w:r/>
            <w:r>
              <w:rPr>
                <w:sz w:val="19"/>
              </w:rPr>
              <w:t>Business SaaS (finance, HR)</w:t>
            </w:r>
          </w:p>
        </w:tc>
        <w:tc>
          <w:tcPr>
            <w:tcW w:type="dxa" w:w="2551"/>
            <w:shd w:val="clear" w:color="auto" w:fill="F5F7FA"/>
          </w:tcPr>
          <w:p>
            <w:pPr>
              <w:spacing w:after="40"/>
            </w:pPr>
            <w:r/>
            <w:r>
              <w:rPr>
                <w:sz w:val="19"/>
              </w:rPr>
              <w:t>Admin delays</w:t>
            </w:r>
          </w:p>
        </w:tc>
        <w:tc>
          <w:tcPr>
            <w:tcW w:type="dxa" w:w="850"/>
            <w:shd w:val="clear" w:color="auto" w:fill="F5F7FA"/>
          </w:tcPr>
          <w:p>
            <w:pPr>
              <w:spacing w:after="40"/>
            </w:pPr>
            <w:r/>
            <w:r>
              <w:rPr>
                <w:sz w:val="19"/>
              </w:rPr>
              <w:t>10 days</w:t>
            </w:r>
          </w:p>
        </w:tc>
        <w:tc>
          <w:tcPr>
            <w:tcW w:type="dxa" w:w="794"/>
            <w:shd w:val="clear" w:color="auto" w:fill="F5F7FA"/>
          </w:tcPr>
          <w:p>
            <w:pPr>
              <w:spacing w:after="40"/>
            </w:pPr>
            <w:r/>
            <w:r>
              <w:rPr>
                <w:sz w:val="19"/>
              </w:rPr>
              <w:t>5 days</w:t>
            </w:r>
          </w:p>
        </w:tc>
        <w:tc>
          <w:tcPr>
            <w:tcW w:type="dxa" w:w="1474"/>
            <w:shd w:val="clear" w:color="auto" w:fill="F5F7FA"/>
          </w:tcPr>
          <w:p>
            <w:pPr>
              <w:spacing w:after="40"/>
            </w:pPr>
            <w:r/>
            <w:r>
              <w:rPr>
                <w:sz w:val="19"/>
              </w:rPr>
              <w:t>24 h</w:t>
            </w:r>
          </w:p>
        </w:tc>
        <w:tc>
          <w:tcPr>
            <w:tcW w:type="dxa" w:w="1814"/>
            <w:shd w:val="clear" w:color="auto" w:fill="F5F7FA"/>
          </w:tcPr>
          <w:p>
            <w:pPr>
              <w:spacing w:after="40"/>
            </w:pPr>
            <w:r/>
            <w:r>
              <w:rPr>
                <w:sz w:val="19"/>
              </w:rPr>
              <w:t>Supplier recovery</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Do not set every RTO to 'one hour'. Each hour you shave off costs money (standby capacity, engineering time). Set targets the business truly needs, then prove you can meet them.</w:t>
            </w:r>
          </w:p>
        </w:tc>
      </w:tr>
    </w:tbl>
    <w:p/>
    <w:p>
      <w:pPr>
        <w:pStyle w:val="Heading1"/>
      </w:pPr>
      <w:r>
        <w:t>5. External model APIs and AI fallback</w:t>
      </w:r>
    </w:p>
    <w:p>
      <w:r>
        <w:rPr/>
        <w:t>Three of our AI systems depend on suppliers (Third-party foundation-model and image-model APIs under enterprise terms (no training on our data, zero or 30-day retention)). Their outages, sudden model changes or withdrawn versions are our most likely continuity events. Rules:</w:t>
      </w:r>
    </w:p>
    <w:p>
      <w:pPr>
        <w:pStyle w:val="ListNumber"/>
        <w:spacing w:after="60"/>
        <w:numPr>
          <w:ilvl w:val="0"/>
          <w:numId w:val="1015"/>
        </w:numPr>
      </w:pPr>
      <w:r>
        <w:rPr>
          <w:b/>
        </w:rPr>
        <w:t>Degrade gracefully.</w:t>
      </w:r>
      <w:r>
        <w:rPr/>
        <w:t xml:space="preserve"> Each AI feature has a kill switch and a non-AI fallback (see IMS-PRO-005 Incident Management Procedure (Security and AI Incidents) section 6). The product tells users plainly that the feature is paused.</w:t>
      </w:r>
    </w:p>
    <w:p>
      <w:pPr>
        <w:pStyle w:val="ListNumber"/>
        <w:spacing w:after="60"/>
        <w:numPr>
          <w:ilvl w:val="0"/>
          <w:numId w:val="1015"/>
        </w:numPr>
      </w:pPr>
      <w:r>
        <w:rPr>
          <w:b/>
        </w:rPr>
        <w:t>Never fail open on safety.</w:t>
      </w:r>
      <w:r>
        <w:rPr/>
        <w:t xml:space="preserve"> If SafeFrame is unavailable, slow or unreliable, image generation stops. We never deliver unscreened images to keep the service up.</w:t>
      </w:r>
    </w:p>
    <w:p>
      <w:pPr>
        <w:pStyle w:val="ListNumber"/>
        <w:spacing w:after="60"/>
        <w:numPr>
          <w:ilvl w:val="0"/>
          <w:numId w:val="1015"/>
        </w:numPr>
      </w:pPr>
      <w:r>
        <w:rPr>
          <w:b/>
        </w:rPr>
        <w:t>Alternative provider.</w:t>
      </w:r>
      <w:r>
        <w:rPr/>
        <w:t xml:space="preserve"> For ScriptMate we keep a second foundation-model provider under contract with the same no-training and retention terms. Switching is a configuration change, tested twice a year. A switch counts as a significant change: the Head of AI confirms the quick evaluation set passes first.</w:t>
      </w:r>
    </w:p>
    <w:p>
      <w:pPr>
        <w:pStyle w:val="ListNumber"/>
        <w:spacing w:after="60"/>
        <w:numPr>
          <w:ilvl w:val="0"/>
          <w:numId w:val="1015"/>
        </w:numPr>
      </w:pPr>
      <w:r>
        <w:rPr>
          <w:b/>
        </w:rPr>
        <w:t>Backup moderation.</w:t>
      </w:r>
      <w:r>
        <w:rPr/>
        <w:t xml:space="preserve"> For SafeFrame a second moderation vendor is contracted in standby; it can screen traffic within 4 hours at a lower throughput.</w:t>
      </w:r>
    </w:p>
    <w:p>
      <w:pPr>
        <w:pStyle w:val="ListNumber"/>
        <w:spacing w:after="60"/>
        <w:numPr>
          <w:ilvl w:val="0"/>
          <w:numId w:val="1015"/>
        </w:numPr>
      </w:pPr>
      <w:r>
        <w:rPr>
          <w:b/>
        </w:rPr>
        <w:t>Version pinning.</w:t>
      </w:r>
      <w:r>
        <w:rPr/>
        <w:t xml:space="preserve"> We pin supplier model versions where the supplier allows it, so that a supplier update cannot silently change behaviour during a disruption.</w:t>
      </w:r>
    </w:p>
    <w:p>
      <w:pPr>
        <w:pStyle w:val="ListNumber"/>
        <w:spacing w:after="60"/>
        <w:numPr>
          <w:ilvl w:val="0"/>
          <w:numId w:val="1015"/>
        </w:numPr>
      </w:pPr>
      <w:r>
        <w:rPr>
          <w:b/>
        </w:rPr>
        <w:t>Model weights we own</w:t>
      </w:r>
      <w:r>
        <w:rPr/>
        <w:t xml:space="preserve"> (fine-tuned models, ranking models) are stored in the model registry with cross-region replication, so we can redeploy them anywhere we run.</w:t>
      </w:r>
    </w:p>
    <w:p>
      <w:pPr>
        <w:pStyle w:val="Heading1"/>
      </w:pPr>
      <w:r>
        <w:t>6. Region failover</w:t>
      </w:r>
    </w:p>
    <w:p>
      <w:r>
        <w:rPr/>
        <w:t>This section treats risk RSK-IS-004 (loss of the primary cloud region stops canvas and the api for more than a day). Inherent score 2×4 = 8 (Medium); after the measures below, residual 2×2 = 4 (Low).</w:t>
      </w:r>
    </w:p>
    <w:p>
      <w:pPr>
        <w:pStyle w:val="ListBullet"/>
        <w:spacing w:after="60"/>
      </w:pPr>
      <w:r>
        <w:rPr/>
        <w:t>Production runs in the primary EU region across three availability zones, so the loss of one data centre is handled automatically.</w:t>
      </w:r>
    </w:p>
    <w:p>
      <w:pPr>
        <w:pStyle w:val="ListBullet"/>
        <w:spacing w:after="60"/>
      </w:pPr>
      <w:r>
        <w:rPr/>
        <w:t xml:space="preserve">A </w:t>
      </w:r>
      <w:r>
        <w:rPr>
          <w:b/>
        </w:rPr>
        <w:t>pilot-light</w:t>
      </w:r>
      <w:r>
        <w:rPr/>
        <w:t xml:space="preserve"> copy runs in a second EU region (</w:t>
      </w:r>
      <w:r>
        <w:rPr>
          <w:highlight w:val="yellow"/>
        </w:rPr>
        <w:t>[recovery region, e.g. eu-central-1]</w:t>
      </w:r>
      <w:r>
        <w:rPr/>
        <w:t>): databases replicate continuously, storage buckets replicate, infrastructure is defined as code and can be scaled up in about 2 hours. EU data stays in the EU.</w:t>
      </w:r>
    </w:p>
    <w:p>
      <w:pPr>
        <w:pStyle w:val="ListBullet"/>
        <w:spacing w:after="60"/>
      </w:pPr>
      <w:r>
        <w:rPr/>
        <w:t>UAE enterprise tenants run in the UAE region across availability zones. Their contracts require data to stay in the UAE, so they do not fail over abroad; their agreed RTO is 24 hours, restoring from in-country backups.</w:t>
      </w:r>
    </w:p>
    <w:p>
      <w:pPr>
        <w:pStyle w:val="ListBullet"/>
        <w:spacing w:after="60"/>
      </w:pPr>
      <w:r>
        <w:rPr/>
        <w:t>DNS failover is manual and needs two people (Recovery Lead plus CTO or Security Lead) to avoid a false failover.</w:t>
      </w:r>
    </w:p>
    <w:p>
      <w:pPr>
        <w:pStyle w:val="Heading1"/>
      </w:pPr>
      <w:r>
        <w:t>7. Backup strategy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871"/>
            <w:shd w:val="clear" w:color="auto" w:fill="142B4C"/>
          </w:tcPr>
          <w:p>
            <w:r/>
            <w:r>
              <w:rPr>
                <w:b/>
                <w:color w:val="FFFFFF"/>
                <w:sz w:val="19"/>
              </w:rPr>
              <w:t>What</w:t>
            </w:r>
          </w:p>
        </w:tc>
        <w:tc>
          <w:tcPr>
            <w:tcW w:type="dxa" w:w="3005"/>
            <w:shd w:val="clear" w:color="auto" w:fill="142B4C"/>
          </w:tcPr>
          <w:p>
            <w:r/>
            <w:r>
              <w:rPr>
                <w:b/>
                <w:color w:val="FFFFFF"/>
                <w:sz w:val="19"/>
              </w:rPr>
              <w:t>How</w:t>
            </w:r>
          </w:p>
        </w:tc>
        <w:tc>
          <w:tcPr>
            <w:tcW w:type="dxa" w:w="1247"/>
            <w:shd w:val="clear" w:color="auto" w:fill="142B4C"/>
          </w:tcPr>
          <w:p>
            <w:r/>
            <w:r>
              <w:rPr>
                <w:b/>
                <w:color w:val="FFFFFF"/>
                <w:sz w:val="19"/>
              </w:rPr>
              <w:t>Frequency</w:t>
            </w:r>
          </w:p>
        </w:tc>
        <w:tc>
          <w:tcPr>
            <w:tcW w:type="dxa" w:w="1701"/>
            <w:shd w:val="clear" w:color="auto" w:fill="142B4C"/>
          </w:tcPr>
          <w:p>
            <w:r/>
            <w:r>
              <w:rPr>
                <w:b/>
                <w:color w:val="FFFFFF"/>
                <w:sz w:val="19"/>
              </w:rPr>
              <w:t>Retention</w:t>
            </w:r>
          </w:p>
        </w:tc>
        <w:tc>
          <w:tcPr>
            <w:tcW w:type="dxa" w:w="1531"/>
            <w:shd w:val="clear" w:color="auto" w:fill="142B4C"/>
          </w:tcPr>
          <w:p>
            <w:r/>
            <w:r>
              <w:rPr>
                <w:b/>
                <w:color w:val="FFFFFF"/>
                <w:sz w:val="19"/>
              </w:rPr>
              <w:t>Restore test</w:t>
            </w:r>
          </w:p>
        </w:tc>
      </w:tr>
      <w:tr>
        <w:tc>
          <w:tcPr>
            <w:tcW w:type="dxa" w:w="1871"/>
          </w:tcPr>
          <w:p>
            <w:pPr>
              <w:spacing w:after="40"/>
            </w:pPr>
            <w:r/>
            <w:r>
              <w:rPr>
                <w:sz w:val="19"/>
              </w:rPr>
              <w:t>Production databases</w:t>
            </w:r>
          </w:p>
        </w:tc>
        <w:tc>
          <w:tcPr>
            <w:tcW w:type="dxa" w:w="3005"/>
          </w:tcPr>
          <w:p>
            <w:pPr>
              <w:spacing w:after="40"/>
            </w:pPr>
            <w:r/>
            <w:r>
              <w:rPr>
                <w:sz w:val="19"/>
              </w:rPr>
              <w:t>Point-in-time recovery + cross-region replica; encrypted with our keys</w:t>
            </w:r>
          </w:p>
        </w:tc>
        <w:tc>
          <w:tcPr>
            <w:tcW w:type="dxa" w:w="1247"/>
          </w:tcPr>
          <w:p>
            <w:pPr>
              <w:spacing w:after="40"/>
            </w:pPr>
            <w:r/>
            <w:r>
              <w:rPr>
                <w:sz w:val="19"/>
              </w:rPr>
              <w:t>Continuous</w:t>
            </w:r>
          </w:p>
        </w:tc>
        <w:tc>
          <w:tcPr>
            <w:tcW w:type="dxa" w:w="1701"/>
          </w:tcPr>
          <w:p>
            <w:pPr>
              <w:spacing w:after="40"/>
            </w:pPr>
            <w:r/>
            <w:r>
              <w:rPr>
                <w:sz w:val="19"/>
              </w:rPr>
              <w:t>35 days PITR; monthly snapshot kept 12 months</w:t>
            </w:r>
          </w:p>
        </w:tc>
        <w:tc>
          <w:tcPr>
            <w:tcW w:type="dxa" w:w="1531"/>
          </w:tcPr>
          <w:p>
            <w:pPr>
              <w:spacing w:after="40"/>
            </w:pPr>
            <w:r/>
            <w:r>
              <w:rPr>
                <w:sz w:val="19"/>
              </w:rPr>
              <w:t>Quarterly</w:t>
            </w:r>
          </w:p>
        </w:tc>
      </w:tr>
      <w:tr>
        <w:tc>
          <w:tcPr>
            <w:tcW w:type="dxa" w:w="1871"/>
            <w:shd w:val="clear" w:color="auto" w:fill="F5F7FA"/>
          </w:tcPr>
          <w:p>
            <w:pPr>
              <w:spacing w:after="40"/>
            </w:pPr>
            <w:r/>
            <w:r>
              <w:rPr>
                <w:sz w:val="19"/>
              </w:rPr>
              <w:t>Customer files and artist portfolios</w:t>
            </w:r>
          </w:p>
        </w:tc>
        <w:tc>
          <w:tcPr>
            <w:tcW w:type="dxa" w:w="3005"/>
            <w:shd w:val="clear" w:color="auto" w:fill="F5F7FA"/>
          </w:tcPr>
          <w:p>
            <w:pPr>
              <w:spacing w:after="40"/>
            </w:pPr>
            <w:r/>
            <w:r>
              <w:rPr>
                <w:sz w:val="19"/>
              </w:rPr>
              <w:t>Versioned storage, cross-region replication, delete protection</w:t>
            </w:r>
          </w:p>
        </w:tc>
        <w:tc>
          <w:tcPr>
            <w:tcW w:type="dxa" w:w="1247"/>
            <w:shd w:val="clear" w:color="auto" w:fill="F5F7FA"/>
          </w:tcPr>
          <w:p>
            <w:pPr>
              <w:spacing w:after="40"/>
            </w:pPr>
            <w:r/>
            <w:r>
              <w:rPr>
                <w:sz w:val="19"/>
              </w:rPr>
              <w:t>Continuous</w:t>
            </w:r>
          </w:p>
        </w:tc>
        <w:tc>
          <w:tcPr>
            <w:tcW w:type="dxa" w:w="1701"/>
            <w:shd w:val="clear" w:color="auto" w:fill="F5F7FA"/>
          </w:tcPr>
          <w:p>
            <w:pPr>
              <w:spacing w:after="40"/>
            </w:pPr>
            <w:r/>
            <w:r>
              <w:rPr>
                <w:sz w:val="19"/>
              </w:rPr>
              <w:t>Versions 90 days</w:t>
            </w:r>
          </w:p>
        </w:tc>
        <w:tc>
          <w:tcPr>
            <w:tcW w:type="dxa" w:w="1531"/>
            <w:shd w:val="clear" w:color="auto" w:fill="F5F7FA"/>
          </w:tcPr>
          <w:p>
            <w:pPr>
              <w:spacing w:after="40"/>
            </w:pPr>
            <w:r/>
            <w:r>
              <w:rPr>
                <w:sz w:val="19"/>
              </w:rPr>
              <w:t>Quarterly sample</w:t>
            </w:r>
          </w:p>
        </w:tc>
      </w:tr>
      <w:tr>
        <w:tc>
          <w:tcPr>
            <w:tcW w:type="dxa" w:w="1871"/>
          </w:tcPr>
          <w:p>
            <w:pPr>
              <w:spacing w:after="40"/>
            </w:pPr>
            <w:r/>
            <w:r>
              <w:rPr>
                <w:sz w:val="19"/>
              </w:rPr>
              <w:t>Consent and licence ledger</w:t>
            </w:r>
          </w:p>
        </w:tc>
        <w:tc>
          <w:tcPr>
            <w:tcW w:type="dxa" w:w="3005"/>
          </w:tcPr>
          <w:p>
            <w:pPr>
              <w:spacing w:after="40"/>
            </w:pPr>
            <w:r/>
            <w:r>
              <w:rPr>
                <w:sz w:val="19"/>
              </w:rPr>
              <w:t>Append-only store + daily export to separate backup account</w:t>
            </w:r>
          </w:p>
        </w:tc>
        <w:tc>
          <w:tcPr>
            <w:tcW w:type="dxa" w:w="1247"/>
          </w:tcPr>
          <w:p>
            <w:pPr>
              <w:spacing w:after="40"/>
            </w:pPr>
            <w:r/>
            <w:r>
              <w:rPr>
                <w:sz w:val="19"/>
              </w:rPr>
              <w:t>Hourly / daily</w:t>
            </w:r>
          </w:p>
        </w:tc>
        <w:tc>
          <w:tcPr>
            <w:tcW w:type="dxa" w:w="1701"/>
          </w:tcPr>
          <w:p>
            <w:pPr>
              <w:spacing w:after="40"/>
            </w:pPr>
            <w:r/>
            <w:r>
              <w:rPr>
                <w:sz w:val="19"/>
              </w:rPr>
              <w:t>7 years</w:t>
            </w:r>
          </w:p>
        </w:tc>
        <w:tc>
          <w:tcPr>
            <w:tcW w:type="dxa" w:w="1531"/>
          </w:tcPr>
          <w:p>
            <w:pPr>
              <w:spacing w:after="40"/>
            </w:pPr>
            <w:r/>
            <w:r>
              <w:rPr>
                <w:sz w:val="19"/>
              </w:rPr>
              <w:t>Twice a year</w:t>
            </w:r>
          </w:p>
        </w:tc>
      </w:tr>
      <w:tr>
        <w:tc>
          <w:tcPr>
            <w:tcW w:type="dxa" w:w="1871"/>
            <w:shd w:val="clear" w:color="auto" w:fill="F5F7FA"/>
          </w:tcPr>
          <w:p>
            <w:pPr>
              <w:spacing w:after="40"/>
            </w:pPr>
            <w:r/>
            <w:r>
              <w:rPr>
                <w:sz w:val="19"/>
              </w:rPr>
              <w:t>Model registry and datasets</w:t>
            </w:r>
          </w:p>
        </w:tc>
        <w:tc>
          <w:tcPr>
            <w:tcW w:type="dxa" w:w="3005"/>
            <w:shd w:val="clear" w:color="auto" w:fill="F5F7FA"/>
          </w:tcPr>
          <w:p>
            <w:pPr>
              <w:spacing w:after="40"/>
            </w:pPr>
            <w:r/>
            <w:r>
              <w:rPr>
                <w:sz w:val="19"/>
              </w:rPr>
              <w:t>Replicated registry; datasets in versioned storage</w:t>
            </w:r>
          </w:p>
        </w:tc>
        <w:tc>
          <w:tcPr>
            <w:tcW w:type="dxa" w:w="1247"/>
            <w:shd w:val="clear" w:color="auto" w:fill="F5F7FA"/>
          </w:tcPr>
          <w:p>
            <w:pPr>
              <w:spacing w:after="40"/>
            </w:pPr>
            <w:r/>
            <w:r>
              <w:rPr>
                <w:sz w:val="19"/>
              </w:rPr>
              <w:t>On each release</w:t>
            </w:r>
          </w:p>
        </w:tc>
        <w:tc>
          <w:tcPr>
            <w:tcW w:type="dxa" w:w="1701"/>
            <w:shd w:val="clear" w:color="auto" w:fill="F5F7FA"/>
          </w:tcPr>
          <w:p>
            <w:pPr>
              <w:spacing w:after="40"/>
            </w:pPr>
            <w:r/>
            <w:r>
              <w:rPr>
                <w:sz w:val="19"/>
              </w:rPr>
              <w:t>All approved versions</w:t>
            </w:r>
          </w:p>
        </w:tc>
        <w:tc>
          <w:tcPr>
            <w:tcW w:type="dxa" w:w="1531"/>
            <w:shd w:val="clear" w:color="auto" w:fill="F5F7FA"/>
          </w:tcPr>
          <w:p>
            <w:pPr>
              <w:spacing w:after="40"/>
            </w:pPr>
            <w:r/>
            <w:r>
              <w:rPr>
                <w:sz w:val="19"/>
              </w:rPr>
              <w:t>Twice a year (redeploy previous version)</w:t>
            </w:r>
          </w:p>
        </w:tc>
      </w:tr>
      <w:tr>
        <w:tc>
          <w:tcPr>
            <w:tcW w:type="dxa" w:w="1871"/>
          </w:tcPr>
          <w:p>
            <w:pPr>
              <w:spacing w:after="40"/>
            </w:pPr>
            <w:r/>
            <w:r>
              <w:rPr>
                <w:sz w:val="19"/>
              </w:rPr>
              <w:t>Infrastructure as code, source</w:t>
            </w:r>
          </w:p>
        </w:tc>
        <w:tc>
          <w:tcPr>
            <w:tcW w:type="dxa" w:w="3005"/>
          </w:tcPr>
          <w:p>
            <w:pPr>
              <w:spacing w:after="40"/>
            </w:pPr>
            <w:r/>
            <w:r>
              <w:rPr>
                <w:sz w:val="19"/>
              </w:rPr>
              <w:t>Git (hosted) + nightly mirror to backup account</w:t>
            </w:r>
          </w:p>
        </w:tc>
        <w:tc>
          <w:tcPr>
            <w:tcW w:type="dxa" w:w="1247"/>
          </w:tcPr>
          <w:p>
            <w:pPr>
              <w:spacing w:after="40"/>
            </w:pPr>
            <w:r/>
            <w:r>
              <w:rPr>
                <w:sz w:val="19"/>
              </w:rPr>
              <w:t>Nightly</w:t>
            </w:r>
          </w:p>
        </w:tc>
        <w:tc>
          <w:tcPr>
            <w:tcW w:type="dxa" w:w="1701"/>
          </w:tcPr>
          <w:p>
            <w:pPr>
              <w:spacing w:after="40"/>
            </w:pPr>
            <w:r/>
            <w:r>
              <w:rPr>
                <w:sz w:val="19"/>
              </w:rPr>
              <w:t>90 days</w:t>
            </w:r>
          </w:p>
        </w:tc>
        <w:tc>
          <w:tcPr>
            <w:tcW w:type="dxa" w:w="1531"/>
          </w:tcPr>
          <w:p>
            <w:pPr>
              <w:spacing w:after="40"/>
            </w:pPr>
            <w:r/>
            <w:r>
              <w:rPr>
                <w:sz w:val="19"/>
              </w:rPr>
              <w:t>Twice a year</w:t>
            </w:r>
          </w:p>
        </w:tc>
      </w:tr>
      <w:tr>
        <w:tc>
          <w:tcPr>
            <w:tcW w:type="dxa" w:w="1871"/>
            <w:shd w:val="clear" w:color="auto" w:fill="F5F7FA"/>
          </w:tcPr>
          <w:p>
            <w:pPr>
              <w:spacing w:after="40"/>
            </w:pPr>
            <w:r/>
            <w:r>
              <w:rPr>
                <w:sz w:val="19"/>
              </w:rPr>
              <w:t>Secrets</w:t>
            </w:r>
          </w:p>
        </w:tc>
        <w:tc>
          <w:tcPr>
            <w:tcW w:type="dxa" w:w="3005"/>
            <w:shd w:val="clear" w:color="auto" w:fill="F5F7FA"/>
          </w:tcPr>
          <w:p>
            <w:pPr>
              <w:spacing w:after="40"/>
            </w:pPr>
            <w:r/>
            <w:r>
              <w:rPr>
                <w:sz w:val="19"/>
              </w:rPr>
              <w:t>Secrets manager with multi-region replication</w:t>
            </w:r>
          </w:p>
        </w:tc>
        <w:tc>
          <w:tcPr>
            <w:tcW w:type="dxa" w:w="1247"/>
            <w:shd w:val="clear" w:color="auto" w:fill="F5F7FA"/>
          </w:tcPr>
          <w:p>
            <w:pPr>
              <w:spacing w:after="40"/>
            </w:pPr>
            <w:r/>
            <w:r>
              <w:rPr>
                <w:sz w:val="19"/>
              </w:rPr>
              <w:t>Continuous</w:t>
            </w:r>
          </w:p>
        </w:tc>
        <w:tc>
          <w:tcPr>
            <w:tcW w:type="dxa" w:w="1701"/>
            <w:shd w:val="clear" w:color="auto" w:fill="F5F7FA"/>
          </w:tcPr>
          <w:p>
            <w:pPr>
              <w:spacing w:after="40"/>
            </w:pPr>
            <w:r/>
            <w:r>
              <w:rPr>
                <w:sz w:val="19"/>
              </w:rPr>
              <w:t>n/a</w:t>
            </w:r>
          </w:p>
        </w:tc>
        <w:tc>
          <w:tcPr>
            <w:tcW w:type="dxa" w:w="1531"/>
            <w:shd w:val="clear" w:color="auto" w:fill="F5F7FA"/>
          </w:tcPr>
          <w:p>
            <w:pPr>
              <w:spacing w:after="40"/>
            </w:pPr>
            <w:r/>
            <w:r>
              <w:rPr>
                <w:sz w:val="19"/>
              </w:rPr>
              <w:t>Yearly (break-glass drill)</w:t>
            </w:r>
          </w:p>
        </w:tc>
      </w:tr>
    </w:tbl>
    <w:p/>
    <w:p>
      <w:r>
        <w:rPr/>
        <w:t>Backups are stored in a separate cloud account that production engineers cannot delete from, to survive ransomware or a compromised admin account. Backup failures alert the Recovery Lead.</w:t>
      </w:r>
    </w:p>
    <w:p>
      <w:pPr>
        <w:pStyle w:val="Heading1"/>
      </w:pPr>
      <w:r>
        <w:t>8. Invocation</w:t>
      </w:r>
    </w:p>
    <w:p>
      <w:pPr>
        <w:pStyle w:val="ListNumber"/>
        <w:spacing w:after="60"/>
        <w:numPr>
          <w:ilvl w:val="0"/>
          <w:numId w:val="1016"/>
        </w:numPr>
      </w:pPr>
      <w:r>
        <w:rPr/>
        <w:t>An incident (IMS-PRO-005 Incident Management Procedure (Security and AI Incidents)) is expected to exceed an RTO in section 4, or a supplier declares a major outage.</w:t>
      </w:r>
    </w:p>
    <w:p>
      <w:pPr>
        <w:pStyle w:val="ListNumber"/>
        <w:spacing w:after="60"/>
        <w:numPr>
          <w:ilvl w:val="0"/>
          <w:numId w:val="1016"/>
        </w:numPr>
      </w:pPr>
      <w:r>
        <w:rPr/>
        <w:t>The Recovery Lead recommends invocation in #trust-report, with the expected impact and options.</w:t>
      </w:r>
    </w:p>
    <w:p>
      <w:pPr>
        <w:pStyle w:val="ListNumber"/>
        <w:spacing w:after="60"/>
        <w:numPr>
          <w:ilvl w:val="0"/>
          <w:numId w:val="1016"/>
        </w:numPr>
      </w:pPr>
      <w:r>
        <w:rPr/>
        <w:t>The Continuity Decision-maker (or deputy) invokes the plan and records the time.</w:t>
      </w:r>
    </w:p>
    <w:p>
      <w:pPr>
        <w:pStyle w:val="ListNumber"/>
        <w:spacing w:after="60"/>
        <w:numPr>
          <w:ilvl w:val="0"/>
          <w:numId w:val="1016"/>
        </w:numPr>
      </w:pPr>
      <w:r>
        <w:rPr/>
        <w:t>The Security Lead confirms emergency access is through break-glass or approved roles only and is logged.</w:t>
      </w:r>
    </w:p>
    <w:p>
      <w:pPr>
        <w:pStyle w:val="ListNumber"/>
        <w:spacing w:after="60"/>
        <w:numPr>
          <w:ilvl w:val="0"/>
          <w:numId w:val="1016"/>
        </w:numPr>
      </w:pPr>
      <w:r>
        <w:rPr/>
        <w:t>Recovery Lead executes the relevant runbook (region failover, AI fallback, restore from backup).</w:t>
      </w:r>
    </w:p>
    <w:p>
      <w:pPr>
        <w:pStyle w:val="ListNumber"/>
        <w:spacing w:after="60"/>
        <w:numPr>
          <w:ilvl w:val="0"/>
          <w:numId w:val="1016"/>
        </w:numPr>
      </w:pPr>
      <w:r>
        <w:rPr/>
        <w:t>Head of AI confirms AI safety checks pass before AI features return.</w:t>
      </w:r>
    </w:p>
    <w:p>
      <w:pPr>
        <w:pStyle w:val="ListNumber"/>
        <w:spacing w:after="60"/>
        <w:numPr>
          <w:ilvl w:val="0"/>
          <w:numId w:val="1016"/>
        </w:numPr>
      </w:pPr>
      <w:r>
        <w:rPr/>
        <w:t>Stand down when services meet normal targets for 24 hours; hold a review within 10 working days.</w:t>
      </w:r>
    </w:p>
    <w:p>
      <w:pPr>
        <w:pStyle w:val="Heading1"/>
      </w:pPr>
      <w:r>
        <w:t>9. Communication during disruption</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701"/>
            <w:shd w:val="clear" w:color="auto" w:fill="142B4C"/>
          </w:tcPr>
          <w:p>
            <w:r/>
            <w:r>
              <w:rPr>
                <w:b/>
                <w:color w:val="FFFFFF"/>
                <w:sz w:val="19"/>
              </w:rPr>
              <w:t>Audience</w:t>
            </w:r>
          </w:p>
        </w:tc>
        <w:tc>
          <w:tcPr>
            <w:tcW w:type="dxa" w:w="3402"/>
            <w:shd w:val="clear" w:color="auto" w:fill="142B4C"/>
          </w:tcPr>
          <w:p>
            <w:r/>
            <w:r>
              <w:rPr>
                <w:b/>
                <w:color w:val="FFFFFF"/>
                <w:sz w:val="19"/>
              </w:rPr>
              <w:t>Channel</w:t>
            </w:r>
          </w:p>
        </w:tc>
        <w:tc>
          <w:tcPr>
            <w:tcW w:type="dxa" w:w="2268"/>
            <w:shd w:val="clear" w:color="auto" w:fill="142B4C"/>
          </w:tcPr>
          <w:p>
            <w:r/>
            <w:r>
              <w:rPr>
                <w:b/>
                <w:color w:val="FFFFFF"/>
                <w:sz w:val="19"/>
              </w:rPr>
              <w:t>When</w:t>
            </w:r>
          </w:p>
        </w:tc>
        <w:tc>
          <w:tcPr>
            <w:tcW w:type="dxa" w:w="1984"/>
            <w:shd w:val="clear" w:color="auto" w:fill="142B4C"/>
          </w:tcPr>
          <w:p>
            <w:r/>
            <w:r>
              <w:rPr>
                <w:b/>
                <w:color w:val="FFFFFF"/>
                <w:sz w:val="19"/>
              </w:rPr>
              <w:t>Owner</w:t>
            </w:r>
          </w:p>
        </w:tc>
      </w:tr>
      <w:tr>
        <w:tc>
          <w:tcPr>
            <w:tcW w:type="dxa" w:w="1701"/>
          </w:tcPr>
          <w:p>
            <w:pPr>
              <w:spacing w:after="40"/>
            </w:pPr>
            <w:r/>
            <w:r>
              <w:rPr>
                <w:sz w:val="19"/>
              </w:rPr>
              <w:t>Staff</w:t>
            </w:r>
          </w:p>
        </w:tc>
        <w:tc>
          <w:tcPr>
            <w:tcW w:type="dxa" w:w="3402"/>
          </w:tcPr>
          <w:p>
            <w:pPr>
              <w:spacing w:after="40"/>
            </w:pPr>
            <w:r/>
            <w:r>
              <w:rPr>
                <w:sz w:val="19"/>
              </w:rPr>
              <w:t>#trust-report, then all-hands message; SMS if chat is down</w:t>
            </w:r>
          </w:p>
        </w:tc>
        <w:tc>
          <w:tcPr>
            <w:tcW w:type="dxa" w:w="2268"/>
          </w:tcPr>
          <w:p>
            <w:pPr>
              <w:spacing w:after="40"/>
            </w:pPr>
            <w:r/>
            <w:r>
              <w:rPr>
                <w:sz w:val="19"/>
              </w:rPr>
              <w:t>Within 30 min of invocation</w:t>
            </w:r>
          </w:p>
        </w:tc>
        <w:tc>
          <w:tcPr>
            <w:tcW w:type="dxa" w:w="1984"/>
          </w:tcPr>
          <w:p>
            <w:pPr>
              <w:spacing w:after="40"/>
            </w:pPr>
            <w:r/>
            <w:r>
              <w:rPr>
                <w:sz w:val="19"/>
              </w:rPr>
              <w:t>Platform Engineer (SRE)</w:t>
            </w:r>
          </w:p>
        </w:tc>
      </w:tr>
      <w:tr>
        <w:tc>
          <w:tcPr>
            <w:tcW w:type="dxa" w:w="1701"/>
            <w:shd w:val="clear" w:color="auto" w:fill="F5F7FA"/>
          </w:tcPr>
          <w:p>
            <w:pPr>
              <w:spacing w:after="40"/>
            </w:pPr>
            <w:r/>
            <w:r>
              <w:rPr>
                <w:sz w:val="19"/>
              </w:rPr>
              <w:t>Customers</w:t>
            </w:r>
          </w:p>
        </w:tc>
        <w:tc>
          <w:tcPr>
            <w:tcW w:type="dxa" w:w="3402"/>
            <w:shd w:val="clear" w:color="auto" w:fill="F5F7FA"/>
          </w:tcPr>
          <w:p>
            <w:pPr>
              <w:spacing w:after="40"/>
            </w:pPr>
            <w:r/>
            <w:r>
              <w:rPr>
                <w:sz w:val="19"/>
              </w:rPr>
              <w:t>Status page; email to enterprise contacts</w:t>
            </w:r>
          </w:p>
        </w:tc>
        <w:tc>
          <w:tcPr>
            <w:tcW w:type="dxa" w:w="2268"/>
            <w:shd w:val="clear" w:color="auto" w:fill="F5F7FA"/>
          </w:tcPr>
          <w:p>
            <w:pPr>
              <w:spacing w:after="40"/>
            </w:pPr>
            <w:r/>
            <w:r>
              <w:rPr>
                <w:sz w:val="19"/>
              </w:rPr>
              <w:t>Within 1 hour; updates every 2 hours</w:t>
            </w:r>
          </w:p>
        </w:tc>
        <w:tc>
          <w:tcPr>
            <w:tcW w:type="dxa" w:w="1984"/>
            <w:shd w:val="clear" w:color="auto" w:fill="F5F7FA"/>
          </w:tcPr>
          <w:p>
            <w:pPr>
              <w:spacing w:after="40"/>
            </w:pPr>
            <w:r/>
            <w:r>
              <w:rPr>
                <w:sz w:val="19"/>
              </w:rPr>
              <w:t>Creative Director</w:t>
            </w:r>
          </w:p>
        </w:tc>
      </w:tr>
      <w:tr>
        <w:tc>
          <w:tcPr>
            <w:tcW w:type="dxa" w:w="1701"/>
          </w:tcPr>
          <w:p>
            <w:pPr>
              <w:spacing w:after="40"/>
            </w:pPr>
            <w:r/>
            <w:r>
              <w:rPr>
                <w:sz w:val="19"/>
              </w:rPr>
              <w:t>Artists</w:t>
            </w:r>
          </w:p>
        </w:tc>
        <w:tc>
          <w:tcPr>
            <w:tcW w:type="dxa" w:w="3402"/>
          </w:tcPr>
          <w:p>
            <w:pPr>
              <w:spacing w:after="40"/>
            </w:pPr>
            <w:r/>
            <w:r>
              <w:rPr>
                <w:sz w:val="19"/>
              </w:rPr>
              <w:t>Commons banner and email if payouts or commissions affected</w:t>
            </w:r>
          </w:p>
        </w:tc>
        <w:tc>
          <w:tcPr>
            <w:tcW w:type="dxa" w:w="2268"/>
          </w:tcPr>
          <w:p>
            <w:pPr>
              <w:spacing w:after="40"/>
            </w:pPr>
            <w:r/>
            <w:r>
              <w:rPr>
                <w:sz w:val="19"/>
              </w:rPr>
              <w:t>Within 4 hours</w:t>
            </w:r>
          </w:p>
        </w:tc>
        <w:tc>
          <w:tcPr>
            <w:tcW w:type="dxa" w:w="1984"/>
          </w:tcPr>
          <w:p>
            <w:pPr>
              <w:spacing w:after="40"/>
            </w:pPr>
            <w:r/>
            <w:r>
              <w:rPr>
                <w:sz w:val="19"/>
              </w:rPr>
              <w:t>Creative Director</w:t>
            </w:r>
          </w:p>
        </w:tc>
      </w:tr>
      <w:tr>
        <w:tc>
          <w:tcPr>
            <w:tcW w:type="dxa" w:w="1701"/>
            <w:shd w:val="clear" w:color="auto" w:fill="F5F7FA"/>
          </w:tcPr>
          <w:p>
            <w:pPr>
              <w:spacing w:after="40"/>
            </w:pPr>
            <w:r/>
            <w:r>
              <w:rPr>
                <w:sz w:val="19"/>
              </w:rPr>
              <w:t>Suppliers</w:t>
            </w:r>
          </w:p>
        </w:tc>
        <w:tc>
          <w:tcPr>
            <w:tcW w:type="dxa" w:w="3402"/>
            <w:shd w:val="clear" w:color="auto" w:fill="F5F7FA"/>
          </w:tcPr>
          <w:p>
            <w:pPr>
              <w:spacing w:after="40"/>
            </w:pPr>
            <w:r/>
            <w:r>
              <w:rPr>
                <w:sz w:val="19"/>
              </w:rPr>
              <w:t>Support escalation and account manager</w:t>
            </w:r>
          </w:p>
        </w:tc>
        <w:tc>
          <w:tcPr>
            <w:tcW w:type="dxa" w:w="2268"/>
            <w:shd w:val="clear" w:color="auto" w:fill="F5F7FA"/>
          </w:tcPr>
          <w:p>
            <w:pPr>
              <w:spacing w:after="40"/>
            </w:pPr>
            <w:r/>
            <w:r>
              <w:rPr>
                <w:sz w:val="19"/>
              </w:rPr>
              <w:t>Immediately</w:t>
            </w:r>
          </w:p>
        </w:tc>
        <w:tc>
          <w:tcPr>
            <w:tcW w:type="dxa" w:w="1984"/>
            <w:shd w:val="clear" w:color="auto" w:fill="F5F7FA"/>
          </w:tcPr>
          <w:p>
            <w:pPr>
              <w:spacing w:after="40"/>
            </w:pPr>
            <w:r/>
            <w:r>
              <w:rPr>
                <w:sz w:val="19"/>
              </w:rPr>
              <w:t>Privacy and Legal Lead</w:t>
            </w:r>
          </w:p>
        </w:tc>
      </w:tr>
      <w:tr>
        <w:tc>
          <w:tcPr>
            <w:tcW w:type="dxa" w:w="1701"/>
          </w:tcPr>
          <w:p>
            <w:pPr>
              <w:spacing w:after="40"/>
            </w:pPr>
            <w:r/>
            <w:r>
              <w:rPr>
                <w:sz w:val="19"/>
              </w:rPr>
              <w:t>Trust Council</w:t>
            </w:r>
          </w:p>
        </w:tc>
        <w:tc>
          <w:tcPr>
            <w:tcW w:type="dxa" w:w="3402"/>
          </w:tcPr>
          <w:p>
            <w:pPr>
              <w:spacing w:after="40"/>
            </w:pPr>
            <w:r/>
            <w:r>
              <w:rPr>
                <w:sz w:val="19"/>
              </w:rPr>
              <w:t>Summary at end of event; full review at next meeting</w:t>
            </w:r>
          </w:p>
        </w:tc>
        <w:tc>
          <w:tcPr>
            <w:tcW w:type="dxa" w:w="2268"/>
          </w:tcPr>
          <w:p>
            <w:pPr>
              <w:spacing w:after="40"/>
            </w:pPr>
            <w:r/>
            <w:r>
              <w:rPr>
                <w:sz w:val="19"/>
              </w:rPr>
              <w:t>End of event</w:t>
            </w:r>
          </w:p>
        </w:tc>
        <w:tc>
          <w:tcPr>
            <w:tcW w:type="dxa" w:w="1984"/>
          </w:tcPr>
          <w:p>
            <w:pPr>
              <w:spacing w:after="40"/>
            </w:pPr>
            <w:r/>
            <w:r>
              <w:rPr>
                <w:sz w:val="19"/>
              </w:rPr>
              <w:t>Chief Executive Officer and co-founder</w:t>
            </w:r>
          </w:p>
        </w:tc>
      </w:tr>
    </w:tbl>
    <w:p/>
    <w:p>
      <w:pPr>
        <w:pStyle w:val="Heading1"/>
      </w:pPr>
      <w:r>
        <w:t>10. Testing schedule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835"/>
            <w:shd w:val="clear" w:color="auto" w:fill="142B4C"/>
          </w:tcPr>
          <w:p>
            <w:r/>
            <w:r>
              <w:rPr>
                <w:b/>
                <w:color w:val="FFFFFF"/>
                <w:sz w:val="19"/>
              </w:rPr>
              <w:t>Test</w:t>
            </w:r>
          </w:p>
        </w:tc>
        <w:tc>
          <w:tcPr>
            <w:tcW w:type="dxa" w:w="1417"/>
            <w:shd w:val="clear" w:color="auto" w:fill="142B4C"/>
          </w:tcPr>
          <w:p>
            <w:r/>
            <w:r>
              <w:rPr>
                <w:b/>
                <w:color w:val="FFFFFF"/>
                <w:sz w:val="19"/>
              </w:rPr>
              <w:t>Frequency</w:t>
            </w:r>
          </w:p>
        </w:tc>
        <w:tc>
          <w:tcPr>
            <w:tcW w:type="dxa" w:w="3402"/>
            <w:shd w:val="clear" w:color="auto" w:fill="142B4C"/>
          </w:tcPr>
          <w:p>
            <w:r/>
            <w:r>
              <w:rPr>
                <w:b/>
                <w:color w:val="FFFFFF"/>
                <w:sz w:val="19"/>
              </w:rPr>
              <w:t>Pass criterion</w:t>
            </w:r>
          </w:p>
        </w:tc>
        <w:tc>
          <w:tcPr>
            <w:tcW w:type="dxa" w:w="1701"/>
            <w:shd w:val="clear" w:color="auto" w:fill="142B4C"/>
          </w:tcPr>
          <w:p>
            <w:r/>
            <w:r>
              <w:rPr>
                <w:b/>
                <w:color w:val="FFFFFF"/>
                <w:sz w:val="19"/>
              </w:rPr>
              <w:t>Owner</w:t>
            </w:r>
          </w:p>
        </w:tc>
      </w:tr>
      <w:tr>
        <w:tc>
          <w:tcPr>
            <w:tcW w:type="dxa" w:w="2835"/>
          </w:tcPr>
          <w:p>
            <w:pPr>
              <w:spacing w:after="40"/>
            </w:pPr>
            <w:r/>
            <w:r>
              <w:rPr>
                <w:sz w:val="19"/>
              </w:rPr>
              <w:t>Database and file restore</w:t>
            </w:r>
          </w:p>
        </w:tc>
        <w:tc>
          <w:tcPr>
            <w:tcW w:type="dxa" w:w="1417"/>
          </w:tcPr>
          <w:p>
            <w:pPr>
              <w:spacing w:after="40"/>
            </w:pPr>
            <w:r/>
            <w:r>
              <w:rPr>
                <w:sz w:val="19"/>
              </w:rPr>
              <w:t>Quarterly</w:t>
            </w:r>
          </w:p>
        </w:tc>
        <w:tc>
          <w:tcPr>
            <w:tcW w:type="dxa" w:w="3402"/>
          </w:tcPr>
          <w:p>
            <w:pPr>
              <w:spacing w:after="40"/>
            </w:pPr>
            <w:r/>
            <w:r>
              <w:rPr>
                <w:sz w:val="19"/>
              </w:rPr>
              <w:t>Restore within RTO; data matches checksums</w:t>
            </w:r>
          </w:p>
        </w:tc>
        <w:tc>
          <w:tcPr>
            <w:tcW w:type="dxa" w:w="1701"/>
          </w:tcPr>
          <w:p>
            <w:pPr>
              <w:spacing w:after="40"/>
            </w:pPr>
            <w:r/>
            <w:r>
              <w:rPr>
                <w:sz w:val="19"/>
              </w:rPr>
              <w:t>[Platform Engineer]</w:t>
            </w:r>
          </w:p>
        </w:tc>
      </w:tr>
      <w:tr>
        <w:tc>
          <w:tcPr>
            <w:tcW w:type="dxa" w:w="2835"/>
            <w:shd w:val="clear" w:color="auto" w:fill="F5F7FA"/>
          </w:tcPr>
          <w:p>
            <w:pPr>
              <w:spacing w:after="40"/>
            </w:pPr>
            <w:r/>
            <w:r>
              <w:rPr>
                <w:sz w:val="19"/>
              </w:rPr>
              <w:t>Region failover (pilot light scale-up)</w:t>
            </w:r>
          </w:p>
        </w:tc>
        <w:tc>
          <w:tcPr>
            <w:tcW w:type="dxa" w:w="1417"/>
            <w:shd w:val="clear" w:color="auto" w:fill="F5F7FA"/>
          </w:tcPr>
          <w:p>
            <w:pPr>
              <w:spacing w:after="40"/>
            </w:pPr>
            <w:r/>
            <w:r>
              <w:rPr>
                <w:sz w:val="19"/>
              </w:rPr>
              <w:t>Yearly</w:t>
            </w:r>
          </w:p>
        </w:tc>
        <w:tc>
          <w:tcPr>
            <w:tcW w:type="dxa" w:w="3402"/>
            <w:shd w:val="clear" w:color="auto" w:fill="F5F7FA"/>
          </w:tcPr>
          <w:p>
            <w:pPr>
              <w:spacing w:after="40"/>
            </w:pPr>
            <w:r/>
            <w:r>
              <w:rPr>
                <w:sz w:val="19"/>
              </w:rPr>
              <w:t>Canvas and API serve traffic from recovery region within 8 h</w:t>
            </w:r>
          </w:p>
        </w:tc>
        <w:tc>
          <w:tcPr>
            <w:tcW w:type="dxa" w:w="1701"/>
            <w:shd w:val="clear" w:color="auto" w:fill="F5F7FA"/>
          </w:tcPr>
          <w:p>
            <w:pPr>
              <w:spacing w:after="40"/>
            </w:pPr>
            <w:r/>
            <w:r>
              <w:rPr>
                <w:sz w:val="19"/>
              </w:rPr>
              <w:t>[Platform Engineer]</w:t>
            </w:r>
          </w:p>
        </w:tc>
      </w:tr>
      <w:tr>
        <w:tc>
          <w:tcPr>
            <w:tcW w:type="dxa" w:w="2835"/>
          </w:tcPr>
          <w:p>
            <w:pPr>
              <w:spacing w:after="40"/>
            </w:pPr>
            <w:r/>
            <w:r>
              <w:rPr>
                <w:sz w:val="19"/>
              </w:rPr>
              <w:t>ScriptMate alternative-provider switch</w:t>
            </w:r>
          </w:p>
        </w:tc>
        <w:tc>
          <w:tcPr>
            <w:tcW w:type="dxa" w:w="1417"/>
          </w:tcPr>
          <w:p>
            <w:pPr>
              <w:spacing w:after="40"/>
            </w:pPr>
            <w:r/>
            <w:r>
              <w:rPr>
                <w:sz w:val="19"/>
              </w:rPr>
              <w:t>Twice a year</w:t>
            </w:r>
          </w:p>
        </w:tc>
        <w:tc>
          <w:tcPr>
            <w:tcW w:type="dxa" w:w="3402"/>
          </w:tcPr>
          <w:p>
            <w:pPr>
              <w:spacing w:after="40"/>
            </w:pPr>
            <w:r/>
            <w:r>
              <w:rPr>
                <w:sz w:val="19"/>
              </w:rPr>
              <w:t>Evaluation set passes; switch &lt; 1 h</w:t>
            </w:r>
          </w:p>
        </w:tc>
        <w:tc>
          <w:tcPr>
            <w:tcW w:type="dxa" w:w="1701"/>
          </w:tcPr>
          <w:p>
            <w:pPr>
              <w:spacing w:after="40"/>
            </w:pPr>
            <w:r/>
            <w:r>
              <w:rPr>
                <w:sz w:val="19"/>
              </w:rPr>
              <w:t>[Head of AI]</w:t>
            </w:r>
          </w:p>
        </w:tc>
      </w:tr>
      <w:tr>
        <w:tc>
          <w:tcPr>
            <w:tcW w:type="dxa" w:w="2835"/>
            <w:shd w:val="clear" w:color="auto" w:fill="F5F7FA"/>
          </w:tcPr>
          <w:p>
            <w:pPr>
              <w:spacing w:after="40"/>
            </w:pPr>
            <w:r/>
            <w:r>
              <w:rPr>
                <w:sz w:val="19"/>
              </w:rPr>
              <w:t>SafeFrame backup moderation</w:t>
            </w:r>
          </w:p>
        </w:tc>
        <w:tc>
          <w:tcPr>
            <w:tcW w:type="dxa" w:w="1417"/>
            <w:shd w:val="clear" w:color="auto" w:fill="F5F7FA"/>
          </w:tcPr>
          <w:p>
            <w:pPr>
              <w:spacing w:after="40"/>
            </w:pPr>
            <w:r/>
            <w:r>
              <w:rPr>
                <w:sz w:val="19"/>
              </w:rPr>
              <w:t>Twice a year</w:t>
            </w:r>
          </w:p>
        </w:tc>
        <w:tc>
          <w:tcPr>
            <w:tcW w:type="dxa" w:w="3402"/>
            <w:shd w:val="clear" w:color="auto" w:fill="F5F7FA"/>
          </w:tcPr>
          <w:p>
            <w:pPr>
              <w:spacing w:after="40"/>
            </w:pPr>
            <w:r/>
            <w:r>
              <w:rPr>
                <w:sz w:val="19"/>
              </w:rPr>
              <w:t>Backup screens test set at agreed detection rate</w:t>
            </w:r>
          </w:p>
        </w:tc>
        <w:tc>
          <w:tcPr>
            <w:tcW w:type="dxa" w:w="1701"/>
            <w:shd w:val="clear" w:color="auto" w:fill="F5F7FA"/>
          </w:tcPr>
          <w:p>
            <w:pPr>
              <w:spacing w:after="40"/>
            </w:pPr>
            <w:r/>
            <w:r>
              <w:rPr>
                <w:sz w:val="19"/>
              </w:rPr>
              <w:t>[Creative Director]</w:t>
            </w:r>
          </w:p>
        </w:tc>
      </w:tr>
      <w:tr>
        <w:tc>
          <w:tcPr>
            <w:tcW w:type="dxa" w:w="2835"/>
          </w:tcPr>
          <w:p>
            <w:pPr>
              <w:spacing w:after="40"/>
            </w:pPr>
            <w:r/>
            <w:r>
              <w:rPr>
                <w:sz w:val="19"/>
              </w:rPr>
              <w:t>AI kill switches and model rollback</w:t>
            </w:r>
          </w:p>
        </w:tc>
        <w:tc>
          <w:tcPr>
            <w:tcW w:type="dxa" w:w="1417"/>
          </w:tcPr>
          <w:p>
            <w:pPr>
              <w:spacing w:after="40"/>
            </w:pPr>
            <w:r/>
            <w:r>
              <w:rPr>
                <w:sz w:val="19"/>
              </w:rPr>
              <w:t>Twice a year</w:t>
            </w:r>
          </w:p>
        </w:tc>
        <w:tc>
          <w:tcPr>
            <w:tcW w:type="dxa" w:w="3402"/>
          </w:tcPr>
          <w:p>
            <w:pPr>
              <w:spacing w:after="40"/>
            </w:pPr>
            <w:r/>
            <w:r>
              <w:rPr>
                <w:sz w:val="19"/>
              </w:rPr>
              <w:t>Each works in &lt; 15 min</w:t>
            </w:r>
          </w:p>
        </w:tc>
        <w:tc>
          <w:tcPr>
            <w:tcW w:type="dxa" w:w="1701"/>
          </w:tcPr>
          <w:p>
            <w:pPr>
              <w:spacing w:after="40"/>
            </w:pPr>
            <w:r/>
            <w:r>
              <w:rPr>
                <w:sz w:val="19"/>
              </w:rPr>
              <w:t>[Data and ML Lead]</w:t>
            </w:r>
          </w:p>
        </w:tc>
      </w:tr>
      <w:tr>
        <w:tc>
          <w:tcPr>
            <w:tcW w:type="dxa" w:w="2835"/>
            <w:shd w:val="clear" w:color="auto" w:fill="F5F7FA"/>
          </w:tcPr>
          <w:p>
            <w:pPr>
              <w:spacing w:after="40"/>
            </w:pPr>
            <w:r/>
            <w:r>
              <w:rPr>
                <w:sz w:val="19"/>
              </w:rPr>
              <w:t>Tabletop exercise</w:t>
            </w:r>
          </w:p>
        </w:tc>
        <w:tc>
          <w:tcPr>
            <w:tcW w:type="dxa" w:w="1417"/>
            <w:shd w:val="clear" w:color="auto" w:fill="F5F7FA"/>
          </w:tcPr>
          <w:p>
            <w:pPr>
              <w:spacing w:after="40"/>
            </w:pPr>
            <w:r/>
            <w:r>
              <w:rPr>
                <w:sz w:val="19"/>
              </w:rPr>
              <w:t>Twice a year</w:t>
            </w:r>
          </w:p>
        </w:tc>
        <w:tc>
          <w:tcPr>
            <w:tcW w:type="dxa" w:w="3402"/>
            <w:shd w:val="clear" w:color="auto" w:fill="F5F7FA"/>
          </w:tcPr>
          <w:p>
            <w:pPr>
              <w:spacing w:after="40"/>
            </w:pPr>
            <w:r/>
            <w:r>
              <w:rPr>
                <w:sz w:val="19"/>
              </w:rPr>
              <w:t>Actions recorded and tracked</w:t>
            </w:r>
          </w:p>
        </w:tc>
        <w:tc>
          <w:tcPr>
            <w:tcW w:type="dxa" w:w="1701"/>
            <w:shd w:val="clear" w:color="auto" w:fill="F5F7FA"/>
          </w:tcPr>
          <w:p>
            <w:pPr>
              <w:spacing w:after="40"/>
            </w:pPr>
            <w:r/>
            <w:r>
              <w:rPr>
                <w:sz w:val="19"/>
              </w:rPr>
              <w:t>[Compliance Coordinator]</w:t>
            </w:r>
          </w:p>
        </w:tc>
      </w:tr>
      <w:tr>
        <w:tc>
          <w:tcPr>
            <w:tcW w:type="dxa" w:w="2835"/>
          </w:tcPr>
          <w:p>
            <w:pPr>
              <w:spacing w:after="40"/>
            </w:pPr>
            <w:r/>
            <w:r>
              <w:rPr>
                <w:sz w:val="19"/>
              </w:rPr>
              <w:t>Break-glass accounts</w:t>
            </w:r>
          </w:p>
        </w:tc>
        <w:tc>
          <w:tcPr>
            <w:tcW w:type="dxa" w:w="1417"/>
          </w:tcPr>
          <w:p>
            <w:pPr>
              <w:spacing w:after="40"/>
            </w:pPr>
            <w:r/>
            <w:r>
              <w:rPr>
                <w:sz w:val="19"/>
              </w:rPr>
              <w:t>Yearly</w:t>
            </w:r>
          </w:p>
        </w:tc>
        <w:tc>
          <w:tcPr>
            <w:tcW w:type="dxa" w:w="3402"/>
          </w:tcPr>
          <w:p>
            <w:pPr>
              <w:spacing w:after="40"/>
            </w:pPr>
            <w:r/>
            <w:r>
              <w:rPr>
                <w:sz w:val="19"/>
              </w:rPr>
              <w:t>Log-in works; alert fires</w:t>
            </w:r>
          </w:p>
        </w:tc>
        <w:tc>
          <w:tcPr>
            <w:tcW w:type="dxa" w:w="1701"/>
          </w:tcPr>
          <w:p>
            <w:pPr>
              <w:spacing w:after="40"/>
            </w:pPr>
            <w:r/>
            <w:r>
              <w:rPr>
                <w:sz w:val="19"/>
              </w:rPr>
              <w:t>[Security Lead]</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Tabletop exercise BC-TT-2026-02 (2026-06-18, 90 minutes)</w:t>
            </w:r>
          </w:p>
          <w:p>
            <w:pPr>
              <w:spacing w:after="60"/>
            </w:pPr>
            <w:r>
              <w:rPr>
                <w:sz w:val="20"/>
              </w:rPr>
              <w:t xml:space="preserve">•  </w:t>
            </w:r>
            <w:r>
              <w:rPr>
                <w:b/>
                <w:sz w:val="20"/>
              </w:rPr>
              <w:t>Scenario:</w:t>
            </w:r>
            <w:r>
              <w:rPr>
                <w:sz w:val="20"/>
              </w:rPr>
              <w:t xml:space="preserve"> the primary EU region suffers a major outage at 10:00 on a Tuesday. At 11:30 the foundation-model provider used by ScriptMate also reports degraded service. An agency customer is mid-campaign and calls the CEO.</w:t>
            </w:r>
          </w:p>
          <w:p>
            <w:pPr>
              <w:spacing w:after="60"/>
            </w:pPr>
            <w:r>
              <w:rPr>
                <w:sz w:val="20"/>
              </w:rPr>
              <w:t xml:space="preserve">•  </w:t>
            </w:r>
            <w:r>
              <w:rPr>
                <w:b/>
                <w:sz w:val="20"/>
              </w:rPr>
              <w:t>Participants:</w:t>
            </w:r>
            <w:r>
              <w:rPr>
                <w:sz w:val="20"/>
              </w:rPr>
              <w:t xml:space="preserve"> [Platform Engineer] (facilitator), [CTO], [Security Lead], [Head of AI], [Creative Director], [Compliance Coordinator] (scribe).</w:t>
            </w:r>
          </w:p>
          <w:p>
            <w:pPr>
              <w:spacing w:after="60"/>
            </w:pPr>
            <w:r>
              <w:rPr>
                <w:sz w:val="20"/>
              </w:rPr>
              <w:t xml:space="preserve">•  </w:t>
            </w:r>
            <w:r>
              <w:rPr>
                <w:b/>
                <w:sz w:val="20"/>
              </w:rPr>
              <w:t>What went well:</w:t>
            </w:r>
            <w:r>
              <w:rPr>
                <w:sz w:val="20"/>
              </w:rPr>
              <w:t xml:space="preserve"> the team knew the RTO for Canvas and the decision to invoke was taken in 20 minutes; everyone agreed immediately that StoryFrame must stay off until SafeFrame was confirmed in the recovery region.</w:t>
            </w:r>
          </w:p>
          <w:p>
            <w:pPr>
              <w:spacing w:after="60"/>
            </w:pPr>
            <w:r>
              <w:rPr>
                <w:sz w:val="20"/>
              </w:rPr>
              <w:t xml:space="preserve">•  </w:t>
            </w:r>
            <w:r>
              <w:rPr>
                <w:b/>
                <w:sz w:val="20"/>
              </w:rPr>
              <w:t>Gaps found:</w:t>
            </w:r>
            <w:r>
              <w:rPr>
                <w:sz w:val="20"/>
              </w:rPr>
              <w:t xml:space="preserve"> (1) the runbook did not say who changes DNS — fixed with the two-person rule; (2) the status-page login used single sign-on, which would also be down — moved to a break-glass account; (3) the alternative provider for ScriptMate had not been tested since signing — test added to the schedule.</w:t>
            </w:r>
          </w:p>
          <w:p>
            <w:pPr>
              <w:spacing w:after="60"/>
            </w:pPr>
            <w:r>
              <w:rPr>
                <w:sz w:val="20"/>
              </w:rPr>
              <w:t xml:space="preserve">•  </w:t>
            </w:r>
            <w:r>
              <w:rPr>
                <w:b/>
                <w:sz w:val="20"/>
              </w:rPr>
              <w:t>Follow-up:</w:t>
            </w:r>
            <w:r>
              <w:rPr>
                <w:sz w:val="20"/>
              </w:rPr>
              <w:t xml:space="preserve"> three actions logged in the Improvement Register of IMS-REG-008 Nonconformity, Corrective Action and Improvement Log; all closed by 2026-08-31. The real foundation-model API outage of June 2026 (INC-2026-006 in IMS-REG-006 Incident and Event Log) later confirmed that manual mode worked.</w:t>
            </w:r>
          </w:p>
        </w:tc>
      </w:tr>
    </w:tbl>
    <w:p/>
    <w:p>
      <w:pPr>
        <w:pStyle w:val="Heading1"/>
      </w:pPr>
      <w:r>
        <w:t>11. Records</w:t>
      </w:r>
    </w:p>
    <w:p>
      <w:pPr>
        <w:pStyle w:val="ListBullet"/>
        <w:spacing w:after="60"/>
      </w:pPr>
      <w:r>
        <w:rPr/>
        <w:t>This plan and its BIA, reviewed yearly and after any invocation or major architecture change.</w:t>
      </w:r>
    </w:p>
    <w:p>
      <w:pPr>
        <w:pStyle w:val="ListBullet"/>
        <w:spacing w:after="60"/>
      </w:pPr>
      <w:r>
        <w:rPr/>
        <w:t>Backup job reports and restore-test results; failover and switch test reports.</w:t>
      </w:r>
    </w:p>
    <w:p>
      <w:pPr>
        <w:pStyle w:val="ListBullet"/>
        <w:spacing w:after="60"/>
      </w:pPr>
      <w:r>
        <w:rPr/>
        <w:t>Tabletop exercise notes and actions; invocation logs and post-event reviews.</w:t>
      </w:r>
    </w:p>
    <w:p>
      <w:pPr>
        <w:pStyle w:val="Heading1"/>
      </w:pPr>
      <w:r>
        <w:t>12. Related documents</w:t>
      </w:r>
    </w:p>
    <w:p>
      <w:pPr>
        <w:pStyle w:val="ListBullet"/>
        <w:spacing w:after="60"/>
      </w:pPr>
      <w:r>
        <w:rPr/>
        <w:t>IMS-PRO-005 Incident Management Procedure (Security and AI Incidents)</w:t>
      </w:r>
    </w:p>
    <w:p>
      <w:pPr>
        <w:pStyle w:val="ListBullet"/>
        <w:spacing w:after="60"/>
      </w:pPr>
      <w:r>
        <w:rPr/>
        <w:t>IMS-REG-002 Integrated Risk Register and Treatment Plan</w:t>
      </w:r>
    </w:p>
    <w:p>
      <w:pPr>
        <w:pStyle w:val="ListBullet"/>
        <w:spacing w:after="60"/>
      </w:pPr>
      <w:r>
        <w:rPr/>
        <w:t>IMS-REG-005 Asset and AI System Inventory</w:t>
      </w:r>
    </w:p>
    <w:p>
      <w:pPr>
        <w:pStyle w:val="ListBullet"/>
        <w:spacing w:after="60"/>
      </w:pPr>
      <w:r>
        <w:rPr/>
        <w:t>IMS-POL-006 Supplier and Third-Party AI Policy</w:t>
      </w:r>
    </w:p>
    <w:p>
      <w:pPr>
        <w:pStyle w:val="ListBullet"/>
        <w:spacing w:after="60"/>
      </w:pPr>
      <w:r>
        <w:rPr/>
        <w:t>IMS-REG-003 Objectives, Metrics and Monitoring Plan</w:t>
      </w:r>
    </w:p>
    <w:p>
      <w:pPr>
        <w:pStyle w:val="ListBullet"/>
        <w:spacing w:after="60"/>
      </w:pPr>
      <w:r>
        <w:rPr/>
        <w:t>IMS-REG-006 Incident and Event Log</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IMS-PRO-006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IMS-PRO-006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5">
    <w:abstractNumId w:val="7"/>
    <w:lvlOverride w:ilvl="0">
      <w:startOverride w:val="1"/>
    </w:lvlOverride>
  </w:num>
  <w:num w:numId="10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and ICT Readiness Plan</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