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Management Review Procedure and Example Minutes</w:t>
      </w:r>
    </w:p>
    <w:p>
      <w:r>
        <w:rPr>
          <w:color w:val="595959"/>
          <w:sz w:val="23"/>
        </w:rPr>
        <w:t>How top management at Quillfen Studio reviews the integrated management system twice a year through the Trust Council: the inputs both standards require, the decisions it must produce, how to prepare, and full example minutes of the October 2026 review.</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IMS-PRO-008</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[CEO]</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05 Prove and Improve</w:t>
            </w:r>
          </w:p>
        </w:tc>
      </w:tr>
      <w:tr>
        <w:tc>
          <w:tcPr>
            <w:tcW w:type="dxa" w:w="2835"/>
            <w:shd w:val="clear" w:color="auto" w:fill="EEF2F7"/>
          </w:tcPr>
          <w:p>
            <w:r/>
            <w:r>
              <w:rPr>
                <w:b/>
                <w:sz w:val="19"/>
              </w:rPr>
              <w:t>ISO/IEC 27001:2022</w:t>
            </w:r>
          </w:p>
        </w:tc>
        <w:tc>
          <w:tcPr>
            <w:tcW w:type="dxa" w:w="6520"/>
          </w:tcPr>
          <w:p>
            <w:r/>
            <w:r>
              <w:rPr>
                <w:sz w:val="19"/>
              </w:rPr>
              <w:t>9.3.1, 9.3.2, 9.3.3; 5.1; 10.1</w:t>
            </w:r>
          </w:p>
        </w:tc>
      </w:tr>
      <w:tr>
        <w:tc>
          <w:tcPr>
            <w:tcW w:type="dxa" w:w="2835"/>
            <w:shd w:val="clear" w:color="auto" w:fill="EEF2F7"/>
          </w:tcPr>
          <w:p>
            <w:r/>
            <w:r>
              <w:rPr>
                <w:b/>
                <w:sz w:val="19"/>
              </w:rPr>
              <w:t>ISO/IEC 42001:2023</w:t>
            </w:r>
          </w:p>
        </w:tc>
        <w:tc>
          <w:tcPr>
            <w:tcW w:type="dxa" w:w="6520"/>
          </w:tcPr>
          <w:p>
            <w:r/>
            <w:r>
              <w:rPr>
                <w:sz w:val="19"/>
              </w:rPr>
              <w:t>9.3.1, 9.3.2, 9.3.3; 5.1; 10.1</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Do not hold a separate management review for each standard. One meeting, one pack, one set of minutes — with the AI-specific inputs added as their own agenda items.</w:t>
            </w:r>
          </w:p>
          <w:p>
            <w:pPr>
              <w:spacing w:after="60"/>
            </w:pPr>
            <w:r>
              <w:rPr>
                <w:sz w:val="20"/>
              </w:rPr>
              <w:t>•  Auditors read the minutes to see that each required input was discussed and that decisions were made. Write decisions as decisions ('approved', 'accepted until', 'rejected'), not as 'discussed'.</w:t>
            </w:r>
          </w:p>
        </w:tc>
      </w:tr>
    </w:tbl>
    <w:p/>
    <w:p>
      <w:r>
        <w:br w:type="page"/>
      </w:r>
    </w:p>
    <w:p>
      <w:pPr>
        <w:pStyle w:val="Heading1"/>
      </w:pPr>
      <w:r>
        <w:t>1. Purpose</w:t>
      </w:r>
    </w:p>
    <w:p>
      <w:r>
        <w:rPr/>
        <w:t>Management review is when the people who run the company step back and ask: is our system for security and responsible AI still right for us, is it enough, and is it working? They look at the evidence, decide what to change, and commit the resources to do it.</w:t>
      </w:r>
    </w:p>
    <w:p>
      <w:pPr>
        <w:pStyle w:val="Heading1"/>
      </w:pPr>
      <w:r>
        <w:t>2. Scope and cadence</w:t>
      </w:r>
    </w:p>
    <w:p>
      <w:pPr>
        <w:pStyle w:val="ListBullet"/>
        <w:spacing w:after="60"/>
      </w:pPr>
      <w:r>
        <w:rPr/>
        <w:t>Covers the whole integrated management system — both standards — in one review.</w:t>
      </w:r>
    </w:p>
    <w:p>
      <w:pPr>
        <w:pStyle w:val="ListBullet"/>
        <w:spacing w:after="60"/>
      </w:pPr>
      <w:r>
        <w:rPr/>
        <w:t xml:space="preserve">Held </w:t>
      </w:r>
      <w:r>
        <w:rPr>
          <w:b/>
        </w:rPr>
        <w:t>twice a year</w:t>
      </w:r>
      <w:r>
        <w:rPr/>
        <w:t>, in April and October, as an extended meeting (about 90 minutes) of the Trust Council. The monthly Trust Council meetings handle day-to-day decisions in between.</w:t>
      </w:r>
    </w:p>
    <w:p>
      <w:pPr>
        <w:pStyle w:val="ListBullet"/>
        <w:spacing w:after="60"/>
      </w:pPr>
      <w:r>
        <w:rPr/>
        <w:t>An extra review is called after a critical (S1) incident, a major audit nonconformity, a significant change of scope, or a new AI system with high impact.</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Both standards expect top management to review the management system at planned intervals to make sure it remains suitable, adequate and effective (9.3.1).</w:t>
            </w:r>
          </w:p>
          <w:p>
            <w:pPr>
              <w:spacing w:after="60"/>
            </w:pPr>
            <w:r>
              <w:rPr>
                <w:sz w:val="20"/>
              </w:rPr>
              <w:t>•  They list inputs that must be considered (9.3.2): status of actions from earlier reviews; changes in external and internal issues; changes in the needs and expectations of interested parties; feedback on performance — nonconformities and corrective actions, monitoring and measurement results, audit results and (for ISO/IEC 27001) fulfilment of objectives; and opportunities for continual improvement. ISO/IEC 27001 also asks for risk assessment results and the risk treatment plan, and feedback from interested parties.</w:t>
            </w:r>
          </w:p>
          <w:p>
            <w:pPr>
              <w:spacing w:after="60"/>
            </w:pPr>
            <w:r>
              <w:rPr>
                <w:sz w:val="20"/>
              </w:rPr>
              <w:t>•  ISO/IEC 42001 adds AI-specific matters that management needs to see in practice: how AI systems perform, the results of AI system impact assessments, risks, and information from interested parties about AI. We include all of these.</w:t>
            </w:r>
          </w:p>
          <w:p>
            <w:pPr>
              <w:spacing w:after="60"/>
            </w:pPr>
            <w:r>
              <w:rPr>
                <w:sz w:val="20"/>
              </w:rPr>
              <w:t>•  Outputs must include decisions on improvement opportunities and any need to change the system, and the results must be kept as documented information (9.3.3).</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701"/>
            <w:shd w:val="clear" w:color="auto" w:fill="142B4C"/>
          </w:tcPr>
          <w:p>
            <w:r/>
            <w:r>
              <w:rPr>
                <w:b/>
                <w:color w:val="FFFFFF"/>
                <w:sz w:val="19"/>
              </w:rPr>
              <w:t>Role</w:t>
            </w:r>
          </w:p>
        </w:tc>
        <w:tc>
          <w:tcPr>
            <w:tcW w:type="dxa" w:w="3402"/>
            <w:shd w:val="clear" w:color="auto" w:fill="142B4C"/>
          </w:tcPr>
          <w:p>
            <w:r/>
            <w:r>
              <w:rPr>
                <w:b/>
                <w:color w:val="FFFFFF"/>
                <w:sz w:val="19"/>
              </w:rPr>
              <w:t>Who</w:t>
            </w:r>
          </w:p>
        </w:tc>
        <w:tc>
          <w:tcPr>
            <w:tcW w:type="dxa" w:w="4252"/>
            <w:shd w:val="clear" w:color="auto" w:fill="142B4C"/>
          </w:tcPr>
          <w:p>
            <w:r/>
            <w:r>
              <w:rPr>
                <w:b/>
                <w:color w:val="FFFFFF"/>
                <w:sz w:val="19"/>
              </w:rPr>
              <w:t>Responsibility</w:t>
            </w:r>
          </w:p>
        </w:tc>
      </w:tr>
      <w:tr>
        <w:tc>
          <w:tcPr>
            <w:tcW w:type="dxa" w:w="1701"/>
          </w:tcPr>
          <w:p>
            <w:pPr>
              <w:spacing w:after="40"/>
            </w:pPr>
            <w:r/>
            <w:r>
              <w:rPr>
                <w:sz w:val="19"/>
              </w:rPr>
              <w:t>Chair</w:t>
            </w:r>
          </w:p>
        </w:tc>
        <w:tc>
          <w:tcPr>
            <w:tcW w:type="dxa" w:w="3402"/>
          </w:tcPr>
          <w:p>
            <w:pPr>
              <w:spacing w:after="40"/>
            </w:pPr>
            <w:r/>
            <w:r>
              <w:rPr>
                <w:sz w:val="19"/>
              </w:rPr>
              <w:t>[CEO]</w:t>
            </w:r>
          </w:p>
        </w:tc>
        <w:tc>
          <w:tcPr>
            <w:tcW w:type="dxa" w:w="4252"/>
          </w:tcPr>
          <w:p>
            <w:pPr>
              <w:spacing w:after="40"/>
            </w:pPr>
            <w:r/>
            <w:r>
              <w:rPr>
                <w:sz w:val="19"/>
              </w:rPr>
              <w:t>Chairs the review; ensures decisions and resources.</w:t>
            </w:r>
          </w:p>
        </w:tc>
      </w:tr>
      <w:tr>
        <w:tc>
          <w:tcPr>
            <w:tcW w:type="dxa" w:w="1701"/>
            <w:shd w:val="clear" w:color="auto" w:fill="F5F7FA"/>
          </w:tcPr>
          <w:p>
            <w:pPr>
              <w:spacing w:after="40"/>
            </w:pPr>
            <w:r/>
            <w:r>
              <w:rPr>
                <w:sz w:val="19"/>
              </w:rPr>
              <w:t>Members</w:t>
            </w:r>
          </w:p>
        </w:tc>
        <w:tc>
          <w:tcPr>
            <w:tcW w:type="dxa" w:w="3402"/>
            <w:shd w:val="clear" w:color="auto" w:fill="F5F7FA"/>
          </w:tcPr>
          <w:p>
            <w:pPr>
              <w:spacing w:after="40"/>
            </w:pPr>
            <w:r/>
            <w:r>
              <w:rPr>
                <w:sz w:val="19"/>
              </w:rPr>
              <w:t>Chief Technology Officer and co-founder, Security Lead (acting CISO), Head of AI, Privacy and Legal Lead, Creative Director</w:t>
            </w:r>
          </w:p>
        </w:tc>
        <w:tc>
          <w:tcPr>
            <w:tcW w:type="dxa" w:w="4252"/>
            <w:shd w:val="clear" w:color="auto" w:fill="F5F7FA"/>
          </w:tcPr>
          <w:p>
            <w:pPr>
              <w:spacing w:after="40"/>
            </w:pPr>
            <w:r/>
            <w:r>
              <w:rPr>
                <w:sz w:val="19"/>
              </w:rPr>
              <w:t>Present their inputs; take decisions; own actions.</w:t>
            </w:r>
          </w:p>
        </w:tc>
      </w:tr>
      <w:tr>
        <w:tc>
          <w:tcPr>
            <w:tcW w:type="dxa" w:w="1701"/>
          </w:tcPr>
          <w:p>
            <w:pPr>
              <w:spacing w:after="40"/>
            </w:pPr>
            <w:r/>
            <w:r>
              <w:rPr>
                <w:sz w:val="19"/>
              </w:rPr>
              <w:t>Secretary</w:t>
            </w:r>
          </w:p>
        </w:tc>
        <w:tc>
          <w:tcPr>
            <w:tcW w:type="dxa" w:w="3402"/>
          </w:tcPr>
          <w:p>
            <w:pPr>
              <w:spacing w:after="40"/>
            </w:pPr>
            <w:r/>
            <w:r>
              <w:rPr>
                <w:sz w:val="19"/>
              </w:rPr>
              <w:t>[Compliance Coordinator]</w:t>
            </w:r>
          </w:p>
        </w:tc>
        <w:tc>
          <w:tcPr>
            <w:tcW w:type="dxa" w:w="4252"/>
          </w:tcPr>
          <w:p>
            <w:pPr>
              <w:spacing w:after="40"/>
            </w:pPr>
            <w:r/>
            <w:r>
              <w:rPr>
                <w:sz w:val="19"/>
              </w:rPr>
              <w:t>Prepares the pack, takes minutes, tracks actions.</w:t>
            </w:r>
          </w:p>
        </w:tc>
      </w:tr>
      <w:tr>
        <w:tc>
          <w:tcPr>
            <w:tcW w:type="dxa" w:w="1701"/>
            <w:shd w:val="clear" w:color="auto" w:fill="F5F7FA"/>
          </w:tcPr>
          <w:p>
            <w:pPr>
              <w:spacing w:after="40"/>
            </w:pPr>
            <w:r/>
            <w:r>
              <w:rPr>
                <w:sz w:val="19"/>
              </w:rPr>
              <w:t>Invited as needed</w:t>
            </w:r>
          </w:p>
        </w:tc>
        <w:tc>
          <w:tcPr>
            <w:tcW w:type="dxa" w:w="3402"/>
            <w:shd w:val="clear" w:color="auto" w:fill="F5F7FA"/>
          </w:tcPr>
          <w:p>
            <w:pPr>
              <w:spacing w:after="40"/>
            </w:pPr>
            <w:r/>
            <w:r>
              <w:rPr>
                <w:sz w:val="19"/>
              </w:rPr>
              <w:t>Process owners; Artist Advisory Panel representative</w:t>
            </w:r>
          </w:p>
        </w:tc>
        <w:tc>
          <w:tcPr>
            <w:tcW w:type="dxa" w:w="4252"/>
            <w:shd w:val="clear" w:color="auto" w:fill="F5F7FA"/>
          </w:tcPr>
          <w:p>
            <w:pPr>
              <w:spacing w:after="40"/>
            </w:pPr>
            <w:r/>
            <w:r>
              <w:rPr>
                <w:sz w:val="19"/>
              </w:rPr>
              <w:t>Present specific topics; bring outside perspective on AI impacts.</w:t>
            </w:r>
          </w:p>
        </w:tc>
      </w:tr>
    </w:tbl>
    <w:p/>
    <w:p>
      <w:pPr>
        <w:pStyle w:val="Heading1"/>
      </w:pPr>
      <w:r>
        <w:t>4. Inputs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3685"/>
            <w:shd w:val="clear" w:color="auto" w:fill="142B4C"/>
          </w:tcPr>
          <w:p>
            <w:r/>
            <w:r>
              <w:rPr>
                <w:b/>
                <w:color w:val="FFFFFF"/>
                <w:sz w:val="19"/>
              </w:rPr>
              <w:t>Input</w:t>
            </w:r>
          </w:p>
        </w:tc>
        <w:tc>
          <w:tcPr>
            <w:tcW w:type="dxa" w:w="3402"/>
            <w:shd w:val="clear" w:color="auto" w:fill="142B4C"/>
          </w:tcPr>
          <w:p>
            <w:r/>
            <w:r>
              <w:rPr>
                <w:b/>
                <w:color w:val="FFFFFF"/>
                <w:sz w:val="19"/>
              </w:rPr>
              <w:t>Source</w:t>
            </w:r>
          </w:p>
        </w:tc>
        <w:tc>
          <w:tcPr>
            <w:tcW w:type="dxa" w:w="2268"/>
            <w:shd w:val="clear" w:color="auto" w:fill="142B4C"/>
          </w:tcPr>
          <w:p>
            <w:r/>
            <w:r>
              <w:rPr>
                <w:b/>
                <w:color w:val="FFFFFF"/>
                <w:sz w:val="19"/>
              </w:rPr>
              <w:t>Presented by</w:t>
            </w:r>
          </w:p>
        </w:tc>
      </w:tr>
      <w:tr>
        <w:tc>
          <w:tcPr>
            <w:tcW w:type="dxa" w:w="3685"/>
          </w:tcPr>
          <w:p>
            <w:pPr>
              <w:spacing w:after="40"/>
            </w:pPr>
            <w:r/>
            <w:r>
              <w:rPr>
                <w:sz w:val="19"/>
              </w:rPr>
              <w:t>Status of actions from previous reviews</w:t>
            </w:r>
          </w:p>
        </w:tc>
        <w:tc>
          <w:tcPr>
            <w:tcW w:type="dxa" w:w="3402"/>
          </w:tcPr>
          <w:p>
            <w:pPr>
              <w:spacing w:after="40"/>
            </w:pPr>
            <w:r/>
            <w:r>
              <w:rPr>
                <w:sz w:val="19"/>
              </w:rPr>
              <w:t>Previous minutes; action tracker</w:t>
            </w:r>
          </w:p>
        </w:tc>
        <w:tc>
          <w:tcPr>
            <w:tcW w:type="dxa" w:w="2268"/>
          </w:tcPr>
          <w:p>
            <w:pPr>
              <w:spacing w:after="40"/>
            </w:pPr>
            <w:r/>
            <w:r>
              <w:rPr>
                <w:sz w:val="19"/>
              </w:rPr>
              <w:t>Compliance Coordinator</w:t>
            </w:r>
          </w:p>
        </w:tc>
      </w:tr>
      <w:tr>
        <w:tc>
          <w:tcPr>
            <w:tcW w:type="dxa" w:w="3685"/>
            <w:shd w:val="clear" w:color="auto" w:fill="F5F7FA"/>
          </w:tcPr>
          <w:p>
            <w:pPr>
              <w:spacing w:after="40"/>
            </w:pPr>
            <w:r/>
            <w:r>
              <w:rPr>
                <w:sz w:val="19"/>
              </w:rPr>
              <w:t>Changes in external and internal issues</w:t>
            </w:r>
          </w:p>
        </w:tc>
        <w:tc>
          <w:tcPr>
            <w:tcW w:type="dxa" w:w="3402"/>
            <w:shd w:val="clear" w:color="auto" w:fill="F5F7FA"/>
          </w:tcPr>
          <w:p>
            <w:pPr>
              <w:spacing w:after="40"/>
            </w:pPr>
            <w:r/>
            <w:r>
              <w:rPr>
                <w:sz w:val="19"/>
              </w:rPr>
              <w:t>IMS-REG-001 Context, Interested Parties and Scope Register</w:t>
            </w:r>
          </w:p>
        </w:tc>
        <w:tc>
          <w:tcPr>
            <w:tcW w:type="dxa" w:w="2268"/>
            <w:shd w:val="clear" w:color="auto" w:fill="F5F7FA"/>
          </w:tcPr>
          <w:p>
            <w:pPr>
              <w:spacing w:after="40"/>
            </w:pPr>
            <w:r/>
            <w:r>
              <w:rPr>
                <w:sz w:val="19"/>
              </w:rPr>
              <w:t>Chief Executive Officer and co-founder</w:t>
            </w:r>
          </w:p>
        </w:tc>
      </w:tr>
      <w:tr>
        <w:tc>
          <w:tcPr>
            <w:tcW w:type="dxa" w:w="3685"/>
          </w:tcPr>
          <w:p>
            <w:pPr>
              <w:spacing w:after="40"/>
            </w:pPr>
            <w:r/>
            <w:r>
              <w:rPr>
                <w:sz w:val="19"/>
              </w:rPr>
              <w:t>Changes in interested parties' needs and expectations, incl. about AI</w:t>
            </w:r>
          </w:p>
        </w:tc>
        <w:tc>
          <w:tcPr>
            <w:tcW w:type="dxa" w:w="3402"/>
          </w:tcPr>
          <w:p>
            <w:pPr>
              <w:spacing w:after="40"/>
            </w:pPr>
            <w:r/>
            <w:r>
              <w:rPr>
                <w:sz w:val="19"/>
              </w:rPr>
              <w:t>IMS-REG-001 Context, Interested Parties and Scope Register; customer, artist and regulator feedback</w:t>
            </w:r>
          </w:p>
        </w:tc>
        <w:tc>
          <w:tcPr>
            <w:tcW w:type="dxa" w:w="2268"/>
          </w:tcPr>
          <w:p>
            <w:pPr>
              <w:spacing w:after="40"/>
            </w:pPr>
            <w:r/>
            <w:r>
              <w:rPr>
                <w:sz w:val="19"/>
              </w:rPr>
              <w:t>Privacy and Legal Lead</w:t>
            </w:r>
          </w:p>
        </w:tc>
      </w:tr>
      <w:tr>
        <w:tc>
          <w:tcPr>
            <w:tcW w:type="dxa" w:w="3685"/>
            <w:shd w:val="clear" w:color="auto" w:fill="F5F7FA"/>
          </w:tcPr>
          <w:p>
            <w:pPr>
              <w:spacing w:after="40"/>
            </w:pPr>
            <w:r/>
            <w:r>
              <w:rPr>
                <w:sz w:val="19"/>
              </w:rPr>
              <w:t>Nonconformities and corrective actions</w:t>
            </w:r>
          </w:p>
        </w:tc>
        <w:tc>
          <w:tcPr>
            <w:tcW w:type="dxa" w:w="3402"/>
            <w:shd w:val="clear" w:color="auto" w:fill="F5F7FA"/>
          </w:tcPr>
          <w:p>
            <w:pPr>
              <w:spacing w:after="40"/>
            </w:pPr>
            <w:r/>
            <w:r>
              <w:rPr>
                <w:sz w:val="19"/>
              </w:rPr>
              <w:t>IMS-REG-008 Nonconformity, Corrective Action and Improvement Log</w:t>
            </w:r>
          </w:p>
        </w:tc>
        <w:tc>
          <w:tcPr>
            <w:tcW w:type="dxa" w:w="2268"/>
            <w:shd w:val="clear" w:color="auto" w:fill="F5F7FA"/>
          </w:tcPr>
          <w:p>
            <w:pPr>
              <w:spacing w:after="40"/>
            </w:pPr>
            <w:r/>
            <w:r>
              <w:rPr>
                <w:sz w:val="19"/>
              </w:rPr>
              <w:t>Compliance Coordinator</w:t>
            </w:r>
          </w:p>
        </w:tc>
      </w:tr>
      <w:tr>
        <w:tc>
          <w:tcPr>
            <w:tcW w:type="dxa" w:w="3685"/>
          </w:tcPr>
          <w:p>
            <w:pPr>
              <w:spacing w:after="40"/>
            </w:pPr>
            <w:r/>
            <w:r>
              <w:rPr>
                <w:sz w:val="19"/>
              </w:rPr>
              <w:t>Monitoring and measurement results; fulfilment of objectives</w:t>
            </w:r>
          </w:p>
        </w:tc>
        <w:tc>
          <w:tcPr>
            <w:tcW w:type="dxa" w:w="3402"/>
          </w:tcPr>
          <w:p>
            <w:pPr>
              <w:spacing w:after="40"/>
            </w:pPr>
            <w:r/>
            <w:r>
              <w:rPr>
                <w:sz w:val="19"/>
              </w:rPr>
              <w:t>IMS-REG-003 Objectives, Metrics and Monitoring Plan</w:t>
            </w:r>
          </w:p>
        </w:tc>
        <w:tc>
          <w:tcPr>
            <w:tcW w:type="dxa" w:w="2268"/>
          </w:tcPr>
          <w:p>
            <w:pPr>
              <w:spacing w:after="40"/>
            </w:pPr>
            <w:r/>
            <w:r>
              <w:rPr>
                <w:sz w:val="19"/>
              </w:rPr>
              <w:t>Compliance Coordinator</w:t>
            </w:r>
          </w:p>
        </w:tc>
      </w:tr>
      <w:tr>
        <w:tc>
          <w:tcPr>
            <w:tcW w:type="dxa" w:w="3685"/>
            <w:shd w:val="clear" w:color="auto" w:fill="F5F7FA"/>
          </w:tcPr>
          <w:p>
            <w:pPr>
              <w:spacing w:after="40"/>
            </w:pPr>
            <w:r/>
            <w:r>
              <w:rPr>
                <w:sz w:val="19"/>
              </w:rPr>
              <w:t>Audit results</w:t>
            </w:r>
          </w:p>
        </w:tc>
        <w:tc>
          <w:tcPr>
            <w:tcW w:type="dxa" w:w="3402"/>
            <w:shd w:val="clear" w:color="auto" w:fill="F5F7FA"/>
          </w:tcPr>
          <w:p>
            <w:pPr>
              <w:spacing w:after="40"/>
            </w:pPr>
            <w:r/>
            <w:r>
              <w:rPr>
                <w:sz w:val="19"/>
              </w:rPr>
              <w:t>IMS-REG-007 Internal Audit Programme and Checklist; audit reports</w:t>
            </w:r>
          </w:p>
        </w:tc>
        <w:tc>
          <w:tcPr>
            <w:tcW w:type="dxa" w:w="2268"/>
            <w:shd w:val="clear" w:color="auto" w:fill="F5F7FA"/>
          </w:tcPr>
          <w:p>
            <w:pPr>
              <w:spacing w:after="40"/>
            </w:pPr>
            <w:r/>
            <w:r>
              <w:rPr>
                <w:sz w:val="19"/>
              </w:rPr>
              <w:t>Compliance Coordinator</w:t>
            </w:r>
          </w:p>
        </w:tc>
      </w:tr>
      <w:tr>
        <w:tc>
          <w:tcPr>
            <w:tcW w:type="dxa" w:w="3685"/>
          </w:tcPr>
          <w:p>
            <w:pPr>
              <w:spacing w:after="40"/>
            </w:pPr>
            <w:r/>
            <w:r>
              <w:rPr>
                <w:sz w:val="19"/>
              </w:rPr>
              <w:t>Risk assessment results and treatment plan status</w:t>
            </w:r>
          </w:p>
        </w:tc>
        <w:tc>
          <w:tcPr>
            <w:tcW w:type="dxa" w:w="3402"/>
          </w:tcPr>
          <w:p>
            <w:pPr>
              <w:spacing w:after="40"/>
            </w:pPr>
            <w:r/>
            <w:r>
              <w:rPr>
                <w:sz w:val="19"/>
              </w:rPr>
              <w:t>IMS-REG-002 Integrated Risk Register and Treatment Plan</w:t>
            </w:r>
          </w:p>
        </w:tc>
        <w:tc>
          <w:tcPr>
            <w:tcW w:type="dxa" w:w="2268"/>
          </w:tcPr>
          <w:p>
            <w:pPr>
              <w:spacing w:after="40"/>
            </w:pPr>
            <w:r/>
            <w:r>
              <w:rPr>
                <w:sz w:val="19"/>
              </w:rPr>
              <w:t>Security Lead (acting CISO)</w:t>
            </w:r>
          </w:p>
        </w:tc>
      </w:tr>
      <w:tr>
        <w:tc>
          <w:tcPr>
            <w:tcW w:type="dxa" w:w="3685"/>
            <w:shd w:val="clear" w:color="auto" w:fill="F5F7FA"/>
          </w:tcPr>
          <w:p>
            <w:pPr>
              <w:spacing w:after="40"/>
            </w:pPr>
            <w:r/>
            <w:r>
              <w:rPr>
                <w:sz w:val="19"/>
              </w:rPr>
              <w:t>AI system performance (accuracy, fairness, content safety, drift)</w:t>
            </w:r>
          </w:p>
        </w:tc>
        <w:tc>
          <w:tcPr>
            <w:tcW w:type="dxa" w:w="3402"/>
            <w:shd w:val="clear" w:color="auto" w:fill="F5F7FA"/>
          </w:tcPr>
          <w:p>
            <w:pPr>
              <w:spacing w:after="40"/>
            </w:pPr>
            <w:r/>
            <w:r>
              <w:rPr>
                <w:sz w:val="19"/>
              </w:rPr>
              <w:t>Monitoring dashboards</w:t>
            </w:r>
          </w:p>
        </w:tc>
        <w:tc>
          <w:tcPr>
            <w:tcW w:type="dxa" w:w="2268"/>
            <w:shd w:val="clear" w:color="auto" w:fill="F5F7FA"/>
          </w:tcPr>
          <w:p>
            <w:pPr>
              <w:spacing w:after="40"/>
            </w:pPr>
            <w:r/>
            <w:r>
              <w:rPr>
                <w:sz w:val="19"/>
              </w:rPr>
              <w:t>Head of AI</w:t>
            </w:r>
          </w:p>
        </w:tc>
      </w:tr>
      <w:tr>
        <w:tc>
          <w:tcPr>
            <w:tcW w:type="dxa" w:w="3685"/>
          </w:tcPr>
          <w:p>
            <w:pPr>
              <w:spacing w:after="40"/>
            </w:pPr>
            <w:r/>
            <w:r>
              <w:rPr>
                <w:sz w:val="19"/>
              </w:rPr>
              <w:t>AI system impact assessment results</w:t>
            </w:r>
          </w:p>
        </w:tc>
        <w:tc>
          <w:tcPr>
            <w:tcW w:type="dxa" w:w="3402"/>
          </w:tcPr>
          <w:p>
            <w:pPr>
              <w:spacing w:after="40"/>
            </w:pPr>
            <w:r/>
            <w:r>
              <w:rPr>
                <w:sz w:val="19"/>
              </w:rPr>
              <w:t>IMS-PRO-002 AI System Impact Assessment Procedure and Worked Example records</w:t>
            </w:r>
          </w:p>
        </w:tc>
        <w:tc>
          <w:tcPr>
            <w:tcW w:type="dxa" w:w="2268"/>
          </w:tcPr>
          <w:p>
            <w:pPr>
              <w:spacing w:after="40"/>
            </w:pPr>
            <w:r/>
            <w:r>
              <w:rPr>
                <w:sz w:val="19"/>
              </w:rPr>
              <w:t>Head of AI</w:t>
            </w:r>
          </w:p>
        </w:tc>
      </w:tr>
      <w:tr>
        <w:tc>
          <w:tcPr>
            <w:tcW w:type="dxa" w:w="3685"/>
            <w:shd w:val="clear" w:color="auto" w:fill="F5F7FA"/>
          </w:tcPr>
          <w:p>
            <w:pPr>
              <w:spacing w:after="40"/>
            </w:pPr>
            <w:r/>
            <w:r>
              <w:rPr>
                <w:sz w:val="19"/>
              </w:rPr>
              <w:t>Incidents and lessons learned</w:t>
            </w:r>
          </w:p>
        </w:tc>
        <w:tc>
          <w:tcPr>
            <w:tcW w:type="dxa" w:w="3402"/>
            <w:shd w:val="clear" w:color="auto" w:fill="F5F7FA"/>
          </w:tcPr>
          <w:p>
            <w:pPr>
              <w:spacing w:after="40"/>
            </w:pPr>
            <w:r/>
            <w:r>
              <w:rPr>
                <w:sz w:val="19"/>
              </w:rPr>
              <w:t>IMS-REG-006 Incident and Event Log</w:t>
            </w:r>
          </w:p>
        </w:tc>
        <w:tc>
          <w:tcPr>
            <w:tcW w:type="dxa" w:w="2268"/>
            <w:shd w:val="clear" w:color="auto" w:fill="F5F7FA"/>
          </w:tcPr>
          <w:p>
            <w:pPr>
              <w:spacing w:after="40"/>
            </w:pPr>
            <w:r/>
            <w:r>
              <w:rPr>
                <w:sz w:val="19"/>
              </w:rPr>
              <w:t>Security Lead (acting CISO)</w:t>
            </w:r>
          </w:p>
        </w:tc>
      </w:tr>
      <w:tr>
        <w:tc>
          <w:tcPr>
            <w:tcW w:type="dxa" w:w="3685"/>
          </w:tcPr>
          <w:p>
            <w:pPr>
              <w:spacing w:after="40"/>
            </w:pPr>
            <w:r/>
            <w:r>
              <w:rPr>
                <w:sz w:val="19"/>
              </w:rPr>
              <w:t>Opportunities for continual improvement</w:t>
            </w:r>
          </w:p>
        </w:tc>
        <w:tc>
          <w:tcPr>
            <w:tcW w:type="dxa" w:w="3402"/>
          </w:tcPr>
          <w:p>
            <w:pPr>
              <w:spacing w:after="40"/>
            </w:pPr>
            <w:r/>
            <w:r>
              <w:rPr>
                <w:sz w:val="19"/>
              </w:rPr>
              <w:t>Improvement Register in IMS-REG-008 Nonconformity, Corrective Action and Improvement Log</w:t>
            </w:r>
          </w:p>
        </w:tc>
        <w:tc>
          <w:tcPr>
            <w:tcW w:type="dxa" w:w="2268"/>
          </w:tcPr>
          <w:p>
            <w:pPr>
              <w:spacing w:after="40"/>
            </w:pPr>
            <w:r/>
            <w:r>
              <w:rPr>
                <w:sz w:val="19"/>
              </w:rPr>
              <w:t>Compliance Coordinator</w:t>
            </w:r>
          </w:p>
        </w:tc>
      </w:tr>
      <w:tr>
        <w:tc>
          <w:tcPr>
            <w:tcW w:type="dxa" w:w="3685"/>
            <w:shd w:val="clear" w:color="auto" w:fill="F5F7FA"/>
          </w:tcPr>
          <w:p>
            <w:pPr>
              <w:spacing w:after="40"/>
            </w:pPr>
            <w:r/>
            <w:r>
              <w:rPr>
                <w:sz w:val="19"/>
              </w:rPr>
              <w:t>Adequacy of resources</w:t>
            </w:r>
          </w:p>
        </w:tc>
        <w:tc>
          <w:tcPr>
            <w:tcW w:type="dxa" w:w="3402"/>
            <w:shd w:val="clear" w:color="auto" w:fill="F5F7FA"/>
          </w:tcPr>
          <w:p>
            <w:pPr>
              <w:spacing w:after="40"/>
            </w:pPr>
            <w:r/>
            <w:r>
              <w:rPr>
                <w:sz w:val="19"/>
              </w:rPr>
              <w:t>Budget, hiring plan</w:t>
            </w:r>
          </w:p>
        </w:tc>
        <w:tc>
          <w:tcPr>
            <w:tcW w:type="dxa" w:w="2268"/>
            <w:shd w:val="clear" w:color="auto" w:fill="F5F7FA"/>
          </w:tcPr>
          <w:p>
            <w:pPr>
              <w:spacing w:after="40"/>
            </w:pPr>
            <w:r/>
            <w:r>
              <w:rPr>
                <w:sz w:val="19"/>
              </w:rPr>
              <w:t>Chief Executive Officer and co-founder</w:t>
            </w:r>
          </w:p>
        </w:tc>
      </w:tr>
    </w:tbl>
    <w:p/>
    <w:p>
      <w:pPr>
        <w:pStyle w:val="Heading1"/>
      </w:pPr>
      <w:r>
        <w:t>5. Outputs</w:t>
      </w:r>
    </w:p>
    <w:p>
      <w:pPr>
        <w:pStyle w:val="ListBullet"/>
        <w:spacing w:after="60"/>
      </w:pPr>
      <w:r>
        <w:rPr/>
        <w:t>A conclusion on whether the system is suitable, adequate and effective.</w:t>
      </w:r>
    </w:p>
    <w:p>
      <w:pPr>
        <w:pStyle w:val="ListBullet"/>
        <w:spacing w:after="60"/>
      </w:pPr>
      <w:r>
        <w:rPr/>
        <w:t>Decisions on improvement opportunities and on changes to the system (policy, scope, objectives, controls, risk acceptance, Statements of Applicability).</w:t>
      </w:r>
    </w:p>
    <w:p>
      <w:pPr>
        <w:pStyle w:val="ListBullet"/>
        <w:spacing w:after="60"/>
      </w:pPr>
      <w:r>
        <w:rPr/>
        <w:t>Resource decisions — people, budget, tools.</w:t>
      </w:r>
    </w:p>
    <w:p>
      <w:pPr>
        <w:pStyle w:val="ListBullet"/>
        <w:spacing w:after="60"/>
      </w:pPr>
      <w:r>
        <w:rPr/>
        <w:t>Actions with owners and due dates, tracked by the secretary until closed.</w:t>
      </w:r>
    </w:p>
    <w:p>
      <w:pPr>
        <w:pStyle w:val="Heading1"/>
      </w:pPr>
      <w:r>
        <w:t>6. Preparing and running the review</w:t>
      </w:r>
    </w:p>
    <w:p>
      <w:pPr>
        <w:pStyle w:val="ListNumber"/>
        <w:spacing w:after="60"/>
        <w:numPr>
          <w:ilvl w:val="0"/>
          <w:numId w:val="1018"/>
        </w:numPr>
      </w:pPr>
      <w:r>
        <w:rPr/>
        <w:t>Four weeks before: the secretary asks each input owner for a one-page update using the input table.</w:t>
      </w:r>
    </w:p>
    <w:p>
      <w:pPr>
        <w:pStyle w:val="ListNumber"/>
        <w:spacing w:after="60"/>
        <w:numPr>
          <w:ilvl w:val="0"/>
          <w:numId w:val="1018"/>
        </w:numPr>
      </w:pPr>
      <w:r>
        <w:rPr/>
        <w:t>Five working days before: the pack (no more than 15 pages, dashboard first) goes to members.</w:t>
      </w:r>
    </w:p>
    <w:p>
      <w:pPr>
        <w:pStyle w:val="ListNumber"/>
        <w:spacing w:after="60"/>
        <w:numPr>
          <w:ilvl w:val="0"/>
          <w:numId w:val="1018"/>
        </w:numPr>
      </w:pPr>
      <w:r>
        <w:rPr/>
        <w:t>In the meeting: walk the agenda in the order of section 4; record a short discussion and an explicit decision under each item.</w:t>
      </w:r>
    </w:p>
    <w:p>
      <w:pPr>
        <w:pStyle w:val="ListNumber"/>
        <w:spacing w:after="60"/>
        <w:numPr>
          <w:ilvl w:val="0"/>
          <w:numId w:val="1018"/>
        </w:numPr>
      </w:pPr>
      <w:r>
        <w:rPr/>
        <w:t>Within 5 working days: minutes approved by the chair and filed; actions entered in the tracker.</w:t>
      </w:r>
    </w:p>
    <w:p>
      <w:pPr>
        <w:pStyle w:val="ListNumber"/>
        <w:spacing w:after="60"/>
        <w:numPr>
          <w:ilvl w:val="0"/>
          <w:numId w:val="1018"/>
        </w:numPr>
      </w:pPr>
      <w:r>
        <w:rPr/>
        <w:t>Next monthly Trust Council: first check of action progress.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Lead with a one-page dashboard: objectives (red/amber/green), open NCs, incident count by severity, top risks. Busy founders engage with a picture of the system before the detail.</w:t>
            </w:r>
          </w:p>
        </w:tc>
      </w:tr>
    </w:tbl>
    <w:p/>
    <w:p>
      <w:r>
        <w:br w:type="page"/>
      </w:r>
    </w:p>
    <w:p>
      <w:pPr>
        <w:pStyle w:val="Heading1"/>
      </w:pPr>
      <w:r>
        <w:t>7. Example minutes — management review October 2026</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984"/>
            <w:shd w:val="clear" w:color="auto" w:fill="142B4C"/>
          </w:tcPr>
          <w:p>
            <w:r/>
            <w:r>
              <w:rPr>
                <w:b/>
                <w:color w:val="FFFFFF"/>
                <w:sz w:val="19"/>
              </w:rPr>
              <w:t>Field</w:t>
            </w:r>
          </w:p>
        </w:tc>
        <w:tc>
          <w:tcPr>
            <w:tcW w:type="dxa" w:w="7370"/>
            <w:shd w:val="clear" w:color="auto" w:fill="142B4C"/>
          </w:tcPr>
          <w:p>
            <w:r/>
            <w:r>
              <w:rPr>
                <w:b/>
                <w:color w:val="FFFFFF"/>
                <w:sz w:val="19"/>
              </w:rPr>
              <w:t>Detail</w:t>
            </w:r>
          </w:p>
        </w:tc>
      </w:tr>
      <w:tr>
        <w:tc>
          <w:tcPr>
            <w:tcW w:type="dxa" w:w="1984"/>
          </w:tcPr>
          <w:p>
            <w:pPr>
              <w:spacing w:after="40"/>
            </w:pPr>
            <w:r/>
            <w:r>
              <w:rPr>
                <w:sz w:val="19"/>
              </w:rPr>
              <w:t>Meeting</w:t>
            </w:r>
          </w:p>
        </w:tc>
        <w:tc>
          <w:tcPr>
            <w:tcW w:type="dxa" w:w="7370"/>
          </w:tcPr>
          <w:p>
            <w:pPr>
              <w:spacing w:after="40"/>
            </w:pPr>
            <w:r/>
            <w:r>
              <w:rPr>
                <w:sz w:val="19"/>
              </w:rPr>
              <w:t>Trust Council — management review MR-2026-02 (ISO/IEC 27001 and ISO/IEC 42001)</w:t>
            </w:r>
          </w:p>
        </w:tc>
      </w:tr>
      <w:tr>
        <w:tc>
          <w:tcPr>
            <w:tcW w:type="dxa" w:w="1984"/>
            <w:shd w:val="clear" w:color="auto" w:fill="F5F7FA"/>
          </w:tcPr>
          <w:p>
            <w:pPr>
              <w:spacing w:after="40"/>
            </w:pPr>
            <w:r/>
            <w:r>
              <w:rPr>
                <w:sz w:val="19"/>
              </w:rPr>
              <w:t>Date and time</w:t>
            </w:r>
          </w:p>
        </w:tc>
        <w:tc>
          <w:tcPr>
            <w:tcW w:type="dxa" w:w="7370"/>
            <w:shd w:val="clear" w:color="auto" w:fill="F5F7FA"/>
          </w:tcPr>
          <w:p>
            <w:pPr>
              <w:spacing w:after="40"/>
            </w:pPr>
            <w:r/>
            <w:r>
              <w:rPr>
                <w:sz w:val="19"/>
              </w:rPr>
              <w:t>2026-10-21, 14:00–15:40 (Dubai time), video call</w:t>
            </w:r>
          </w:p>
        </w:tc>
      </w:tr>
      <w:tr>
        <w:tc>
          <w:tcPr>
            <w:tcW w:type="dxa" w:w="1984"/>
          </w:tcPr>
          <w:p>
            <w:pPr>
              <w:spacing w:after="40"/>
            </w:pPr>
            <w:r/>
            <w:r>
              <w:rPr>
                <w:sz w:val="19"/>
              </w:rPr>
              <w:t>Chair</w:t>
            </w:r>
          </w:p>
        </w:tc>
        <w:tc>
          <w:tcPr>
            <w:tcW w:type="dxa" w:w="7370"/>
          </w:tcPr>
          <w:p>
            <w:pPr>
              <w:spacing w:after="40"/>
            </w:pPr>
            <w:r/>
            <w:r>
              <w:rPr>
                <w:sz w:val="19"/>
              </w:rPr>
              <w:t>[CEO]</w:t>
            </w:r>
          </w:p>
        </w:tc>
      </w:tr>
      <w:tr>
        <w:tc>
          <w:tcPr>
            <w:tcW w:type="dxa" w:w="1984"/>
            <w:shd w:val="clear" w:color="auto" w:fill="F5F7FA"/>
          </w:tcPr>
          <w:p>
            <w:pPr>
              <w:spacing w:after="40"/>
            </w:pPr>
            <w:r/>
            <w:r>
              <w:rPr>
                <w:sz w:val="19"/>
              </w:rPr>
              <w:t>Members present</w:t>
            </w:r>
          </w:p>
        </w:tc>
        <w:tc>
          <w:tcPr>
            <w:tcW w:type="dxa" w:w="7370"/>
            <w:shd w:val="clear" w:color="auto" w:fill="F5F7FA"/>
          </w:tcPr>
          <w:p>
            <w:pPr>
              <w:spacing w:after="40"/>
            </w:pPr>
            <w:r/>
            <w:r>
              <w:rPr>
                <w:sz w:val="19"/>
              </w:rPr>
              <w:t>[CTO], [Security Lead], [Head of AI], [Privacy and Legal Lead], [Creative Director]</w:t>
            </w:r>
          </w:p>
        </w:tc>
      </w:tr>
      <w:tr>
        <w:tc>
          <w:tcPr>
            <w:tcW w:type="dxa" w:w="1984"/>
          </w:tcPr>
          <w:p>
            <w:pPr>
              <w:spacing w:after="40"/>
            </w:pPr>
            <w:r/>
            <w:r>
              <w:rPr>
                <w:sz w:val="19"/>
              </w:rPr>
              <w:t>In attendance</w:t>
            </w:r>
          </w:p>
        </w:tc>
        <w:tc>
          <w:tcPr>
            <w:tcW w:type="dxa" w:w="7370"/>
          </w:tcPr>
          <w:p>
            <w:pPr>
              <w:spacing w:after="40"/>
            </w:pPr>
            <w:r/>
            <w:r>
              <w:rPr>
                <w:sz w:val="19"/>
              </w:rPr>
              <w:t>[Compliance Coordinator] (secretary); [Platform Engineer] (item 4); [People and Operations Lead] (item 3)</w:t>
            </w:r>
          </w:p>
        </w:tc>
      </w:tr>
      <w:tr>
        <w:tc>
          <w:tcPr>
            <w:tcW w:type="dxa" w:w="1984"/>
            <w:shd w:val="clear" w:color="auto" w:fill="F5F7FA"/>
          </w:tcPr>
          <w:p>
            <w:pPr>
              <w:spacing w:after="40"/>
            </w:pPr>
            <w:r/>
            <w:r>
              <w:rPr>
                <w:sz w:val="19"/>
              </w:rPr>
              <w:t>Apologies</w:t>
            </w:r>
          </w:p>
        </w:tc>
        <w:tc>
          <w:tcPr>
            <w:tcW w:type="dxa" w:w="7370"/>
            <w:shd w:val="clear" w:color="auto" w:fill="F5F7FA"/>
          </w:tcPr>
          <w:p>
            <w:pPr>
              <w:spacing w:after="40"/>
            </w:pPr>
            <w:r/>
            <w:r>
              <w:rPr>
                <w:sz w:val="19"/>
              </w:rPr>
              <w:t>None. Quorum met.</w:t>
            </w:r>
          </w:p>
        </w:tc>
      </w:tr>
      <w:tr>
        <w:tc>
          <w:tcPr>
            <w:tcW w:type="dxa" w:w="1984"/>
          </w:tcPr>
          <w:p>
            <w:pPr>
              <w:spacing w:after="40"/>
            </w:pPr>
            <w:r/>
            <w:r>
              <w:rPr>
                <w:sz w:val="19"/>
              </w:rPr>
              <w:t>Pack</w:t>
            </w:r>
          </w:p>
        </w:tc>
        <w:tc>
          <w:tcPr>
            <w:tcW w:type="dxa" w:w="7370"/>
          </w:tcPr>
          <w:p>
            <w:pPr>
              <w:spacing w:after="40"/>
            </w:pPr>
            <w:r/>
            <w:r>
              <w:rPr>
                <w:sz w:val="19"/>
              </w:rPr>
              <w:t>Circulated 2026-10-14: dashboard, AUD-2026-02 report, objectives status, risk register extract, incident summary, draft Statements of Applicability.</w:t>
            </w:r>
          </w:p>
        </w:tc>
      </w:tr>
    </w:tbl>
    <w:p/>
    <w:p>
      <w:pPr>
        <w:pStyle w:val="Heading2"/>
      </w:pPr>
      <w:r>
        <w:t>Item 1 — Actions from the previous review (MR-2026-01, April 2026)</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5102"/>
            <w:shd w:val="clear" w:color="auto" w:fill="142B4C"/>
          </w:tcPr>
          <w:p>
            <w:r/>
            <w:r>
              <w:rPr>
                <w:b/>
                <w:color w:val="FFFFFF"/>
                <w:sz w:val="19"/>
              </w:rPr>
              <w:t>Action</w:t>
            </w:r>
          </w:p>
        </w:tc>
        <w:tc>
          <w:tcPr>
            <w:tcW w:type="dxa" w:w="2268"/>
            <w:shd w:val="clear" w:color="auto" w:fill="142B4C"/>
          </w:tcPr>
          <w:p>
            <w:r/>
            <w:r>
              <w:rPr>
                <w:b/>
                <w:color w:val="FFFFFF"/>
                <w:sz w:val="19"/>
              </w:rPr>
              <w:t>Owner</w:t>
            </w:r>
          </w:p>
        </w:tc>
        <w:tc>
          <w:tcPr>
            <w:tcW w:type="dxa" w:w="1984"/>
            <w:shd w:val="clear" w:color="auto" w:fill="142B4C"/>
          </w:tcPr>
          <w:p>
            <w:r/>
            <w:r>
              <w:rPr>
                <w:b/>
                <w:color w:val="FFFFFF"/>
                <w:sz w:val="19"/>
              </w:rPr>
              <w:t>Status</w:t>
            </w:r>
          </w:p>
        </w:tc>
      </w:tr>
      <w:tr>
        <w:tc>
          <w:tcPr>
            <w:tcW w:type="dxa" w:w="5102"/>
          </w:tcPr>
          <w:p>
            <w:pPr>
              <w:spacing w:after="40"/>
            </w:pPr>
            <w:r/>
            <w:r>
              <w:rPr>
                <w:sz w:val="19"/>
              </w:rPr>
              <w:t>Implement fairness monitoring for ArtistMatch</w:t>
            </w:r>
          </w:p>
        </w:tc>
        <w:tc>
          <w:tcPr>
            <w:tcW w:type="dxa" w:w="2268"/>
          </w:tcPr>
          <w:p>
            <w:pPr>
              <w:spacing w:after="40"/>
            </w:pPr>
            <w:r/>
            <w:r>
              <w:rPr>
                <w:sz w:val="19"/>
              </w:rPr>
              <w:t>[Head of AI]</w:t>
            </w:r>
          </w:p>
        </w:tc>
        <w:tc>
          <w:tcPr>
            <w:tcW w:type="dxa" w:w="1984"/>
          </w:tcPr>
          <w:p>
            <w:pPr>
              <w:spacing w:after="40"/>
            </w:pPr>
            <w:r/>
            <w:r>
              <w:rPr>
                <w:sz w:val="19"/>
              </w:rPr>
              <w:t>Closed (CA-2026-002)</w:t>
            </w:r>
          </w:p>
        </w:tc>
      </w:tr>
      <w:tr>
        <w:tc>
          <w:tcPr>
            <w:tcW w:type="dxa" w:w="5102"/>
            <w:shd w:val="clear" w:color="auto" w:fill="F5F7FA"/>
          </w:tcPr>
          <w:p>
            <w:pPr>
              <w:spacing w:after="40"/>
            </w:pPr>
            <w:r/>
            <w:r>
              <w:rPr>
                <w:sz w:val="19"/>
              </w:rPr>
              <w:t>Contract an independent auditor for a full-system audit</w:t>
            </w:r>
          </w:p>
        </w:tc>
        <w:tc>
          <w:tcPr>
            <w:tcW w:type="dxa" w:w="2268"/>
            <w:shd w:val="clear" w:color="auto" w:fill="F5F7FA"/>
          </w:tcPr>
          <w:p>
            <w:pPr>
              <w:spacing w:after="40"/>
            </w:pPr>
            <w:r/>
            <w:r>
              <w:rPr>
                <w:sz w:val="19"/>
              </w:rPr>
              <w:t>[Compliance Coordinator]</w:t>
            </w:r>
          </w:p>
        </w:tc>
        <w:tc>
          <w:tcPr>
            <w:tcW w:type="dxa" w:w="1984"/>
            <w:shd w:val="clear" w:color="auto" w:fill="F5F7FA"/>
          </w:tcPr>
          <w:p>
            <w:pPr>
              <w:spacing w:after="40"/>
            </w:pPr>
            <w:r/>
            <w:r>
              <w:rPr>
                <w:sz w:val="19"/>
              </w:rPr>
              <w:t>Closed (AUD-2026-02 held)</w:t>
            </w:r>
          </w:p>
        </w:tc>
      </w:tr>
      <w:tr>
        <w:tc>
          <w:tcPr>
            <w:tcW w:type="dxa" w:w="5102"/>
          </w:tcPr>
          <w:p>
            <w:pPr>
              <w:spacing w:after="40"/>
            </w:pPr>
            <w:r/>
            <w:r>
              <w:rPr>
                <w:sz w:val="19"/>
              </w:rPr>
              <w:t>Risk-assess the UAE region launch</w:t>
            </w:r>
          </w:p>
        </w:tc>
        <w:tc>
          <w:tcPr>
            <w:tcW w:type="dxa" w:w="2268"/>
          </w:tcPr>
          <w:p>
            <w:pPr>
              <w:spacing w:after="40"/>
            </w:pPr>
            <w:r/>
            <w:r>
              <w:rPr>
                <w:sz w:val="19"/>
              </w:rPr>
              <w:t>[Platform Engineer]</w:t>
            </w:r>
          </w:p>
        </w:tc>
        <w:tc>
          <w:tcPr>
            <w:tcW w:type="dxa" w:w="1984"/>
          </w:tcPr>
          <w:p>
            <w:pPr>
              <w:spacing w:after="40"/>
            </w:pPr>
            <w:r/>
            <w:r>
              <w:rPr>
                <w:sz w:val="19"/>
              </w:rPr>
              <w:t>Closed</w:t>
            </w:r>
          </w:p>
        </w:tc>
      </w:tr>
      <w:tr>
        <w:tc>
          <w:tcPr>
            <w:tcW w:type="dxa" w:w="5102"/>
            <w:shd w:val="clear" w:color="auto" w:fill="F5F7FA"/>
          </w:tcPr>
          <w:p>
            <w:pPr>
              <w:spacing w:after="40"/>
            </w:pPr>
            <w:r/>
            <w:r>
              <w:rPr>
                <w:sz w:val="19"/>
              </w:rPr>
              <w:t>Run quarterly phishing simulations</w:t>
            </w:r>
          </w:p>
        </w:tc>
        <w:tc>
          <w:tcPr>
            <w:tcW w:type="dxa" w:w="2268"/>
            <w:shd w:val="clear" w:color="auto" w:fill="F5F7FA"/>
          </w:tcPr>
          <w:p>
            <w:pPr>
              <w:spacing w:after="40"/>
            </w:pPr>
            <w:r/>
            <w:r>
              <w:rPr>
                <w:sz w:val="19"/>
              </w:rPr>
              <w:t>[People and Operations Lead]</w:t>
            </w:r>
          </w:p>
        </w:tc>
        <w:tc>
          <w:tcPr>
            <w:tcW w:type="dxa" w:w="1984"/>
            <w:shd w:val="clear" w:color="auto" w:fill="F5F7FA"/>
          </w:tcPr>
          <w:p>
            <w:pPr>
              <w:spacing w:after="40"/>
            </w:pPr>
            <w:r/>
            <w:r>
              <w:rPr>
                <w:sz w:val="19"/>
              </w:rPr>
              <w:t>Closed; continuing</w:t>
            </w:r>
          </w:p>
        </w:tc>
      </w:tr>
    </w:tbl>
    <w:p/>
    <w:p>
      <w:pPr>
        <w:pStyle w:val="Heading2"/>
      </w:pPr>
      <w:r>
        <w:t>Item 2 — Changes in issues and interested parties</w:t>
      </w:r>
    </w:p>
    <w:p>
      <w:pPr>
        <w:pStyle w:val="ListBullet"/>
        <w:spacing w:after="60"/>
      </w:pPr>
      <w:r>
        <w:rPr>
          <w:b/>
        </w:rPr>
        <w:t>External:</w:t>
      </w:r>
      <w:r>
        <w:rPr/>
        <w:t xml:space="preserve"> EU AI Act transparency duties for AI-generated content and deepfakes apply from August 2026; our labelling and content credentials already meet them. Two new enterprise agencies in Saudi Arabia require ISO/IEC 27001 in contracts.</w:t>
      </w:r>
    </w:p>
    <w:p>
      <w:pPr>
        <w:pStyle w:val="ListBullet"/>
        <w:spacing w:after="60"/>
      </w:pPr>
      <w:r>
        <w:rPr>
          <w:b/>
        </w:rPr>
        <w:t>Internal:</w:t>
      </w:r>
      <w:r>
        <w:rPr/>
        <w:t xml:space="preserve"> headcount grew from 28 to 34; five contractors added. Dependence on AI suppliers is now a top issue after INC-2026-007.</w:t>
      </w:r>
    </w:p>
    <w:p>
      <w:pPr>
        <w:pStyle w:val="ListBullet"/>
        <w:spacing w:after="60"/>
      </w:pPr>
      <w:r>
        <w:rPr>
          <w:b/>
        </w:rPr>
        <w:t>Interested parties about AI:</w:t>
      </w:r>
      <w:r>
        <w:rPr/>
        <w:t xml:space="preserve"> one enterprise customer now asks for notice of any model change affecting their outputs; the Artist Advisory Panel asked for a public explanation of how ArtistMatch ranks artists; 12 artists complained in May about low visibility (INC-2026-005).</w:t>
      </w:r>
    </w:p>
    <w:p>
      <w:r>
        <w:rPr>
          <w:b/>
        </w:rPr>
        <w:t>Decision:</w:t>
      </w:r>
      <w:r>
        <w:rPr/>
        <w:t xml:space="preserve"> context and interested-party register to be updated with these changes ([Compliance Coordinator], by 2026-11-15). Publish a plain-language ArtistMatch ranking explanation (see actions).</w:t>
      </w:r>
    </w:p>
    <w:p>
      <w:pPr>
        <w:pStyle w:val="Heading2"/>
      </w:pPr>
      <w:r>
        <w:t>Item 3 — Performance: objectives and monitoring</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Objective</w:t>
            </w:r>
          </w:p>
        </w:tc>
        <w:tc>
          <w:tcPr>
            <w:tcW w:type="dxa" w:w="2268"/>
            <w:shd w:val="clear" w:color="auto" w:fill="142B4C"/>
          </w:tcPr>
          <w:p>
            <w:r/>
            <w:r>
              <w:rPr>
                <w:b/>
                <w:color w:val="FFFFFF"/>
                <w:sz w:val="19"/>
              </w:rPr>
              <w:t>Target</w:t>
            </w:r>
          </w:p>
        </w:tc>
        <w:tc>
          <w:tcPr>
            <w:tcW w:type="dxa" w:w="3288"/>
            <w:shd w:val="clear" w:color="auto" w:fill="142B4C"/>
          </w:tcPr>
          <w:p>
            <w:r/>
            <w:r>
              <w:rPr>
                <w:b/>
                <w:color w:val="FFFFFF"/>
                <w:sz w:val="19"/>
              </w:rPr>
              <w:t>Result to end Sept 2026</w:t>
            </w:r>
          </w:p>
        </w:tc>
        <w:tc>
          <w:tcPr>
            <w:tcW w:type="dxa" w:w="1247"/>
            <w:shd w:val="clear" w:color="auto" w:fill="142B4C"/>
          </w:tcPr>
          <w:p>
            <w:r/>
            <w:r>
              <w:rPr>
                <w:b/>
                <w:color w:val="FFFFFF"/>
                <w:sz w:val="19"/>
              </w:rPr>
              <w:t>Status</w:t>
            </w:r>
          </w:p>
        </w:tc>
      </w:tr>
      <w:tr>
        <w:tc>
          <w:tcPr>
            <w:tcW w:type="dxa" w:w="2551"/>
          </w:tcPr>
          <w:p>
            <w:pPr>
              <w:spacing w:after="40"/>
            </w:pPr>
            <w:r/>
            <w:r>
              <w:rPr>
                <w:sz w:val="19"/>
              </w:rPr>
              <w:t>OBJ-01 Certify the integrated system</w:t>
            </w:r>
          </w:p>
        </w:tc>
        <w:tc>
          <w:tcPr>
            <w:tcW w:type="dxa" w:w="2268"/>
          </w:tcPr>
          <w:p>
            <w:pPr>
              <w:spacing w:after="40"/>
            </w:pPr>
            <w:r/>
            <w:r>
              <w:rPr>
                <w:sz w:val="19"/>
              </w:rPr>
              <w:t>Both by 2027-09-30</w:t>
            </w:r>
          </w:p>
        </w:tc>
        <w:tc>
          <w:tcPr>
            <w:tcW w:type="dxa" w:w="3288"/>
          </w:tcPr>
          <w:p>
            <w:pPr>
              <w:spacing w:after="40"/>
            </w:pPr>
            <w:r/>
            <w:r>
              <w:rPr>
                <w:sz w:val="19"/>
              </w:rPr>
              <w:t>Pre-certification audit planned June 2027; certification body selected</w:t>
            </w:r>
          </w:p>
        </w:tc>
        <w:tc>
          <w:tcPr>
            <w:tcW w:type="dxa" w:w="1247"/>
          </w:tcPr>
          <w:p>
            <w:pPr>
              <w:spacing w:after="40"/>
            </w:pPr>
            <w:r/>
            <w:r>
              <w:rPr>
                <w:sz w:val="19"/>
              </w:rPr>
              <w:t>On track</w:t>
            </w:r>
          </w:p>
        </w:tc>
      </w:tr>
      <w:tr>
        <w:tc>
          <w:tcPr>
            <w:tcW w:type="dxa" w:w="2551"/>
            <w:shd w:val="clear" w:color="auto" w:fill="F5F7FA"/>
          </w:tcPr>
          <w:p>
            <w:pPr>
              <w:spacing w:after="40"/>
            </w:pPr>
            <w:r/>
            <w:r>
              <w:rPr>
                <w:sz w:val="19"/>
              </w:rPr>
              <w:t>OBJ-02 Every AI release passes the AI Release Review</w:t>
            </w:r>
          </w:p>
        </w:tc>
        <w:tc>
          <w:tcPr>
            <w:tcW w:type="dxa" w:w="2268"/>
            <w:shd w:val="clear" w:color="auto" w:fill="F5F7FA"/>
          </w:tcPr>
          <w:p>
            <w:pPr>
              <w:spacing w:after="40"/>
            </w:pPr>
            <w:r/>
            <w:r>
              <w:rPr>
                <w:sz w:val="19"/>
              </w:rPr>
              <w:t>100%</w:t>
            </w:r>
          </w:p>
        </w:tc>
        <w:tc>
          <w:tcPr>
            <w:tcW w:type="dxa" w:w="3288"/>
            <w:shd w:val="clear" w:color="auto" w:fill="F5F7FA"/>
          </w:tcPr>
          <w:p>
            <w:pPr>
              <w:spacing w:after="40"/>
            </w:pPr>
            <w:r/>
            <w:r>
              <w:rPr>
                <w:sz w:val="19"/>
              </w:rPr>
              <w:t>3 of 3 AI releases with approved impact assessment and gate record (100%)</w:t>
            </w:r>
          </w:p>
        </w:tc>
        <w:tc>
          <w:tcPr>
            <w:tcW w:type="dxa" w:w="1247"/>
            <w:shd w:val="clear" w:color="auto" w:fill="F5F7FA"/>
          </w:tcPr>
          <w:p>
            <w:pPr>
              <w:spacing w:after="40"/>
            </w:pPr>
            <w:r/>
            <w:r>
              <w:rPr>
                <w:sz w:val="19"/>
              </w:rPr>
              <w:t>Met</w:t>
            </w:r>
          </w:p>
        </w:tc>
      </w:tr>
      <w:tr>
        <w:tc>
          <w:tcPr>
            <w:tcW w:type="dxa" w:w="2551"/>
          </w:tcPr>
          <w:p>
            <w:pPr>
              <w:spacing w:after="40"/>
            </w:pPr>
            <w:r/>
            <w:r>
              <w:rPr>
                <w:sz w:val="19"/>
              </w:rPr>
              <w:t>OBJ-03 Respect artists' rights in training data</w:t>
            </w:r>
          </w:p>
        </w:tc>
        <w:tc>
          <w:tcPr>
            <w:tcW w:type="dxa" w:w="2268"/>
          </w:tcPr>
          <w:p>
            <w:pPr>
              <w:spacing w:after="40"/>
            </w:pPr>
            <w:r/>
            <w:r>
              <w:rPr>
                <w:sz w:val="19"/>
              </w:rPr>
              <w:t>100%; zero unresolved opt-out requests older than 14 days</w:t>
            </w:r>
          </w:p>
        </w:tc>
        <w:tc>
          <w:tcPr>
            <w:tcW w:type="dxa" w:w="3288"/>
          </w:tcPr>
          <w:p>
            <w:pPr>
              <w:spacing w:after="40"/>
            </w:pPr>
            <w:r/>
            <w:r>
              <w:rPr>
                <w:sz w:val="19"/>
              </w:rPr>
              <w:t>100% of fine-tuning images verified; one opt-out took 17 days (INC-2026-009)</w:t>
            </w:r>
          </w:p>
        </w:tc>
        <w:tc>
          <w:tcPr>
            <w:tcW w:type="dxa" w:w="1247"/>
          </w:tcPr>
          <w:p>
            <w:pPr>
              <w:spacing w:after="40"/>
            </w:pPr>
            <w:r/>
            <w:r>
              <w:rPr>
                <w:sz w:val="19"/>
              </w:rPr>
              <w:t>Not met</w:t>
            </w:r>
          </w:p>
        </w:tc>
      </w:tr>
      <w:tr>
        <w:tc>
          <w:tcPr>
            <w:tcW w:type="dxa" w:w="2551"/>
            <w:shd w:val="clear" w:color="auto" w:fill="F5F7FA"/>
          </w:tcPr>
          <w:p>
            <w:pPr>
              <w:spacing w:after="40"/>
            </w:pPr>
            <w:r/>
            <w:r>
              <w:rPr>
                <w:sz w:val="19"/>
              </w:rPr>
              <w:t>OBJ-04 Keep critical vulnerabilities short-lived</w:t>
            </w:r>
          </w:p>
        </w:tc>
        <w:tc>
          <w:tcPr>
            <w:tcW w:type="dxa" w:w="2268"/>
            <w:shd w:val="clear" w:color="auto" w:fill="F5F7FA"/>
          </w:tcPr>
          <w:p>
            <w:pPr>
              <w:spacing w:after="40"/>
            </w:pPr>
            <w:r/>
            <w:r>
              <w:rPr>
                <w:sz w:val="19"/>
              </w:rPr>
              <w:t>Critical ≤ 7 days, high ≤ 30 days</w:t>
            </w:r>
          </w:p>
        </w:tc>
        <w:tc>
          <w:tcPr>
            <w:tcW w:type="dxa" w:w="3288"/>
            <w:shd w:val="clear" w:color="auto" w:fill="F5F7FA"/>
          </w:tcPr>
          <w:p>
            <w:pPr>
              <w:spacing w:after="40"/>
            </w:pPr>
            <w:r/>
            <w:r>
              <w:rPr>
                <w:sz w:val="19"/>
              </w:rPr>
              <w:t>Critical median 4 days; high median 34 days</w:t>
            </w:r>
          </w:p>
        </w:tc>
        <w:tc>
          <w:tcPr>
            <w:tcW w:type="dxa" w:w="1247"/>
            <w:shd w:val="clear" w:color="auto" w:fill="F5F7FA"/>
          </w:tcPr>
          <w:p>
            <w:pPr>
              <w:spacing w:after="40"/>
            </w:pPr>
            <w:r/>
            <w:r>
              <w:rPr>
                <w:sz w:val="19"/>
              </w:rPr>
              <w:t>Not met (high)</w:t>
            </w:r>
          </w:p>
        </w:tc>
      </w:tr>
      <w:tr>
        <w:tc>
          <w:tcPr>
            <w:tcW w:type="dxa" w:w="2551"/>
          </w:tcPr>
          <w:p>
            <w:pPr>
              <w:spacing w:after="40"/>
            </w:pPr>
            <w:r/>
            <w:r>
              <w:rPr>
                <w:sz w:val="19"/>
              </w:rPr>
              <w:t>OBJ-05 Make people the strongest control</w:t>
            </w:r>
          </w:p>
        </w:tc>
        <w:tc>
          <w:tcPr>
            <w:tcW w:type="dxa" w:w="2268"/>
          </w:tcPr>
          <w:p>
            <w:pPr>
              <w:spacing w:after="40"/>
            </w:pPr>
            <w:r/>
            <w:r>
              <w:rPr>
                <w:sz w:val="19"/>
              </w:rPr>
              <w:t>100% within 30 days of joining and yearly; report rate ≥ 60%</w:t>
            </w:r>
          </w:p>
        </w:tc>
        <w:tc>
          <w:tcPr>
            <w:tcW w:type="dxa" w:w="3288"/>
          </w:tcPr>
          <w:p>
            <w:pPr>
              <w:spacing w:after="40"/>
            </w:pPr>
            <w:r/>
            <w:r>
              <w:rPr>
                <w:sz w:val="19"/>
              </w:rPr>
              <w:t>Training 94% on time (two contractors late, NC-2026-004); phishing report rate 63%</w:t>
            </w:r>
          </w:p>
        </w:tc>
        <w:tc>
          <w:tcPr>
            <w:tcW w:type="dxa" w:w="1247"/>
          </w:tcPr>
          <w:p>
            <w:pPr>
              <w:spacing w:after="40"/>
            </w:pPr>
            <w:r/>
            <w:r>
              <w:rPr>
                <w:sz w:val="19"/>
              </w:rPr>
              <w:t>Partial</w:t>
            </w:r>
          </w:p>
        </w:tc>
      </w:tr>
      <w:tr>
        <w:tc>
          <w:tcPr>
            <w:tcW w:type="dxa" w:w="2551"/>
            <w:shd w:val="clear" w:color="auto" w:fill="F5F7FA"/>
          </w:tcPr>
          <w:p>
            <w:pPr>
              <w:spacing w:after="40"/>
            </w:pPr>
            <w:r/>
            <w:r>
              <w:rPr>
                <w:sz w:val="19"/>
              </w:rPr>
              <w:t>OBJ-06 Fair exposure for artists</w:t>
            </w:r>
          </w:p>
        </w:tc>
        <w:tc>
          <w:tcPr>
            <w:tcW w:type="dxa" w:w="2268"/>
            <w:shd w:val="clear" w:color="auto" w:fill="F5F7FA"/>
          </w:tcPr>
          <w:p>
            <w:pPr>
              <w:spacing w:after="40"/>
            </w:pPr>
            <w:r/>
            <w:r>
              <w:rPr>
                <w:sz w:val="19"/>
              </w:rPr>
              <w:t>≥ 0.8 every month</w:t>
            </w:r>
          </w:p>
        </w:tc>
        <w:tc>
          <w:tcPr>
            <w:tcW w:type="dxa" w:w="3288"/>
            <w:shd w:val="clear" w:color="auto" w:fill="F5F7FA"/>
          </w:tcPr>
          <w:p>
            <w:pPr>
              <w:spacing w:after="40"/>
            </w:pPr>
            <w:r/>
            <w:r>
              <w:rPr>
                <w:sz w:val="19"/>
              </w:rPr>
              <w:t>Jun 0.83, Jul 0.79, Aug 0.84, Sep 0.86</w:t>
            </w:r>
          </w:p>
        </w:tc>
        <w:tc>
          <w:tcPr>
            <w:tcW w:type="dxa" w:w="1247"/>
            <w:shd w:val="clear" w:color="auto" w:fill="F5F7FA"/>
          </w:tcPr>
          <w:p>
            <w:pPr>
              <w:spacing w:after="40"/>
            </w:pPr>
            <w:r/>
            <w:r>
              <w:rPr>
                <w:sz w:val="19"/>
              </w:rPr>
              <w:t>Not met (July)</w:t>
            </w:r>
          </w:p>
        </w:tc>
      </w:tr>
      <w:tr>
        <w:tc>
          <w:tcPr>
            <w:tcW w:type="dxa" w:w="2551"/>
          </w:tcPr>
          <w:p>
            <w:pPr>
              <w:spacing w:after="40"/>
            </w:pPr>
            <w:r/>
            <w:r>
              <w:rPr>
                <w:sz w:val="19"/>
              </w:rPr>
              <w:t>OBJ-07 Stay available</w:t>
            </w:r>
          </w:p>
        </w:tc>
        <w:tc>
          <w:tcPr>
            <w:tcW w:type="dxa" w:w="2268"/>
          </w:tcPr>
          <w:p>
            <w:pPr>
              <w:spacing w:after="40"/>
            </w:pPr>
            <w:r/>
            <w:r>
              <w:rPr>
                <w:sz w:val="19"/>
              </w:rPr>
              <w:t>≥ 99.5%</w:t>
            </w:r>
          </w:p>
        </w:tc>
        <w:tc>
          <w:tcPr>
            <w:tcW w:type="dxa" w:w="3288"/>
          </w:tcPr>
          <w:p>
            <w:pPr>
              <w:spacing w:after="40"/>
            </w:pPr>
            <w:r/>
            <w:r>
              <w:rPr>
                <w:sz w:val="19"/>
              </w:rPr>
              <w:t>Lowest month 99.6% (June); average 99.8%</w:t>
            </w:r>
          </w:p>
        </w:tc>
        <w:tc>
          <w:tcPr>
            <w:tcW w:type="dxa" w:w="1247"/>
          </w:tcPr>
          <w:p>
            <w:pPr>
              <w:spacing w:after="40"/>
            </w:pPr>
            <w:r/>
            <w:r>
              <w:rPr>
                <w:sz w:val="19"/>
              </w:rPr>
              <w:t>Met</w:t>
            </w:r>
          </w:p>
        </w:tc>
      </w:tr>
    </w:tbl>
    <w:p/>
    <w:p>
      <w:r>
        <w:rPr>
          <w:b/>
        </w:rPr>
        <w:t>Discussion:</w:t>
      </w:r>
      <w:r>
        <w:rPr/>
        <w:t xml:space="preserve"> OBJ-05 and OBJ-03 misses share a cause — processes that depend on one person's inbox or on hiring managers rather than a system. OBJ-04: high-severity fixes are slowed by one legacy image-processing library.</w:t>
      </w:r>
    </w:p>
    <w:p>
      <w:r>
        <w:rPr>
          <w:b/>
        </w:rPr>
        <w:t>Decision:</w:t>
      </w:r>
      <w:r>
        <w:rPr/>
        <w:t xml:space="preserve"> targets unchanged. CTO to replace the legacy library by Q1 2027. The October phishing report rate counts towards OBJ-05 from now on as a quarterly measure.</w:t>
      </w:r>
    </w:p>
    <w:p>
      <w:pPr>
        <w:pStyle w:val="Heading2"/>
      </w:pPr>
      <w:r>
        <w:t>Item 4 — Audit results, nonconformities and corrective actions</w:t>
      </w:r>
    </w:p>
    <w:p>
      <w:r>
        <w:rPr/>
        <w:t>AUD-2026-02 (2026-09-15 to 2026-09-19; Independent auditor (contracted) plus the [Compliance Coordinator] as audit coordinator) found no major nonconformities. Findings: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531"/>
            <w:shd w:val="clear" w:color="auto" w:fill="142B4C"/>
          </w:tcPr>
          <w:p>
            <w:r/>
            <w:r>
              <w:rPr>
                <w:b/>
                <w:color w:val="FFFFFF"/>
                <w:sz w:val="19"/>
              </w:rPr>
              <w:t>ID</w:t>
            </w:r>
          </w:p>
        </w:tc>
        <w:tc>
          <w:tcPr>
            <w:tcW w:type="dxa" w:w="1814"/>
            <w:shd w:val="clear" w:color="auto" w:fill="142B4C"/>
          </w:tcPr>
          <w:p>
            <w:r/>
            <w:r>
              <w:rPr>
                <w:b/>
                <w:color w:val="FFFFFF"/>
                <w:sz w:val="19"/>
              </w:rPr>
              <w:t>Grade</w:t>
            </w:r>
          </w:p>
        </w:tc>
        <w:tc>
          <w:tcPr>
            <w:tcW w:type="dxa" w:w="2041"/>
            <w:shd w:val="clear" w:color="auto" w:fill="142B4C"/>
          </w:tcPr>
          <w:p>
            <w:r/>
            <w:r>
              <w:rPr>
                <w:b/>
                <w:color w:val="FFFFFF"/>
                <w:sz w:val="19"/>
              </w:rPr>
              <w:t>Requirement</w:t>
            </w:r>
          </w:p>
        </w:tc>
        <w:tc>
          <w:tcPr>
            <w:tcW w:type="dxa" w:w="3969"/>
            <w:shd w:val="clear" w:color="auto" w:fill="142B4C"/>
          </w:tcPr>
          <w:p>
            <w:r/>
            <w:r>
              <w:rPr>
                <w:b/>
                <w:color w:val="FFFFFF"/>
                <w:sz w:val="19"/>
              </w:rPr>
              <w:t>Finding</w:t>
            </w:r>
          </w:p>
        </w:tc>
      </w:tr>
      <w:tr>
        <w:tc>
          <w:tcPr>
            <w:tcW w:type="dxa" w:w="1531"/>
          </w:tcPr>
          <w:p>
            <w:pPr>
              <w:spacing w:after="40"/>
            </w:pPr>
            <w:r/>
            <w:r>
              <w:rPr>
                <w:sz w:val="19"/>
              </w:rPr>
              <w:t>NC-2026-003</w:t>
            </w:r>
          </w:p>
        </w:tc>
        <w:tc>
          <w:tcPr>
            <w:tcW w:type="dxa" w:w="1814"/>
          </w:tcPr>
          <w:p>
            <w:pPr>
              <w:spacing w:after="40"/>
            </w:pPr>
            <w:r/>
            <w:r>
              <w:rPr>
                <w:sz w:val="19"/>
              </w:rPr>
              <w:t>Minor nonconformity</w:t>
            </w:r>
          </w:p>
        </w:tc>
        <w:tc>
          <w:tcPr>
            <w:tcW w:type="dxa" w:w="2041"/>
          </w:tcPr>
          <w:p>
            <w:pPr>
              <w:spacing w:after="40"/>
            </w:pPr>
            <w:r/>
            <w:r>
              <w:rPr>
                <w:sz w:val="19"/>
              </w:rPr>
              <w:t>42001 A.10.3 / 27001 5.22</w:t>
            </w:r>
          </w:p>
        </w:tc>
        <w:tc>
          <w:tcPr>
            <w:tcW w:type="dxa" w:w="3969"/>
          </w:tcPr>
          <w:p>
            <w:pPr>
              <w:spacing w:after="40"/>
            </w:pPr>
            <w:r/>
            <w:r>
              <w:rPr>
                <w:sz w:val="19"/>
              </w:rPr>
              <w:t>Supplier changes to SafeFrame were not assessed before going live; the supplier agreement does not require notice of model changes.</w:t>
            </w:r>
          </w:p>
        </w:tc>
      </w:tr>
      <w:tr>
        <w:tc>
          <w:tcPr>
            <w:tcW w:type="dxa" w:w="1531"/>
            <w:shd w:val="clear" w:color="auto" w:fill="F5F7FA"/>
          </w:tcPr>
          <w:p>
            <w:pPr>
              <w:spacing w:after="40"/>
            </w:pPr>
            <w:r/>
            <w:r>
              <w:rPr>
                <w:sz w:val="19"/>
              </w:rPr>
              <w:t>NC-2026-004</w:t>
            </w:r>
          </w:p>
        </w:tc>
        <w:tc>
          <w:tcPr>
            <w:tcW w:type="dxa" w:w="1814"/>
            <w:shd w:val="clear" w:color="auto" w:fill="F5F7FA"/>
          </w:tcPr>
          <w:p>
            <w:pPr>
              <w:spacing w:after="40"/>
            </w:pPr>
            <w:r/>
            <w:r>
              <w:rPr>
                <w:sz w:val="19"/>
              </w:rPr>
              <w:t>Minor nonconformity</w:t>
            </w:r>
          </w:p>
        </w:tc>
        <w:tc>
          <w:tcPr>
            <w:tcW w:type="dxa" w:w="2041"/>
            <w:shd w:val="clear" w:color="auto" w:fill="F5F7FA"/>
          </w:tcPr>
          <w:p>
            <w:pPr>
              <w:spacing w:after="40"/>
            </w:pPr>
            <w:r/>
            <w:r>
              <w:rPr>
                <w:sz w:val="19"/>
              </w:rPr>
              <w:t>27001 7.2 / 42001 7.2</w:t>
            </w:r>
          </w:p>
        </w:tc>
        <w:tc>
          <w:tcPr>
            <w:tcW w:type="dxa" w:w="3969"/>
            <w:shd w:val="clear" w:color="auto" w:fill="F5F7FA"/>
          </w:tcPr>
          <w:p>
            <w:pPr>
              <w:spacing w:after="40"/>
            </w:pPr>
            <w:r/>
            <w:r>
              <w:rPr>
                <w:sz w:val="19"/>
              </w:rPr>
              <w:t>Two contractors who joined in July had not completed awareness training within 30 days.</w:t>
            </w:r>
          </w:p>
        </w:tc>
      </w:tr>
      <w:tr>
        <w:tc>
          <w:tcPr>
            <w:tcW w:type="dxa" w:w="1531"/>
          </w:tcPr>
          <w:p>
            <w:pPr>
              <w:spacing w:after="40"/>
            </w:pPr>
            <w:r/>
            <w:r>
              <w:rPr>
                <w:sz w:val="19"/>
              </w:rPr>
              <w:t>OFI-2026-05</w:t>
            </w:r>
          </w:p>
        </w:tc>
        <w:tc>
          <w:tcPr>
            <w:tcW w:type="dxa" w:w="1814"/>
          </w:tcPr>
          <w:p>
            <w:pPr>
              <w:spacing w:after="40"/>
            </w:pPr>
            <w:r/>
            <w:r>
              <w:rPr>
                <w:sz w:val="19"/>
              </w:rPr>
              <w:t>Opportunity for improvement</w:t>
            </w:r>
          </w:p>
        </w:tc>
        <w:tc>
          <w:tcPr>
            <w:tcW w:type="dxa" w:w="2041"/>
          </w:tcPr>
          <w:p>
            <w:pPr>
              <w:spacing w:after="40"/>
            </w:pPr>
            <w:r/>
            <w:r>
              <w:rPr>
                <w:sz w:val="19"/>
              </w:rPr>
              <w:t>42001 A.6.2.6</w:t>
            </w:r>
          </w:p>
        </w:tc>
        <w:tc>
          <w:tcPr>
            <w:tcW w:type="dxa" w:w="3969"/>
          </w:tcPr>
          <w:p>
            <w:pPr>
              <w:spacing w:after="40"/>
            </w:pPr>
            <w:r/>
            <w:r>
              <w:rPr>
                <w:sz w:val="19"/>
              </w:rPr>
              <w:t>ArtistMatch fairness metric is reviewed monthly but not automatically alerted.</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531"/>
            <w:shd w:val="clear" w:color="auto" w:fill="142B4C"/>
          </w:tcPr>
          <w:p>
            <w:r/>
            <w:r>
              <w:rPr>
                <w:b/>
                <w:color w:val="FFFFFF"/>
                <w:sz w:val="19"/>
              </w:rPr>
              <w:t>NC</w:t>
            </w:r>
          </w:p>
        </w:tc>
        <w:tc>
          <w:tcPr>
            <w:tcW w:type="dxa" w:w="2268"/>
            <w:shd w:val="clear" w:color="auto" w:fill="142B4C"/>
          </w:tcPr>
          <w:p>
            <w:r/>
            <w:r>
              <w:rPr>
                <w:b/>
                <w:color w:val="FFFFFF"/>
                <w:sz w:val="19"/>
              </w:rPr>
              <w:t>Corrective action</w:t>
            </w:r>
          </w:p>
        </w:tc>
        <w:tc>
          <w:tcPr>
            <w:tcW w:type="dxa" w:w="1871"/>
            <w:shd w:val="clear" w:color="auto" w:fill="142B4C"/>
          </w:tcPr>
          <w:p>
            <w:r/>
            <w:r>
              <w:rPr>
                <w:b/>
                <w:color w:val="FFFFFF"/>
                <w:sz w:val="19"/>
              </w:rPr>
              <w:t>Owner</w:t>
            </w:r>
          </w:p>
        </w:tc>
        <w:tc>
          <w:tcPr>
            <w:tcW w:type="dxa" w:w="1304"/>
            <w:shd w:val="clear" w:color="auto" w:fill="142B4C"/>
          </w:tcPr>
          <w:p>
            <w:r/>
            <w:r>
              <w:rPr>
                <w:b/>
                <w:color w:val="FFFFFF"/>
                <w:sz w:val="19"/>
              </w:rPr>
              <w:t>Due</w:t>
            </w:r>
          </w:p>
        </w:tc>
        <w:tc>
          <w:tcPr>
            <w:tcW w:type="dxa" w:w="2381"/>
            <w:shd w:val="clear" w:color="auto" w:fill="142B4C"/>
          </w:tcPr>
          <w:p>
            <w:r/>
            <w:r>
              <w:rPr>
                <w:b/>
                <w:color w:val="FFFFFF"/>
                <w:sz w:val="19"/>
              </w:rPr>
              <w:t>Status</w:t>
            </w:r>
          </w:p>
        </w:tc>
      </w:tr>
      <w:tr>
        <w:tc>
          <w:tcPr>
            <w:tcW w:type="dxa" w:w="1531"/>
          </w:tcPr>
          <w:p>
            <w:pPr>
              <w:spacing w:after="40"/>
            </w:pPr>
            <w:r/>
            <w:r>
              <w:rPr>
                <w:sz w:val="19"/>
              </w:rPr>
              <w:t>NC-2026-001</w:t>
            </w:r>
          </w:p>
        </w:tc>
        <w:tc>
          <w:tcPr>
            <w:tcW w:type="dxa" w:w="2268"/>
          </w:tcPr>
          <w:p>
            <w:pPr>
              <w:spacing w:after="40"/>
            </w:pPr>
            <w:r/>
            <w:r>
              <w:rPr>
                <w:sz w:val="19"/>
              </w:rPr>
              <w:t>CA-2026-001</w:t>
            </w:r>
          </w:p>
        </w:tc>
        <w:tc>
          <w:tcPr>
            <w:tcW w:type="dxa" w:w="1871"/>
          </w:tcPr>
          <w:p>
            <w:pPr>
              <w:spacing w:after="40"/>
            </w:pPr>
            <w:r/>
            <w:r>
              <w:rPr>
                <w:sz w:val="19"/>
              </w:rPr>
              <w:t>[Security Lead]</w:t>
            </w:r>
          </w:p>
        </w:tc>
        <w:tc>
          <w:tcPr>
            <w:tcW w:type="dxa" w:w="1304"/>
          </w:tcPr>
          <w:p>
            <w:pPr>
              <w:spacing w:after="40"/>
            </w:pPr>
            <w:r/>
            <w:r>
              <w:rPr>
                <w:sz w:val="19"/>
              </w:rPr>
              <w:t>2026-07-31</w:t>
            </w:r>
          </w:p>
        </w:tc>
        <w:tc>
          <w:tcPr>
            <w:tcW w:type="dxa" w:w="2381"/>
          </w:tcPr>
          <w:p>
            <w:pPr>
              <w:spacing w:after="40"/>
            </w:pPr>
            <w:r/>
            <w:r>
              <w:rPr>
                <w:sz w:val="19"/>
              </w:rPr>
              <w:t>Closed, effective</w:t>
            </w:r>
          </w:p>
        </w:tc>
      </w:tr>
      <w:tr>
        <w:tc>
          <w:tcPr>
            <w:tcW w:type="dxa" w:w="1531"/>
            <w:shd w:val="clear" w:color="auto" w:fill="F5F7FA"/>
          </w:tcPr>
          <w:p>
            <w:pPr>
              <w:spacing w:after="40"/>
            </w:pPr>
            <w:r/>
            <w:r>
              <w:rPr>
                <w:sz w:val="19"/>
              </w:rPr>
              <w:t>NC-2026-002</w:t>
            </w:r>
          </w:p>
        </w:tc>
        <w:tc>
          <w:tcPr>
            <w:tcW w:type="dxa" w:w="2268"/>
            <w:shd w:val="clear" w:color="auto" w:fill="F5F7FA"/>
          </w:tcPr>
          <w:p>
            <w:pPr>
              <w:spacing w:after="40"/>
            </w:pPr>
            <w:r/>
            <w:r>
              <w:rPr>
                <w:sz w:val="19"/>
              </w:rPr>
              <w:t>CA-2026-002, CA-2026-003</w:t>
            </w:r>
          </w:p>
        </w:tc>
        <w:tc>
          <w:tcPr>
            <w:tcW w:type="dxa" w:w="1871"/>
            <w:shd w:val="clear" w:color="auto" w:fill="F5F7FA"/>
          </w:tcPr>
          <w:p>
            <w:pPr>
              <w:spacing w:after="40"/>
            </w:pPr>
            <w:r/>
            <w:r>
              <w:rPr>
                <w:sz w:val="19"/>
              </w:rPr>
              <w:t>[Head of AI]</w:t>
            </w:r>
          </w:p>
        </w:tc>
        <w:tc>
          <w:tcPr>
            <w:tcW w:type="dxa" w:w="1304"/>
            <w:shd w:val="clear" w:color="auto" w:fill="F5F7FA"/>
          </w:tcPr>
          <w:p>
            <w:pPr>
              <w:spacing w:after="40"/>
            </w:pPr>
            <w:r/>
            <w:r>
              <w:rPr>
                <w:sz w:val="19"/>
              </w:rPr>
              <w:t>2026-07-31</w:t>
            </w:r>
          </w:p>
        </w:tc>
        <w:tc>
          <w:tcPr>
            <w:tcW w:type="dxa" w:w="2381"/>
            <w:shd w:val="clear" w:color="auto" w:fill="F5F7FA"/>
          </w:tcPr>
          <w:p>
            <w:pPr>
              <w:spacing w:after="40"/>
            </w:pPr>
            <w:r/>
            <w:r>
              <w:rPr>
                <w:sz w:val="19"/>
              </w:rPr>
              <w:t>Closed; CA-2026-002 partially effective → OFI-2026-05</w:t>
            </w:r>
          </w:p>
        </w:tc>
      </w:tr>
      <w:tr>
        <w:tc>
          <w:tcPr>
            <w:tcW w:type="dxa" w:w="1531"/>
          </w:tcPr>
          <w:p>
            <w:pPr>
              <w:spacing w:after="40"/>
            </w:pPr>
            <w:r/>
            <w:r>
              <w:rPr>
                <w:sz w:val="19"/>
              </w:rPr>
              <w:t>NC-2026-003</w:t>
            </w:r>
          </w:p>
        </w:tc>
        <w:tc>
          <w:tcPr>
            <w:tcW w:type="dxa" w:w="2268"/>
          </w:tcPr>
          <w:p>
            <w:pPr>
              <w:spacing w:after="40"/>
            </w:pPr>
            <w:r/>
            <w:r>
              <w:rPr>
                <w:sz w:val="19"/>
              </w:rPr>
              <w:t>CA-2026-004</w:t>
            </w:r>
          </w:p>
        </w:tc>
        <w:tc>
          <w:tcPr>
            <w:tcW w:type="dxa" w:w="1871"/>
          </w:tcPr>
          <w:p>
            <w:pPr>
              <w:spacing w:after="40"/>
            </w:pPr>
            <w:r/>
            <w:r>
              <w:rPr>
                <w:sz w:val="19"/>
              </w:rPr>
              <w:t>[Privacy and Legal Lead]</w:t>
            </w:r>
          </w:p>
        </w:tc>
        <w:tc>
          <w:tcPr>
            <w:tcW w:type="dxa" w:w="1304"/>
          </w:tcPr>
          <w:p>
            <w:pPr>
              <w:spacing w:after="40"/>
            </w:pPr>
            <w:r/>
            <w:r>
              <w:rPr>
                <w:sz w:val="19"/>
              </w:rPr>
              <w:t>2026-11-30</w:t>
            </w:r>
          </w:p>
        </w:tc>
        <w:tc>
          <w:tcPr>
            <w:tcW w:type="dxa" w:w="2381"/>
          </w:tcPr>
          <w:p>
            <w:pPr>
              <w:spacing w:after="40"/>
            </w:pPr>
            <w:r/>
            <w:r>
              <w:rPr>
                <w:sz w:val="19"/>
              </w:rPr>
              <w:t>In progress — clause agreed with vendor, signature pending</w:t>
            </w:r>
          </w:p>
        </w:tc>
      </w:tr>
      <w:tr>
        <w:tc>
          <w:tcPr>
            <w:tcW w:type="dxa" w:w="1531"/>
            <w:shd w:val="clear" w:color="auto" w:fill="F5F7FA"/>
          </w:tcPr>
          <w:p>
            <w:pPr>
              <w:spacing w:after="40"/>
            </w:pPr>
            <w:r/>
            <w:r>
              <w:rPr>
                <w:sz w:val="19"/>
              </w:rPr>
              <w:t>NC-2026-004</w:t>
            </w:r>
          </w:p>
        </w:tc>
        <w:tc>
          <w:tcPr>
            <w:tcW w:type="dxa" w:w="2268"/>
            <w:shd w:val="clear" w:color="auto" w:fill="F5F7FA"/>
          </w:tcPr>
          <w:p>
            <w:pPr>
              <w:spacing w:after="40"/>
            </w:pPr>
            <w:r/>
            <w:r>
              <w:rPr>
                <w:sz w:val="19"/>
              </w:rPr>
              <w:t>CA-2026-005</w:t>
            </w:r>
          </w:p>
        </w:tc>
        <w:tc>
          <w:tcPr>
            <w:tcW w:type="dxa" w:w="1871"/>
            <w:shd w:val="clear" w:color="auto" w:fill="F5F7FA"/>
          </w:tcPr>
          <w:p>
            <w:pPr>
              <w:spacing w:after="40"/>
            </w:pPr>
            <w:r/>
            <w:r>
              <w:rPr>
                <w:sz w:val="19"/>
              </w:rPr>
              <w:t>[People and Operations Lead]</w:t>
            </w:r>
          </w:p>
        </w:tc>
        <w:tc>
          <w:tcPr>
            <w:tcW w:type="dxa" w:w="1304"/>
            <w:shd w:val="clear" w:color="auto" w:fill="F5F7FA"/>
          </w:tcPr>
          <w:p>
            <w:pPr>
              <w:spacing w:after="40"/>
            </w:pPr>
            <w:r/>
            <w:r>
              <w:rPr>
                <w:sz w:val="19"/>
              </w:rPr>
              <w:t>2026-10-31</w:t>
            </w:r>
          </w:p>
        </w:tc>
        <w:tc>
          <w:tcPr>
            <w:tcW w:type="dxa" w:w="2381"/>
            <w:shd w:val="clear" w:color="auto" w:fill="F5F7FA"/>
          </w:tcPr>
          <w:p>
            <w:pPr>
              <w:spacing w:after="40"/>
            </w:pPr>
            <w:r/>
            <w:r>
              <w:rPr>
                <w:sz w:val="19"/>
              </w:rPr>
              <w:t>In progress — checklist live, reminder automation in test</w:t>
            </w:r>
          </w:p>
        </w:tc>
      </w:tr>
    </w:tbl>
    <w:p/>
    <w:p>
      <w:r>
        <w:rPr>
          <w:b/>
        </w:rPr>
        <w:t>Decision:</w:t>
      </w:r>
      <w:r>
        <w:rPr/>
        <w:t xml:space="preserve"> corrective-action plans accepted. Audit programme for November 2026 to September 2027 (IMS-REG-007 Internal Audit Programme and Checklist) approved.</w:t>
      </w:r>
    </w:p>
    <w:p>
      <w:pPr>
        <w:pStyle w:val="Heading2"/>
      </w:pPr>
      <w:r>
        <w:t>Item 5 — AI system performance and impact assessments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587"/>
            <w:shd w:val="clear" w:color="auto" w:fill="142B4C"/>
          </w:tcPr>
          <w:p>
            <w:r/>
            <w:r>
              <w:rPr>
                <w:b/>
                <w:color w:val="FFFFFF"/>
                <w:sz w:val="19"/>
              </w:rPr>
              <w:t>AI system</w:t>
            </w:r>
          </w:p>
        </w:tc>
        <w:tc>
          <w:tcPr>
            <w:tcW w:type="dxa" w:w="4195"/>
            <w:shd w:val="clear" w:color="auto" w:fill="142B4C"/>
          </w:tcPr>
          <w:p>
            <w:r/>
            <w:r>
              <w:rPr>
                <w:b/>
                <w:color w:val="FFFFFF"/>
                <w:sz w:val="19"/>
              </w:rPr>
              <w:t>Performance summary</w:t>
            </w:r>
          </w:p>
        </w:tc>
        <w:tc>
          <w:tcPr>
            <w:tcW w:type="dxa" w:w="3572"/>
            <w:shd w:val="clear" w:color="auto" w:fill="142B4C"/>
          </w:tcPr>
          <w:p>
            <w:r/>
            <w:r>
              <w:rPr>
                <w:b/>
                <w:color w:val="FFFFFF"/>
                <w:sz w:val="19"/>
              </w:rPr>
              <w:t>Impact assessment</w:t>
            </w:r>
          </w:p>
        </w:tc>
      </w:tr>
      <w:tr>
        <w:tc>
          <w:tcPr>
            <w:tcW w:type="dxa" w:w="1587"/>
          </w:tcPr>
          <w:p>
            <w:pPr>
              <w:spacing w:after="40"/>
            </w:pPr>
            <w:r/>
            <w:r>
              <w:rPr>
                <w:sz w:val="19"/>
              </w:rPr>
              <w:t>StoryFrame</w:t>
            </w:r>
          </w:p>
        </w:tc>
        <w:tc>
          <w:tcPr>
            <w:tcW w:type="dxa" w:w="4195"/>
          </w:tcPr>
          <w:p>
            <w:pPr>
              <w:spacing w:after="40"/>
            </w:pPr>
            <w:r/>
            <w:r>
              <w:rPr>
                <w:sz w:val="19"/>
              </w:rPr>
              <w:t>Content-safety canary pass rate 97–99% since August; 0 prohibited outputs delivered; label and credential coverage 100%.</w:t>
            </w:r>
          </w:p>
        </w:tc>
        <w:tc>
          <w:tcPr>
            <w:tcW w:type="dxa" w:w="3572"/>
          </w:tcPr>
          <w:p>
            <w:pPr>
              <w:spacing w:after="40"/>
            </w:pPr>
            <w:r/>
            <w:r>
              <w:rPr>
                <w:sz w:val="19"/>
              </w:rPr>
              <w:t>Re-assessed after INC-2026-007; likeness harm rated Major; new likeness check added.</w:t>
            </w:r>
          </w:p>
        </w:tc>
      </w:tr>
      <w:tr>
        <w:tc>
          <w:tcPr>
            <w:tcW w:type="dxa" w:w="1587"/>
            <w:shd w:val="clear" w:color="auto" w:fill="F5F7FA"/>
          </w:tcPr>
          <w:p>
            <w:pPr>
              <w:spacing w:after="40"/>
            </w:pPr>
            <w:r/>
            <w:r>
              <w:rPr>
                <w:sz w:val="19"/>
              </w:rPr>
              <w:t>ScriptMate</w:t>
            </w:r>
          </w:p>
        </w:tc>
        <w:tc>
          <w:tcPr>
            <w:tcW w:type="dxa" w:w="4195"/>
            <w:shd w:val="clear" w:color="auto" w:fill="F5F7FA"/>
          </w:tcPr>
          <w:p>
            <w:pPr>
              <w:spacing w:after="40"/>
            </w:pPr>
            <w:r/>
            <w:r>
              <w:rPr>
                <w:sz w:val="19"/>
              </w:rPr>
              <w:t>Hallucination rate on evaluation set 1.8% (target ≤ 3%); no cross-customer leakage found in quarterly test.</w:t>
            </w:r>
          </w:p>
        </w:tc>
        <w:tc>
          <w:tcPr>
            <w:tcW w:type="dxa" w:w="3572"/>
            <w:shd w:val="clear" w:color="auto" w:fill="F5F7FA"/>
          </w:tcPr>
          <w:p>
            <w:pPr>
              <w:spacing w:after="40"/>
            </w:pPr>
            <w:r/>
            <w:r>
              <w:rPr>
                <w:sz w:val="19"/>
              </w:rPr>
              <w:t>No change; next review March 2027.</w:t>
            </w:r>
          </w:p>
        </w:tc>
      </w:tr>
      <w:tr>
        <w:tc>
          <w:tcPr>
            <w:tcW w:type="dxa" w:w="1587"/>
          </w:tcPr>
          <w:p>
            <w:pPr>
              <w:spacing w:after="40"/>
            </w:pPr>
            <w:r/>
            <w:r>
              <w:rPr>
                <w:sz w:val="19"/>
              </w:rPr>
              <w:t>ArtistMatch</w:t>
            </w:r>
          </w:p>
        </w:tc>
        <w:tc>
          <w:tcPr>
            <w:tcW w:type="dxa" w:w="4195"/>
          </w:tcPr>
          <w:p>
            <w:pPr>
              <w:spacing w:after="40"/>
            </w:pPr>
            <w:r/>
            <w:r>
              <w:rPr>
                <w:sz w:val="19"/>
              </w:rPr>
              <w:t>Exposure ratio new vs established 0.79–0.86; non-English portfolios at parity.</w:t>
            </w:r>
          </w:p>
        </w:tc>
        <w:tc>
          <w:tcPr>
            <w:tcW w:type="dxa" w:w="3572"/>
          </w:tcPr>
          <w:p>
            <w:pPr>
              <w:spacing w:after="40"/>
            </w:pPr>
            <w:r/>
            <w:r>
              <w:rPr>
                <w:sz w:val="19"/>
              </w:rPr>
              <w:t>Updated June 2026 after INC-2026-005; transparency notice to be published.</w:t>
            </w:r>
          </w:p>
        </w:tc>
      </w:tr>
      <w:tr>
        <w:tc>
          <w:tcPr>
            <w:tcW w:type="dxa" w:w="1587"/>
            <w:shd w:val="clear" w:color="auto" w:fill="F5F7FA"/>
          </w:tcPr>
          <w:p>
            <w:pPr>
              <w:spacing w:after="40"/>
            </w:pPr>
            <w:r/>
            <w:r>
              <w:rPr>
                <w:sz w:val="19"/>
              </w:rPr>
              <w:t>SafeFrame</w:t>
            </w:r>
          </w:p>
        </w:tc>
        <w:tc>
          <w:tcPr>
            <w:tcW w:type="dxa" w:w="4195"/>
            <w:shd w:val="clear" w:color="auto" w:fill="F5F7FA"/>
          </w:tcPr>
          <w:p>
            <w:pPr>
              <w:spacing w:after="40"/>
            </w:pPr>
            <w:r/>
            <w:r>
              <w:rPr>
                <w:sz w:val="19"/>
              </w:rPr>
              <w:t>Pinned to previous version; vendor notice clause pending (CA-2026-004).</w:t>
            </w:r>
          </w:p>
        </w:tc>
        <w:tc>
          <w:tcPr>
            <w:tcW w:type="dxa" w:w="3572"/>
            <w:shd w:val="clear" w:color="auto" w:fill="F5F7FA"/>
          </w:tcPr>
          <w:p>
            <w:pPr>
              <w:spacing w:after="40"/>
            </w:pPr>
            <w:r/>
            <w:r>
              <w:rPr>
                <w:sz w:val="19"/>
              </w:rPr>
              <w:t>Supplier-side risk remains the main driver of RSK-AI-005.</w:t>
            </w:r>
          </w:p>
        </w:tc>
      </w:tr>
      <w:tr>
        <w:tc>
          <w:tcPr>
            <w:tcW w:type="dxa" w:w="1587"/>
          </w:tcPr>
          <w:p>
            <w:pPr>
              <w:spacing w:after="40"/>
            </w:pPr>
            <w:r/>
            <w:r>
              <w:rPr>
                <w:sz w:val="19"/>
              </w:rPr>
              <w:t>CodeAssist</w:t>
            </w:r>
          </w:p>
        </w:tc>
        <w:tc>
          <w:tcPr>
            <w:tcW w:type="dxa" w:w="4195"/>
          </w:tcPr>
          <w:p>
            <w:pPr>
              <w:spacing w:after="40"/>
            </w:pPr>
            <w:r/>
            <w:r>
              <w:rPr>
                <w:sz w:val="19"/>
              </w:rPr>
              <w:t>Business plan, no training on our code; secret-leak alerts 1 (INC-2026-008 was not from this tool).</w:t>
            </w:r>
          </w:p>
        </w:tc>
        <w:tc>
          <w:tcPr>
            <w:tcW w:type="dxa" w:w="3572"/>
          </w:tcPr>
          <w:p>
            <w:pPr>
              <w:spacing w:after="40"/>
            </w:pPr>
            <w:r/>
            <w:r>
              <w:rPr>
                <w:sz w:val="19"/>
              </w:rPr>
              <w:t>Not required (internal use, low impact).</w:t>
            </w:r>
          </w:p>
        </w:tc>
      </w:tr>
    </w:tbl>
    <w:p/>
    <w:p>
      <w:pPr>
        <w:pStyle w:val="Heading2"/>
      </w:pPr>
      <w:r>
        <w:t>Item 6 — Incidents</w:t>
      </w:r>
    </w:p>
    <w:p>
      <w:r>
        <w:rPr/>
        <w:t>Ten incidents and events logged in 2026 to date: one S2, six S3, three S4; no S1; no regulator notification required. INC-2026-007 (SafeFrame missed a real-person deepfake after a vendor model update) was discussed in detail: detected by our own canary, contained the same morning, customer informed the same day. Lessons are being implemented through CA-2026-004 and IMP-2026-05 (second moderation vendor evaluation).</w:t>
      </w:r>
    </w:p>
    <w:p>
      <w:pPr>
        <w:pStyle w:val="Heading2"/>
      </w:pPr>
      <w:r>
        <w:t>Item 7 — Risks, risk treatment and Statements of Applicability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361"/>
            <w:shd w:val="clear" w:color="auto" w:fill="142B4C"/>
          </w:tcPr>
          <w:p>
            <w:r/>
            <w:r>
              <w:rPr>
                <w:b/>
                <w:color w:val="FFFFFF"/>
                <w:sz w:val="19"/>
              </w:rPr>
              <w:t>Risk</w:t>
            </w:r>
          </w:p>
        </w:tc>
        <w:tc>
          <w:tcPr>
            <w:tcW w:type="dxa" w:w="4195"/>
            <w:shd w:val="clear" w:color="auto" w:fill="142B4C"/>
          </w:tcPr>
          <w:p>
            <w:r/>
            <w:r>
              <w:rPr>
                <w:b/>
                <w:color w:val="FFFFFF"/>
                <w:sz w:val="19"/>
              </w:rPr>
              <w:t>Title</w:t>
            </w:r>
          </w:p>
        </w:tc>
        <w:tc>
          <w:tcPr>
            <w:tcW w:type="dxa" w:w="1587"/>
            <w:shd w:val="clear" w:color="auto" w:fill="142B4C"/>
          </w:tcPr>
          <w:p>
            <w:r/>
            <w:r>
              <w:rPr>
                <w:b/>
                <w:color w:val="FFFFFF"/>
                <w:sz w:val="19"/>
              </w:rPr>
              <w:t>Owner</w:t>
            </w:r>
          </w:p>
        </w:tc>
        <w:tc>
          <w:tcPr>
            <w:tcW w:type="dxa" w:w="1134"/>
            <w:shd w:val="clear" w:color="auto" w:fill="142B4C"/>
          </w:tcPr>
          <w:p>
            <w:r/>
            <w:r>
              <w:rPr>
                <w:b/>
                <w:color w:val="FFFFFF"/>
                <w:sz w:val="19"/>
              </w:rPr>
              <w:t>Inherent</w:t>
            </w:r>
          </w:p>
        </w:tc>
        <w:tc>
          <w:tcPr>
            <w:tcW w:type="dxa" w:w="1134"/>
            <w:shd w:val="clear" w:color="auto" w:fill="142B4C"/>
          </w:tcPr>
          <w:p>
            <w:r/>
            <w:r>
              <w:rPr>
                <w:b/>
                <w:color w:val="FFFFFF"/>
                <w:sz w:val="19"/>
              </w:rPr>
              <w:t>Residual</w:t>
            </w:r>
          </w:p>
        </w:tc>
      </w:tr>
      <w:tr>
        <w:tc>
          <w:tcPr>
            <w:tcW w:type="dxa" w:w="1361"/>
          </w:tcPr>
          <w:p>
            <w:pPr>
              <w:spacing w:after="40"/>
            </w:pPr>
            <w:r/>
            <w:r>
              <w:rPr>
                <w:sz w:val="19"/>
              </w:rPr>
              <w:t>RSK-AI-005</w:t>
            </w:r>
          </w:p>
        </w:tc>
        <w:tc>
          <w:tcPr>
            <w:tcW w:type="dxa" w:w="4195"/>
          </w:tcPr>
          <w:p>
            <w:pPr>
              <w:spacing w:after="40"/>
            </w:pPr>
            <w:r/>
            <w:r>
              <w:rPr>
                <w:sz w:val="19"/>
              </w:rPr>
              <w:t>SafeFrame vendor model update silently lowers detection of prohibited content</w:t>
            </w:r>
          </w:p>
        </w:tc>
        <w:tc>
          <w:tcPr>
            <w:tcW w:type="dxa" w:w="1587"/>
          </w:tcPr>
          <w:p>
            <w:pPr>
              <w:spacing w:after="40"/>
            </w:pPr>
            <w:r/>
            <w:r>
              <w:rPr>
                <w:sz w:val="19"/>
              </w:rPr>
              <w:t>[Creative Director]</w:t>
            </w:r>
          </w:p>
        </w:tc>
        <w:tc>
          <w:tcPr>
            <w:tcW w:type="dxa" w:w="1134"/>
          </w:tcPr>
          <w:p>
            <w:pPr>
              <w:spacing w:after="40"/>
            </w:pPr>
            <w:r/>
            <w:r>
              <w:rPr>
                <w:sz w:val="19"/>
              </w:rPr>
              <w:t>15 High</w:t>
            </w:r>
          </w:p>
        </w:tc>
        <w:tc>
          <w:tcPr>
            <w:tcW w:type="dxa" w:w="1134"/>
          </w:tcPr>
          <w:p>
            <w:pPr>
              <w:spacing w:after="40"/>
            </w:pPr>
            <w:r/>
            <w:r>
              <w:rPr>
                <w:sz w:val="19"/>
              </w:rPr>
              <w:t>10 High</w:t>
            </w:r>
          </w:p>
        </w:tc>
      </w:tr>
      <w:tr>
        <w:tc>
          <w:tcPr>
            <w:tcW w:type="dxa" w:w="1361"/>
            <w:shd w:val="clear" w:color="auto" w:fill="F5F7FA"/>
          </w:tcPr>
          <w:p>
            <w:pPr>
              <w:spacing w:after="40"/>
            </w:pPr>
            <w:r/>
            <w:r>
              <w:rPr>
                <w:sz w:val="19"/>
              </w:rPr>
              <w:t>RSK-AI-001</w:t>
            </w:r>
          </w:p>
        </w:tc>
        <w:tc>
          <w:tcPr>
            <w:tcW w:type="dxa" w:w="4195"/>
            <w:shd w:val="clear" w:color="auto" w:fill="F5F7FA"/>
          </w:tcPr>
          <w:p>
            <w:pPr>
              <w:spacing w:after="40"/>
            </w:pPr>
            <w:r/>
            <w:r>
              <w:rPr>
                <w:sz w:val="19"/>
              </w:rPr>
              <w:t>StoryFrame fine-tuning set contains artwork without valid consent or licence</w:t>
            </w:r>
          </w:p>
        </w:tc>
        <w:tc>
          <w:tcPr>
            <w:tcW w:type="dxa" w:w="1587"/>
            <w:shd w:val="clear" w:color="auto" w:fill="F5F7FA"/>
          </w:tcPr>
          <w:p>
            <w:pPr>
              <w:spacing w:after="40"/>
            </w:pPr>
            <w:r/>
            <w:r>
              <w:rPr>
                <w:sz w:val="19"/>
              </w:rPr>
              <w:t>[Data and ML Lead]</w:t>
            </w:r>
          </w:p>
        </w:tc>
        <w:tc>
          <w:tcPr>
            <w:tcW w:type="dxa" w:w="1134"/>
            <w:shd w:val="clear" w:color="auto" w:fill="F5F7FA"/>
          </w:tcPr>
          <w:p>
            <w:pPr>
              <w:spacing w:after="40"/>
            </w:pPr>
            <w:r/>
            <w:r>
              <w:rPr>
                <w:sz w:val="19"/>
              </w:rPr>
              <w:t>16 Critical</w:t>
            </w:r>
          </w:p>
        </w:tc>
        <w:tc>
          <w:tcPr>
            <w:tcW w:type="dxa" w:w="1134"/>
            <w:shd w:val="clear" w:color="auto" w:fill="F5F7FA"/>
          </w:tcPr>
          <w:p>
            <w:pPr>
              <w:spacing w:after="40"/>
            </w:pPr>
            <w:r/>
            <w:r>
              <w:rPr>
                <w:sz w:val="19"/>
              </w:rPr>
              <w:t>8 Medium</w:t>
            </w:r>
          </w:p>
        </w:tc>
      </w:tr>
      <w:tr>
        <w:tc>
          <w:tcPr>
            <w:tcW w:type="dxa" w:w="1361"/>
          </w:tcPr>
          <w:p>
            <w:pPr>
              <w:spacing w:after="40"/>
            </w:pPr>
            <w:r/>
            <w:r>
              <w:rPr>
                <w:sz w:val="19"/>
              </w:rPr>
              <w:t>RSK-AI-002</w:t>
            </w:r>
          </w:p>
        </w:tc>
        <w:tc>
          <w:tcPr>
            <w:tcW w:type="dxa" w:w="4195"/>
          </w:tcPr>
          <w:p>
            <w:pPr>
              <w:spacing w:after="40"/>
            </w:pPr>
            <w:r/>
            <w:r>
              <w:rPr>
                <w:sz w:val="19"/>
              </w:rPr>
              <w:t>Prompt or filter bypass lets StoryFrame produce a deceptive deepfake of a real person</w:t>
            </w:r>
          </w:p>
        </w:tc>
        <w:tc>
          <w:tcPr>
            <w:tcW w:type="dxa" w:w="1587"/>
          </w:tcPr>
          <w:p>
            <w:pPr>
              <w:spacing w:after="40"/>
            </w:pPr>
            <w:r/>
            <w:r>
              <w:rPr>
                <w:sz w:val="19"/>
              </w:rPr>
              <w:t>[Head of AI]</w:t>
            </w:r>
          </w:p>
        </w:tc>
        <w:tc>
          <w:tcPr>
            <w:tcW w:type="dxa" w:w="1134"/>
          </w:tcPr>
          <w:p>
            <w:pPr>
              <w:spacing w:after="40"/>
            </w:pPr>
            <w:r/>
            <w:r>
              <w:rPr>
                <w:sz w:val="19"/>
              </w:rPr>
              <w:t>15 High</w:t>
            </w:r>
          </w:p>
        </w:tc>
        <w:tc>
          <w:tcPr>
            <w:tcW w:type="dxa" w:w="1134"/>
          </w:tcPr>
          <w:p>
            <w:pPr>
              <w:spacing w:after="40"/>
            </w:pPr>
            <w:r/>
            <w:r>
              <w:rPr>
                <w:sz w:val="19"/>
              </w:rPr>
              <w:t>8 Medium</w:t>
            </w:r>
          </w:p>
        </w:tc>
      </w:tr>
      <w:tr>
        <w:tc>
          <w:tcPr>
            <w:tcW w:type="dxa" w:w="1361"/>
            <w:shd w:val="clear" w:color="auto" w:fill="F5F7FA"/>
          </w:tcPr>
          <w:p>
            <w:pPr>
              <w:spacing w:after="40"/>
            </w:pPr>
            <w:r/>
            <w:r>
              <w:rPr>
                <w:sz w:val="19"/>
              </w:rPr>
              <w:t>RSK-IS-002</w:t>
            </w:r>
          </w:p>
        </w:tc>
        <w:tc>
          <w:tcPr>
            <w:tcW w:type="dxa" w:w="4195"/>
            <w:shd w:val="clear" w:color="auto" w:fill="F5F7FA"/>
          </w:tcPr>
          <w:p>
            <w:pPr>
              <w:spacing w:after="40"/>
            </w:pPr>
            <w:r/>
            <w:r>
              <w:rPr>
                <w:sz w:val="19"/>
              </w:rPr>
              <w:t>Account takeover of an engineer through phishing leads to production access</w:t>
            </w:r>
          </w:p>
        </w:tc>
        <w:tc>
          <w:tcPr>
            <w:tcW w:type="dxa" w:w="1587"/>
            <w:shd w:val="clear" w:color="auto" w:fill="F5F7FA"/>
          </w:tcPr>
          <w:p>
            <w:pPr>
              <w:spacing w:after="40"/>
            </w:pPr>
            <w:r/>
            <w:r>
              <w:rPr>
                <w:sz w:val="19"/>
              </w:rPr>
              <w:t>[Security Lead]</w:t>
            </w:r>
          </w:p>
        </w:tc>
        <w:tc>
          <w:tcPr>
            <w:tcW w:type="dxa" w:w="1134"/>
            <w:shd w:val="clear" w:color="auto" w:fill="F5F7FA"/>
          </w:tcPr>
          <w:p>
            <w:pPr>
              <w:spacing w:after="40"/>
            </w:pPr>
            <w:r/>
            <w:r>
              <w:rPr>
                <w:sz w:val="19"/>
              </w:rPr>
              <w:t>15 High</w:t>
            </w:r>
          </w:p>
        </w:tc>
        <w:tc>
          <w:tcPr>
            <w:tcW w:type="dxa" w:w="1134"/>
            <w:shd w:val="clear" w:color="auto" w:fill="F5F7FA"/>
          </w:tcPr>
          <w:p>
            <w:pPr>
              <w:spacing w:after="40"/>
            </w:pPr>
            <w:r/>
            <w:r>
              <w:rPr>
                <w:sz w:val="19"/>
              </w:rPr>
              <w:t>5 Medium</w:t>
            </w:r>
          </w:p>
        </w:tc>
      </w:tr>
      <w:tr>
        <w:tc>
          <w:tcPr>
            <w:tcW w:type="dxa" w:w="1361"/>
          </w:tcPr>
          <w:p>
            <w:pPr>
              <w:spacing w:after="40"/>
            </w:pPr>
            <w:r/>
            <w:r>
              <w:rPr>
                <w:sz w:val="19"/>
              </w:rPr>
              <w:t>RSK-IS-004</w:t>
            </w:r>
          </w:p>
        </w:tc>
        <w:tc>
          <w:tcPr>
            <w:tcW w:type="dxa" w:w="4195"/>
          </w:tcPr>
          <w:p>
            <w:pPr>
              <w:spacing w:after="40"/>
            </w:pPr>
            <w:r/>
            <w:r>
              <w:rPr>
                <w:sz w:val="19"/>
              </w:rPr>
              <w:t>Loss of the primary cloud region stops Canvas and the API for more than a day</w:t>
            </w:r>
          </w:p>
        </w:tc>
        <w:tc>
          <w:tcPr>
            <w:tcW w:type="dxa" w:w="1587"/>
          </w:tcPr>
          <w:p>
            <w:pPr>
              <w:spacing w:after="40"/>
            </w:pPr>
            <w:r/>
            <w:r>
              <w:rPr>
                <w:sz w:val="19"/>
              </w:rPr>
              <w:t>[Platform Engineer]</w:t>
            </w:r>
          </w:p>
        </w:tc>
        <w:tc>
          <w:tcPr>
            <w:tcW w:type="dxa" w:w="1134"/>
          </w:tcPr>
          <w:p>
            <w:pPr>
              <w:spacing w:after="40"/>
            </w:pPr>
            <w:r/>
            <w:r>
              <w:rPr>
                <w:sz w:val="19"/>
              </w:rPr>
              <w:t>8 Medium</w:t>
            </w:r>
          </w:p>
        </w:tc>
        <w:tc>
          <w:tcPr>
            <w:tcW w:type="dxa" w:w="1134"/>
          </w:tcPr>
          <w:p>
            <w:pPr>
              <w:spacing w:after="40"/>
            </w:pPr>
            <w:r/>
            <w:r>
              <w:rPr>
                <w:sz w:val="19"/>
              </w:rPr>
              <w:t>4 Low</w:t>
            </w:r>
          </w:p>
        </w:tc>
      </w:tr>
    </w:tbl>
    <w:p/>
    <w:p>
      <w:r>
        <w:rPr>
          <w:b/>
        </w:rPr>
        <w:t>RSK-AI-005:</w:t>
      </w:r>
      <w:r>
        <w:rPr/>
        <w:t xml:space="preserve"> residual score 2×5 = 10 (High) remains above our Medium threshold because impact stays at 5 until the vendor is contractually bound to notify model changes. [Creative Director] (risk owner) and [Head of AI] proposed time-limited acceptance.</w:t>
      </w:r>
    </w:p>
    <w:p>
      <w:r>
        <w:rPr>
          <w:b/>
        </w:rPr>
        <w:t>Decision:</w:t>
      </w:r>
      <w:r>
        <w:rPr/>
        <w:t xml:space="preserve"> the Trust Council </w:t>
      </w:r>
      <w:r>
        <w:rPr>
          <w:b/>
        </w:rPr>
        <w:t>accepts the residual High risk RSK-AI-005 until 2027-01-31</w:t>
      </w:r>
      <w:r>
        <w:rPr/>
        <w:t>, pending completion and effectiveness check of CA-2026-004, on three conditions: daily canary testing continues; our own likeness check stays in front of image delivery; any canary drop greater than 3 points triggers the SafeFrame fail-closed switch. If CA-2026-004 is not effective by 2027-01-31, the acceptance lapses and the Council will decide on a second-vendor architecture.</w:t>
      </w:r>
    </w:p>
    <w:p>
      <w:r>
        <w:rPr>
          <w:b/>
        </w:rPr>
        <w:t>Decision:</w:t>
      </w:r>
      <w:r>
        <w:rPr/>
        <w:t xml:space="preserve"> the Statements of Applicability (IMS-SOA-001 Statement of Applicability — ISO/IEC 27001:2022 Annex A and IMS-SOA-002 Statement of Applicability — ISO/IEC 42001:2023 Annex A) are </w:t>
      </w:r>
      <w:r>
        <w:rPr>
          <w:b/>
        </w:rPr>
        <w:t>approved</w:t>
      </w:r>
      <w:r>
        <w:rPr/>
        <w:t xml:space="preserve"> as presented on 2026-10-21, including the added supplier model-change control description.</w:t>
      </w:r>
    </w:p>
    <w:p>
      <w:pPr>
        <w:pStyle w:val="Heading2"/>
      </w:pPr>
      <w:r>
        <w:t>Item 8 — Opportunities for improvement and resources</w:t>
      </w:r>
    </w:p>
    <w:p>
      <w:pPr>
        <w:pStyle w:val="ListBullet"/>
        <w:spacing w:after="60"/>
      </w:pPr>
      <w:r>
        <w:rPr/>
        <w:t>OFI-2026-05 (automatic fairness alerting) adopted; due 2026-12-15.</w:t>
      </w:r>
    </w:p>
    <w:p>
      <w:pPr>
        <w:pStyle w:val="ListBullet"/>
        <w:spacing w:after="60"/>
      </w:pPr>
      <w:r>
        <w:rPr/>
        <w:t xml:space="preserve">IMP-2026-05: budget of </w:t>
      </w:r>
      <w:r>
        <w:rPr>
          <w:highlight w:val="yellow"/>
        </w:rPr>
        <w:t>[USD amount]</w:t>
      </w:r>
      <w:r>
        <w:rPr/>
        <w:t xml:space="preserve"> approved to evaluate a second moderation vendor in parallel.</w:t>
      </w:r>
    </w:p>
    <w:p>
      <w:pPr>
        <w:pStyle w:val="ListBullet"/>
        <w:spacing w:after="60"/>
      </w:pPr>
      <w:r>
        <w:rPr/>
        <w:t>OFI-2026-04 (standard supplier questionnaire) deferred to Q1 2027.</w:t>
      </w:r>
    </w:p>
    <w:p>
      <w:pPr>
        <w:pStyle w:val="ListBullet"/>
        <w:spacing w:after="60"/>
      </w:pPr>
      <w:r>
        <w:rPr/>
        <w:t>Resources: approve 0.5 FTE compliance support from January 2027 for certification preparation.</w:t>
      </w:r>
    </w:p>
    <w:p>
      <w:pPr>
        <w:pStyle w:val="Heading2"/>
      </w:pPr>
      <w:r>
        <w:t>Conclusion</w:t>
      </w:r>
    </w:p>
    <w:p>
      <w:r>
        <w:rPr/>
        <w:t xml:space="preserve">The Trust Council concluded that the integrated management system is </w:t>
      </w:r>
      <w:r>
        <w:rPr>
          <w:b/>
        </w:rPr>
        <w:t>suitable</w:t>
      </w:r>
      <w:r>
        <w:rPr/>
        <w:t xml:space="preserve"> for our business and AI activities, </w:t>
      </w:r>
      <w:r>
        <w:rPr>
          <w:b/>
        </w:rPr>
        <w:t>adequate</w:t>
      </w:r>
      <w:r>
        <w:rPr/>
        <w:t xml:space="preserve"> with the corrective actions above, and </w:t>
      </w:r>
      <w:r>
        <w:rPr>
          <w:b/>
        </w:rPr>
        <w:t>effective</w:t>
      </w:r>
      <w:r>
        <w:rPr/>
        <w:t>: incidents were detected and handled well, the first full audit found no major nonconformities, and most objectives are met or on track. Supplier AI governance is the main area to strengthen.</w:t>
      </w:r>
    </w:p>
    <w:p>
      <w:pPr>
        <w:pStyle w:val="Heading2"/>
      </w:pPr>
      <w:r>
        <w:t>Actions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814"/>
            <w:shd w:val="clear" w:color="auto" w:fill="142B4C"/>
          </w:tcPr>
          <w:p>
            <w:r/>
            <w:r>
              <w:rPr>
                <w:b/>
                <w:color w:val="FFFFFF"/>
                <w:sz w:val="19"/>
              </w:rPr>
              <w:t>Ref</w:t>
            </w:r>
          </w:p>
        </w:tc>
        <w:tc>
          <w:tcPr>
            <w:tcW w:type="dxa" w:w="4706"/>
            <w:shd w:val="clear" w:color="auto" w:fill="142B4C"/>
          </w:tcPr>
          <w:p>
            <w:r/>
            <w:r>
              <w:rPr>
                <w:b/>
                <w:color w:val="FFFFFF"/>
                <w:sz w:val="19"/>
              </w:rPr>
              <w:t>Action</w:t>
            </w:r>
          </w:p>
        </w:tc>
        <w:tc>
          <w:tcPr>
            <w:tcW w:type="dxa" w:w="1701"/>
            <w:shd w:val="clear" w:color="auto" w:fill="142B4C"/>
          </w:tcPr>
          <w:p>
            <w:r/>
            <w:r>
              <w:rPr>
                <w:b/>
                <w:color w:val="FFFFFF"/>
                <w:sz w:val="19"/>
              </w:rPr>
              <w:t>Owner</w:t>
            </w:r>
          </w:p>
        </w:tc>
        <w:tc>
          <w:tcPr>
            <w:tcW w:type="dxa" w:w="1134"/>
            <w:shd w:val="clear" w:color="auto" w:fill="142B4C"/>
          </w:tcPr>
          <w:p>
            <w:r/>
            <w:r>
              <w:rPr>
                <w:b/>
                <w:color w:val="FFFFFF"/>
                <w:sz w:val="19"/>
              </w:rPr>
              <w:t>Due</w:t>
            </w:r>
          </w:p>
        </w:tc>
      </w:tr>
      <w:tr>
        <w:tc>
          <w:tcPr>
            <w:tcW w:type="dxa" w:w="1814"/>
          </w:tcPr>
          <w:p>
            <w:pPr>
              <w:spacing w:after="40"/>
            </w:pPr>
            <w:r/>
            <w:r>
              <w:rPr>
                <w:sz w:val="19"/>
              </w:rPr>
              <w:t>MR-2026-02-A1</w:t>
            </w:r>
          </w:p>
        </w:tc>
        <w:tc>
          <w:tcPr>
            <w:tcW w:type="dxa" w:w="4706"/>
          </w:tcPr>
          <w:p>
            <w:pPr>
              <w:spacing w:after="40"/>
            </w:pPr>
            <w:r/>
            <w:r>
              <w:rPr>
                <w:sz w:val="19"/>
              </w:rPr>
              <w:t>Update context and interested-party register with item 2 changes</w:t>
            </w:r>
          </w:p>
        </w:tc>
        <w:tc>
          <w:tcPr>
            <w:tcW w:type="dxa" w:w="1701"/>
          </w:tcPr>
          <w:p>
            <w:pPr>
              <w:spacing w:after="40"/>
            </w:pPr>
            <w:r/>
            <w:r>
              <w:rPr>
                <w:sz w:val="19"/>
              </w:rPr>
              <w:t>[Compliance Coordinator]</w:t>
            </w:r>
          </w:p>
        </w:tc>
        <w:tc>
          <w:tcPr>
            <w:tcW w:type="dxa" w:w="1134"/>
          </w:tcPr>
          <w:p>
            <w:pPr>
              <w:spacing w:after="40"/>
            </w:pPr>
            <w:r/>
            <w:r>
              <w:rPr>
                <w:sz w:val="19"/>
              </w:rPr>
              <w:t>2026-11-15</w:t>
            </w:r>
          </w:p>
        </w:tc>
      </w:tr>
      <w:tr>
        <w:tc>
          <w:tcPr>
            <w:tcW w:type="dxa" w:w="1814"/>
            <w:shd w:val="clear" w:color="auto" w:fill="F5F7FA"/>
          </w:tcPr>
          <w:p>
            <w:pPr>
              <w:spacing w:after="40"/>
            </w:pPr>
            <w:r/>
            <w:r>
              <w:rPr>
                <w:sz w:val="19"/>
              </w:rPr>
              <w:t>MR-2026-02-A2</w:t>
            </w:r>
          </w:p>
        </w:tc>
        <w:tc>
          <w:tcPr>
            <w:tcW w:type="dxa" w:w="4706"/>
            <w:shd w:val="clear" w:color="auto" w:fill="F5F7FA"/>
          </w:tcPr>
          <w:p>
            <w:pPr>
              <w:spacing w:after="40"/>
            </w:pPr>
            <w:r/>
            <w:r>
              <w:rPr>
                <w:sz w:val="19"/>
              </w:rPr>
              <w:t>Publish plain-language explanation of how ArtistMatch ranks artists</w:t>
            </w:r>
          </w:p>
        </w:tc>
        <w:tc>
          <w:tcPr>
            <w:tcW w:type="dxa" w:w="1701"/>
            <w:shd w:val="clear" w:color="auto" w:fill="F5F7FA"/>
          </w:tcPr>
          <w:p>
            <w:pPr>
              <w:spacing w:after="40"/>
            </w:pPr>
            <w:r/>
            <w:r>
              <w:rPr>
                <w:sz w:val="19"/>
              </w:rPr>
              <w:t>[Head of AI]</w:t>
            </w:r>
          </w:p>
        </w:tc>
        <w:tc>
          <w:tcPr>
            <w:tcW w:type="dxa" w:w="1134"/>
            <w:shd w:val="clear" w:color="auto" w:fill="F5F7FA"/>
          </w:tcPr>
          <w:p>
            <w:pPr>
              <w:spacing w:after="40"/>
            </w:pPr>
            <w:r/>
            <w:r>
              <w:rPr>
                <w:sz w:val="19"/>
              </w:rPr>
              <w:t>2026-12-31</w:t>
            </w:r>
          </w:p>
        </w:tc>
      </w:tr>
      <w:tr>
        <w:tc>
          <w:tcPr>
            <w:tcW w:type="dxa" w:w="1814"/>
          </w:tcPr>
          <w:p>
            <w:pPr>
              <w:spacing w:after="40"/>
            </w:pPr>
            <w:r/>
            <w:r>
              <w:rPr>
                <w:sz w:val="19"/>
              </w:rPr>
              <w:t>MR-2026-02-A3</w:t>
            </w:r>
          </w:p>
        </w:tc>
        <w:tc>
          <w:tcPr>
            <w:tcW w:type="dxa" w:w="4706"/>
          </w:tcPr>
          <w:p>
            <w:pPr>
              <w:spacing w:after="40"/>
            </w:pPr>
            <w:r/>
            <w:r>
              <w:rPr>
                <w:sz w:val="19"/>
              </w:rPr>
              <w:t>Complete CA-2026-004 and report effectiveness to the Trust Council</w:t>
            </w:r>
          </w:p>
        </w:tc>
        <w:tc>
          <w:tcPr>
            <w:tcW w:type="dxa" w:w="1701"/>
          </w:tcPr>
          <w:p>
            <w:pPr>
              <w:spacing w:after="40"/>
            </w:pPr>
            <w:r/>
            <w:r>
              <w:rPr>
                <w:sz w:val="19"/>
              </w:rPr>
              <w:t>[Privacy and Legal Lead]</w:t>
            </w:r>
          </w:p>
        </w:tc>
        <w:tc>
          <w:tcPr>
            <w:tcW w:type="dxa" w:w="1134"/>
          </w:tcPr>
          <w:p>
            <w:pPr>
              <w:spacing w:after="40"/>
            </w:pPr>
            <w:r/>
            <w:r>
              <w:rPr>
                <w:sz w:val="19"/>
              </w:rPr>
              <w:t>2027-01-31</w:t>
            </w:r>
          </w:p>
        </w:tc>
      </w:tr>
      <w:tr>
        <w:tc>
          <w:tcPr>
            <w:tcW w:type="dxa" w:w="1814"/>
            <w:shd w:val="clear" w:color="auto" w:fill="F5F7FA"/>
          </w:tcPr>
          <w:p>
            <w:pPr>
              <w:spacing w:after="40"/>
            </w:pPr>
            <w:r/>
            <w:r>
              <w:rPr>
                <w:sz w:val="19"/>
              </w:rPr>
              <w:t>MR-2026-02-A4</w:t>
            </w:r>
          </w:p>
        </w:tc>
        <w:tc>
          <w:tcPr>
            <w:tcW w:type="dxa" w:w="4706"/>
            <w:shd w:val="clear" w:color="auto" w:fill="F5F7FA"/>
          </w:tcPr>
          <w:p>
            <w:pPr>
              <w:spacing w:after="40"/>
            </w:pPr>
            <w:r/>
            <w:r>
              <w:rPr>
                <w:sz w:val="19"/>
              </w:rPr>
              <w:t>Re-decide acceptance of RSK-AI-005 at the January Trust Council</w:t>
            </w:r>
          </w:p>
        </w:tc>
        <w:tc>
          <w:tcPr>
            <w:tcW w:type="dxa" w:w="1701"/>
            <w:shd w:val="clear" w:color="auto" w:fill="F5F7FA"/>
          </w:tcPr>
          <w:p>
            <w:pPr>
              <w:spacing w:after="40"/>
            </w:pPr>
            <w:r/>
            <w:r>
              <w:rPr>
                <w:sz w:val="19"/>
              </w:rPr>
              <w:t>[CEO]</w:t>
            </w:r>
          </w:p>
        </w:tc>
        <w:tc>
          <w:tcPr>
            <w:tcW w:type="dxa" w:w="1134"/>
            <w:shd w:val="clear" w:color="auto" w:fill="F5F7FA"/>
          </w:tcPr>
          <w:p>
            <w:pPr>
              <w:spacing w:after="40"/>
            </w:pPr>
            <w:r/>
            <w:r>
              <w:rPr>
                <w:sz w:val="19"/>
              </w:rPr>
              <w:t>2027-01-31</w:t>
            </w:r>
          </w:p>
        </w:tc>
      </w:tr>
      <w:tr>
        <w:tc>
          <w:tcPr>
            <w:tcW w:type="dxa" w:w="1814"/>
          </w:tcPr>
          <w:p>
            <w:pPr>
              <w:spacing w:after="40"/>
            </w:pPr>
            <w:r/>
            <w:r>
              <w:rPr>
                <w:sz w:val="19"/>
              </w:rPr>
              <w:t>MR-2026-02-A5</w:t>
            </w:r>
          </w:p>
        </w:tc>
        <w:tc>
          <w:tcPr>
            <w:tcW w:type="dxa" w:w="4706"/>
          </w:tcPr>
          <w:p>
            <w:pPr>
              <w:spacing w:after="40"/>
            </w:pPr>
            <w:r/>
            <w:r>
              <w:rPr>
                <w:sz w:val="19"/>
              </w:rPr>
              <w:t>Replace legacy image-processing library (OBJ-04)</w:t>
            </w:r>
          </w:p>
        </w:tc>
        <w:tc>
          <w:tcPr>
            <w:tcW w:type="dxa" w:w="1701"/>
          </w:tcPr>
          <w:p>
            <w:pPr>
              <w:spacing w:after="40"/>
            </w:pPr>
            <w:r/>
            <w:r>
              <w:rPr>
                <w:sz w:val="19"/>
              </w:rPr>
              <w:t>[CTO]</w:t>
            </w:r>
          </w:p>
        </w:tc>
        <w:tc>
          <w:tcPr>
            <w:tcW w:type="dxa" w:w="1134"/>
          </w:tcPr>
          <w:p>
            <w:pPr>
              <w:spacing w:after="40"/>
            </w:pPr>
            <w:r/>
            <w:r>
              <w:rPr>
                <w:sz w:val="19"/>
              </w:rPr>
              <w:t>2027-03-31</w:t>
            </w:r>
          </w:p>
        </w:tc>
      </w:tr>
      <w:tr>
        <w:tc>
          <w:tcPr>
            <w:tcW w:type="dxa" w:w="1814"/>
            <w:shd w:val="clear" w:color="auto" w:fill="F5F7FA"/>
          </w:tcPr>
          <w:p>
            <w:pPr>
              <w:spacing w:after="40"/>
            </w:pPr>
            <w:r/>
            <w:r>
              <w:rPr>
                <w:sz w:val="19"/>
              </w:rPr>
              <w:t>MR-2026-02-A6</w:t>
            </w:r>
          </w:p>
        </w:tc>
        <w:tc>
          <w:tcPr>
            <w:tcW w:type="dxa" w:w="4706"/>
            <w:shd w:val="clear" w:color="auto" w:fill="F5F7FA"/>
          </w:tcPr>
          <w:p>
            <w:pPr>
              <w:spacing w:after="40"/>
            </w:pPr>
            <w:r/>
            <w:r>
              <w:rPr>
                <w:sz w:val="19"/>
              </w:rPr>
              <w:t>Run second-vendor moderation evaluation (IMP-2026-05)</w:t>
            </w:r>
          </w:p>
        </w:tc>
        <w:tc>
          <w:tcPr>
            <w:tcW w:type="dxa" w:w="1701"/>
            <w:shd w:val="clear" w:color="auto" w:fill="F5F7FA"/>
          </w:tcPr>
          <w:p>
            <w:pPr>
              <w:spacing w:after="40"/>
            </w:pPr>
            <w:r/>
            <w:r>
              <w:rPr>
                <w:sz w:val="19"/>
              </w:rPr>
              <w:t>[Creative Director]</w:t>
            </w:r>
          </w:p>
        </w:tc>
        <w:tc>
          <w:tcPr>
            <w:tcW w:type="dxa" w:w="1134"/>
            <w:shd w:val="clear" w:color="auto" w:fill="F5F7FA"/>
          </w:tcPr>
          <w:p>
            <w:pPr>
              <w:spacing w:after="40"/>
            </w:pPr>
            <w:r/>
            <w:r>
              <w:rPr>
                <w:sz w:val="19"/>
              </w:rPr>
              <w:t>2027-01-31</w:t>
            </w:r>
          </w:p>
        </w:tc>
      </w:tr>
      <w:tr>
        <w:tc>
          <w:tcPr>
            <w:tcW w:type="dxa" w:w="1814"/>
          </w:tcPr>
          <w:p>
            <w:pPr>
              <w:spacing w:after="40"/>
            </w:pPr>
            <w:r/>
            <w:r>
              <w:rPr>
                <w:sz w:val="19"/>
              </w:rPr>
              <w:t>MR-2026-02-A7</w:t>
            </w:r>
          </w:p>
        </w:tc>
        <w:tc>
          <w:tcPr>
            <w:tcW w:type="dxa" w:w="4706"/>
          </w:tcPr>
          <w:p>
            <w:pPr>
              <w:spacing w:after="40"/>
            </w:pPr>
            <w:r/>
            <w:r>
              <w:rPr>
                <w:sz w:val="19"/>
              </w:rPr>
              <w:t>Recruit 0.5 FTE compliance support</w:t>
            </w:r>
          </w:p>
        </w:tc>
        <w:tc>
          <w:tcPr>
            <w:tcW w:type="dxa" w:w="1701"/>
          </w:tcPr>
          <w:p>
            <w:pPr>
              <w:spacing w:after="40"/>
            </w:pPr>
            <w:r/>
            <w:r>
              <w:rPr>
                <w:sz w:val="19"/>
              </w:rPr>
              <w:t>[People and Operations Lead]</w:t>
            </w:r>
          </w:p>
        </w:tc>
        <w:tc>
          <w:tcPr>
            <w:tcW w:type="dxa" w:w="1134"/>
          </w:tcPr>
          <w:p>
            <w:pPr>
              <w:spacing w:after="40"/>
            </w:pPr>
            <w:r/>
            <w:r>
              <w:rPr>
                <w:sz w:val="19"/>
              </w:rPr>
              <w:t>2027-01-15</w:t>
            </w:r>
          </w:p>
        </w:tc>
      </w:tr>
    </w:tbl>
    <w:p/>
    <w:p>
      <w:r>
        <w:rPr/>
        <w:t xml:space="preserve">Next management review: April 2027. Minutes approved by [CEO], </w:t>
      </w:r>
      <w:r>
        <w:rPr>
          <w:highlight w:val="yellow"/>
        </w:rPr>
        <w:t>[date]</w:t>
      </w:r>
      <w:r>
        <w:rPr/>
        <w:t>.</w:t>
      </w:r>
    </w:p>
    <w:p>
      <w:pPr>
        <w:pStyle w:val="Heading1"/>
      </w:pPr>
      <w:r>
        <w:t>8. Records</w:t>
      </w:r>
    </w:p>
    <w:p>
      <w:pPr>
        <w:pStyle w:val="ListBullet"/>
        <w:spacing w:after="60"/>
      </w:pPr>
      <w:r>
        <w:rPr/>
        <w:t>Review pack and approved minutes, kept for at least 3 years.</w:t>
      </w:r>
    </w:p>
    <w:p>
      <w:pPr>
        <w:pStyle w:val="ListBullet"/>
        <w:spacing w:after="60"/>
      </w:pPr>
      <w:r>
        <w:rPr/>
        <w:t>Action tracker; risk acceptance decisions copied to IMS-REG-002 Integrated Risk Register and Treatment Plan.</w:t>
      </w:r>
    </w:p>
    <w:p>
      <w:pPr>
        <w:pStyle w:val="Heading1"/>
      </w:pPr>
      <w:r>
        <w:t>9. Related documents</w:t>
      </w:r>
    </w:p>
    <w:p>
      <w:pPr>
        <w:pStyle w:val="ListBullet"/>
        <w:spacing w:after="60"/>
      </w:pPr>
      <w:r>
        <w:rPr/>
        <w:t>IMS-GOV-001 Governance Charter, Roles and Responsibilities</w:t>
      </w:r>
    </w:p>
    <w:p>
      <w:pPr>
        <w:pStyle w:val="ListBullet"/>
        <w:spacing w:after="60"/>
      </w:pPr>
      <w:r>
        <w:rPr/>
        <w:t>IMS-REG-003 Objectives, Metrics and Monitoring Plan</w:t>
      </w:r>
    </w:p>
    <w:p>
      <w:pPr>
        <w:pStyle w:val="ListBullet"/>
        <w:spacing w:after="60"/>
      </w:pPr>
      <w:r>
        <w:rPr/>
        <w:t>IMS-REG-002 Integrated Risk Register and Treatment Plan</w:t>
      </w:r>
    </w:p>
    <w:p>
      <w:pPr>
        <w:pStyle w:val="ListBullet"/>
        <w:spacing w:after="60"/>
      </w:pPr>
      <w:r>
        <w:rPr/>
        <w:t>IMS-PRO-007 Internal Audit Procedure, Programme and Report Template</w:t>
      </w:r>
    </w:p>
    <w:p>
      <w:pPr>
        <w:pStyle w:val="ListBullet"/>
        <w:spacing w:after="60"/>
      </w:pPr>
      <w:r>
        <w:rPr/>
        <w:t>IMS-PRO-009 Nonconformity, Corrective Action and Improvement Procedure</w:t>
      </w:r>
    </w:p>
    <w:p>
      <w:pPr>
        <w:pStyle w:val="ListBullet"/>
        <w:spacing w:after="60"/>
      </w:pPr>
      <w:r>
        <w:rPr/>
        <w:t>IMS-REG-006 Incident and Event Log</w:t>
      </w:r>
    </w:p>
    <w:p>
      <w:pPr>
        <w:pStyle w:val="ListBullet"/>
        <w:spacing w:after="60"/>
      </w:pPr>
      <w:r>
        <w:rPr/>
        <w:t>IMS-REG-008 Nonconformity, Corrective Action and Improvement Log</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IMS-PRO-008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IMS-PRO-008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Review Procedure and Example Minutes</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