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Take-Home Assessment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B2631"/>
          <w:sz w:val="40"/>
          <w:szCs w:val="40"/>
        </w:rPr>
        <w:t xml:space="preserve">Data Analyst — Business Intelligence</w:t>
      </w:r>
    </w:p>
    <w:p>
      <w:pPr>
        <w:pBdr>
          <w:bottom w:val="single" w:color="1B4F72" w:sz="8" w:space="4"/>
        </w:pBdr>
        <w:spacing w:after="32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Ceylon Cash  ·  Confidential  ·  Estimated time: half a day</w:t>
      </w:r>
    </w:p>
    <w:p>
      <w:pPr>
        <w:pStyle w:val="Heading1"/>
        <w:pBdr>
          <w:bottom w:val="single" w:color="1B4F72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 are joining Ceylon Cash's analytics team. Ceylon Cash is a Web3 development and community platform serving builders, merchants, and ecosystem partners across multiple markets.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 this task you have been given access to a payments transaction database covering January – August 2024. Your job is to explore the data freely, surface what is interesting or concerning, and present your findings as if briefing a business stakeholder.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There is no single right answer. We want to see how you think, what you prioritise, and how clearly you communicate.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B4F72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The Dataset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 will receive a single SQLite file: ceypay_analyst_task.db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It contains the following four tables: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merchants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merchant_id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merchant identifier (e.g. MRC001)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merchant_name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Trading name of the merchant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category (E-commerce, Travel, SaaS, etc.)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country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Two-letter ISO country code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onboarded_date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the merchant was onboarded (YYYY-MM-DD)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transactions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transaction_id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transaction identifier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merchant_id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Foreign key → merchants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amount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 amount in the merchant's settlement currency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currency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Currency code (USD, LKR, SGD)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Outcome: success, failed, or pending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failure_reason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Reason for failure, NULL if successful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of the transaction (YYYY-MM-DD HH:MM:SS)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settlements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settlement_id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settlement identifier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merchant_id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Foreign key → merchants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settled_amount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 amount paid out to merchant after fees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currency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Currency code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settlement_date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funds were settled (YYYY-MM-DD)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chargebacks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chargeback_id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chargeback identifier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transaction_id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Foreign key → transactions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merchant_id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Foreign key → merchants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amount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Disputed amount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reason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Chargeback reason code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the chargeback was raised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B4F72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What We'd Like You To Do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Treat this as an open-ended exploration. Start from wherever makes sense to you. The prompts below are suggestions, not a checklist — feel free to go beyond them.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What does overall platform health look like across the period?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Are there any merchants, time periods, or failure patterns that stand out?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you find an anomaly, dig in: what happened, when, and what might it mean for the business?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What would you recommend the team do next based on what you found?</w:t>
      </w:r>
    </w:p>
    <w:p>
      <w:pPr>
        <w:spacing w:after="60" w:before="6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We are interested in the depth of your investigation and the quality of your reasoning, not just whether you spot any specific thing.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B4F72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Deliverables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Please submit the following when you're done: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860"/>
        <w:gridCol w:w="3000"/>
      </w:tblGrid>
      <w:tr>
        <w:trPr>
          <w:tblHeader/>
        </w:trP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Exploratory analysis — key metrics, trends, any anomalies discovered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+ Python / BI tool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 cause write-up for any anomaly found (max 1 page)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Written report / slides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Recommended actions for the business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Bullet points or slides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queries / code used in the analysis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file or notebook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You can package everything in a zip file, a GitHub repo, or a Google Drive link — whichever is most convenient.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B4F72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Tools &amp; Environment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 may use any combination of the following: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SQL (directly against the SQLite file)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Python (pandas, matplotlib, seaborn, or any library you prefer)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Any BI tool — Tableau, Looker Studio, Power BI, Metabase, etc.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 do not need to install anything special. SQLite is built into Python's standard library, and the DB Browser for SQLite is a handy free GUI if you prefer one.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B4F72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How We'll Evaluate Your Submission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 will look at four things equally: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SQL &amp; querying — </w:t>
      </w:r>
      <w:r>
        <w:rPr>
          <w:rFonts w:ascii="Arial" w:cs="Arial" w:eastAsia="Arial" w:hAnsi="Arial"/>
          <w:sz w:val="22"/>
          <w:szCs w:val="22"/>
        </w:rPr>
        <w:t xml:space="preserve">Analytical depth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Signal vs. noise — </w:t>
      </w:r>
      <w:r>
        <w:rPr>
          <w:rFonts w:ascii="Arial" w:cs="Arial" w:eastAsia="Arial" w:hAnsi="Arial"/>
          <w:sz w:val="22"/>
          <w:szCs w:val="22"/>
        </w:rPr>
        <w:t xml:space="preserve">Ability to spot what matters and ignore what doesn't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Communication — </w:t>
      </w:r>
      <w:r>
        <w:rPr>
          <w:rFonts w:ascii="Arial" w:cs="Arial" w:eastAsia="Arial" w:hAnsi="Arial"/>
          <w:sz w:val="22"/>
          <w:szCs w:val="22"/>
        </w:rPr>
        <w:t xml:space="preserve">How clearly and concisely you explain your findings to a non-technical audience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Recommendations — </w:t>
      </w:r>
      <w:r>
        <w:rPr>
          <w:rFonts w:ascii="Arial" w:cs="Arial" w:eastAsia="Arial" w:hAnsi="Arial"/>
          <w:sz w:val="22"/>
          <w:szCs w:val="22"/>
        </w:rPr>
        <w:t xml:space="preserve">Prioritised, realistic next steps for the business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B4F72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Timing &amp; Submission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task is designed to take roughly half a day. Please do not spend significantly more than that — we are not looking for an exhaustive report, we're looking for good judgement about what to focus on.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Submit your work within 3 days of receiving this brief. If you have any questions, reach out — we'd rather you ask than get stuck.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Good luck. We're looking forward to seeing how you think.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B4F72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2026-03-25T08:27:23.984Z</dcterms:created>
  <dcterms:modified xsi:type="dcterms:W3CDTF">2026-03-25T08:27:23.985Z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