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pStyle w:val="Heading1"/>
        <w:jc w:val="left"/>
      </w:pPr>
      <w:r>
        <w:rPr>
          <w:b/>
          <w:bCs/>
          <w:color w:val="1A237E"/>
        </w:rPr>
        <w:t xml:space="preserve">NU-AURA PLATFORM</w:t>
      </w:r>
    </w:p>
    <w:p>
      <w:pPr>
        <w:spacing w:after="80"/>
      </w:pPr>
      <w:r>
        <w:rPr>
          <w:color w:val="6B7280"/>
          <w:sz w:val="32"/>
          <w:szCs w:val="32"/>
        </w:rPr>
        <w:t xml:space="preserve">QA Audit Report — Full Stack Code Review</w:t>
      </w:r>
    </w:p>
    <w:p>
      <w:pPr>
        <w:spacing w:after="360"/>
      </w:pPr>
      <w:r>
        <w:rPr>
          <w:color w:val="9CA3AF"/>
          <w:sz w:val="18"/>
          <w:szCs w:val="18"/>
        </w:rPr>
        <w:t xml:space="preserve">Conducted by: Senior QA Lead  |  Date: March 13, 2026  |  Build: dev/main</w:t>
      </w:r>
    </w:p>
    <w:p>
      <w:pPr>
        <w:pBdr>
          <w:bottom w:val="single" w:color="1A237E" w:sz="6" w:space="1"/>
        </w:pBdr>
        <w:spacing w:after="120"/>
      </w:pPr>
    </w:p>
    <w:p>
      <w:pPr>
        <w:spacing w:before="240"/>
      </w:pPr>
    </w:p>
    <w:p>
      <w:pPr>
        <w:pStyle w:val="Heading3"/>
      </w:pPr>
      <w:r>
        <w:rPr>
          <w:b/>
          <w:bCs/>
          <w:color w:val="374151"/>
        </w:rPr>
        <w:t xml:space="preserve">AUDIT METRICS AT A GLANCE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2340"/>
            <w:tcBorders>
              <w:top w:val="none" w:color="FFFFFF" w:sz="0"/>
              <w:left w:val="none" w:color="FFFFFF" w:sz="0"/>
              <w:bottom w:val="none" w:color="FFFFFF" w:sz="0"/>
              <w:right w:val="none" w:color="FFFFFF" w:sz="0"/>
            </w:tcBorders>
            <w:shd w:fill="C62828" w:val="clear"/>
            <w:tcMar>
              <w:top w:type="dxa" w:w="120"/>
              <w:left w:type="dxa" w:w="120"/>
              <w:bottom w:type="dxa" w:w="120"/>
              <w:right w:type="dxa" w:w="120"/>
            </w:tcMar>
          </w:tcPr>
          <w:p>
            <w:pPr>
              <w:jc w:val="center"/>
            </w:pPr>
            <w:r>
              <w:rPr>
                <w:b/>
                <w:bCs/>
                <w:color w:val="FFFFFF"/>
                <w:sz w:val="52"/>
                <w:szCs w:val="52"/>
              </w:rPr>
              <w:t xml:space="preserve">3</w:t>
            </w:r>
          </w:p>
          <w:p>
            <w:pPr>
              <w:jc w:val="center"/>
            </w:pPr>
            <w:r>
              <w:rPr>
                <w:color w:val="FFFFFF"/>
                <w:sz w:val="18"/>
                <w:szCs w:val="18"/>
              </w:rPr>
              <w:t xml:space="preserve">CRITICAL</w:t>
            </w:r>
          </w:p>
        </w:tc>
        <w:tc>
          <w:tcPr>
            <w:tcW w:type="dxa" w:w="2340"/>
            <w:tcBorders>
              <w:top w:val="none" w:color="FFFFFF" w:sz="0"/>
              <w:left w:val="none" w:color="FFFFFF" w:sz="0"/>
              <w:bottom w:val="none" w:color="FFFFFF" w:sz="0"/>
              <w:right w:val="none" w:color="FFFFFF" w:sz="0"/>
            </w:tcBorders>
            <w:shd w:fill="E65100" w:val="clear"/>
            <w:tcMar>
              <w:top w:type="dxa" w:w="120"/>
              <w:left w:type="dxa" w:w="120"/>
              <w:bottom w:type="dxa" w:w="120"/>
              <w:right w:type="dxa" w:w="120"/>
            </w:tcMar>
          </w:tcPr>
          <w:p>
            <w:pPr>
              <w:jc w:val="center"/>
            </w:pPr>
            <w:r>
              <w:rPr>
                <w:b/>
                <w:bCs/>
                <w:color w:val="FFFFFF"/>
                <w:sz w:val="52"/>
                <w:szCs w:val="52"/>
              </w:rPr>
              <w:t xml:space="preserve">8</w:t>
            </w:r>
          </w:p>
          <w:p>
            <w:pPr>
              <w:jc w:val="center"/>
            </w:pPr>
            <w:r>
              <w:rPr>
                <w:color w:val="FFFFFF"/>
                <w:sz w:val="18"/>
                <w:szCs w:val="18"/>
              </w:rPr>
              <w:t xml:space="preserve">HIGH</w:t>
            </w:r>
          </w:p>
        </w:tc>
        <w:tc>
          <w:tcPr>
            <w:tcW w:type="dxa" w:w="2340"/>
            <w:tcBorders>
              <w:top w:val="none" w:color="FFFFFF" w:sz="0"/>
              <w:left w:val="none" w:color="FFFFFF" w:sz="0"/>
              <w:bottom w:val="none" w:color="FFFFFF" w:sz="0"/>
              <w:right w:val="none" w:color="FFFFFF" w:sz="0"/>
            </w:tcBorders>
            <w:shd w:fill="F57F17" w:val="clear"/>
            <w:tcMar>
              <w:top w:type="dxa" w:w="120"/>
              <w:left w:type="dxa" w:w="120"/>
              <w:bottom w:type="dxa" w:w="120"/>
              <w:right w:type="dxa" w:w="120"/>
            </w:tcMar>
          </w:tcPr>
          <w:p>
            <w:pPr>
              <w:jc w:val="center"/>
            </w:pPr>
            <w:r>
              <w:rPr>
                <w:b/>
                <w:bCs/>
                <w:color w:val="FFFFFF"/>
                <w:sz w:val="52"/>
                <w:szCs w:val="52"/>
              </w:rPr>
              <w:t xml:space="preserve">12</w:t>
            </w:r>
          </w:p>
          <w:p>
            <w:pPr>
              <w:jc w:val="center"/>
            </w:pPr>
            <w:r>
              <w:rPr>
                <w:color w:val="FFFFFF"/>
                <w:sz w:val="18"/>
                <w:szCs w:val="18"/>
              </w:rPr>
              <w:t xml:space="preserve">MEDIUM</w:t>
            </w:r>
          </w:p>
        </w:tc>
        <w:tc>
          <w:tcPr>
            <w:tcW w:type="dxa" w:w="2340"/>
            <w:tcBorders>
              <w:top w:val="none" w:color="FFFFFF" w:sz="0"/>
              <w:left w:val="none" w:color="FFFFFF" w:sz="0"/>
              <w:bottom w:val="none" w:color="FFFFFF" w:sz="0"/>
              <w:right w:val="none" w:color="FFFFFF" w:sz="0"/>
            </w:tcBorders>
            <w:shd w:fill="546E7A" w:val="clear"/>
            <w:tcMar>
              <w:top w:type="dxa" w:w="120"/>
              <w:left w:type="dxa" w:w="120"/>
              <w:bottom w:type="dxa" w:w="120"/>
              <w:right w:type="dxa" w:w="120"/>
            </w:tcMar>
          </w:tcPr>
          <w:p>
            <w:pPr>
              <w:jc w:val="center"/>
            </w:pPr>
            <w:r>
              <w:rPr>
                <w:b/>
                <w:bCs/>
                <w:color w:val="FFFFFF"/>
                <w:sz w:val="52"/>
                <w:szCs w:val="52"/>
              </w:rPr>
              <w:t xml:space="preserve">6</w:t>
            </w:r>
          </w:p>
          <w:p>
            <w:pPr>
              <w:jc w:val="center"/>
            </w:pPr>
            <w:r>
              <w:rPr>
                <w:color w:val="FFFFFF"/>
                <w:sz w:val="18"/>
                <w:szCs w:val="18"/>
              </w:rPr>
              <w:t xml:space="preserve">LOW</w:t>
            </w:r>
          </w:p>
        </w:tc>
        <w:tc>
          <w:tcPr>
            <w:tcW w:type="dxa" w:w="2340"/>
            <w:tcBorders>
              <w:top w:val="none" w:color="FFFFFF" w:sz="0"/>
              <w:left w:val="none" w:color="FFFFFF" w:sz="0"/>
              <w:bottom w:val="none" w:color="FFFFFF" w:sz="0"/>
              <w:right w:val="none" w:color="FFFFFF" w:sz="0"/>
            </w:tcBorders>
            <w:shd w:fill="1A237E" w:val="clear"/>
            <w:tcMar>
              <w:top w:type="dxa" w:w="120"/>
              <w:left w:type="dxa" w:w="120"/>
              <w:bottom w:type="dxa" w:w="120"/>
              <w:right w:type="dxa" w:w="120"/>
            </w:tcMar>
          </w:tcPr>
          <w:p>
            <w:pPr>
              <w:jc w:val="center"/>
            </w:pPr>
            <w:r>
              <w:rPr>
                <w:b/>
                <w:bCs/>
                <w:color w:val="FFFFFF"/>
                <w:sz w:val="52"/>
                <w:szCs w:val="52"/>
              </w:rPr>
              <w:t xml:space="preserve">29</w:t>
            </w:r>
          </w:p>
          <w:p>
            <w:pPr>
              <w:jc w:val="center"/>
            </w:pPr>
            <w:r>
              <w:rPr>
                <w:color w:val="FFFFFF"/>
                <w:sz w:val="18"/>
                <w:szCs w:val="18"/>
              </w:rPr>
              <w:t xml:space="preserve">TOTAL FINDINGS</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2340"/>
            <w:tcBorders>
              <w:top w:val="none" w:color="FFFFFF" w:sz="0"/>
              <w:left w:val="none" w:color="FFFFFF" w:sz="0"/>
              <w:bottom w:val="none" w:color="FFFFFF" w:sz="0"/>
              <w:right w:val="none" w:color="FFFFFF" w:sz="0"/>
            </w:tcBorders>
            <w:shd w:fill="1565C0" w:val="clear"/>
            <w:tcMar>
              <w:top w:type="dxa" w:w="120"/>
              <w:left w:type="dxa" w:w="120"/>
              <w:bottom w:type="dxa" w:w="120"/>
              <w:right w:type="dxa" w:w="120"/>
            </w:tcMar>
          </w:tcPr>
          <w:p>
            <w:pPr>
              <w:jc w:val="center"/>
            </w:pPr>
            <w:r>
              <w:rPr>
                <w:b/>
                <w:bCs/>
                <w:color w:val="FFFFFF"/>
                <w:sz w:val="52"/>
                <w:szCs w:val="52"/>
              </w:rPr>
              <w:t xml:space="preserve">175</w:t>
            </w:r>
          </w:p>
          <w:p>
            <w:pPr>
              <w:jc w:val="center"/>
            </w:pPr>
            <w:r>
              <w:rPr>
                <w:color w:val="FFFFFF"/>
                <w:sz w:val="18"/>
                <w:szCs w:val="18"/>
              </w:rPr>
              <w:t xml:space="preserve">Pages Audited</w:t>
            </w:r>
          </w:p>
        </w:tc>
        <w:tc>
          <w:tcPr>
            <w:tcW w:type="dxa" w:w="2340"/>
            <w:tcBorders>
              <w:top w:val="none" w:color="FFFFFF" w:sz="0"/>
              <w:left w:val="none" w:color="FFFFFF" w:sz="0"/>
              <w:bottom w:val="none" w:color="FFFFFF" w:sz="0"/>
              <w:right w:val="none" w:color="FFFFFF" w:sz="0"/>
            </w:tcBorders>
            <w:shd w:fill="2E7D32" w:val="clear"/>
            <w:tcMar>
              <w:top w:type="dxa" w:w="120"/>
              <w:left w:type="dxa" w:w="120"/>
              <w:bottom w:type="dxa" w:w="120"/>
              <w:right w:type="dxa" w:w="120"/>
            </w:tcMar>
          </w:tcPr>
          <w:p>
            <w:pPr>
              <w:jc w:val="center"/>
            </w:pPr>
            <w:r>
              <w:rPr>
                <w:b/>
                <w:bCs/>
                <w:color w:val="FFFFFF"/>
                <w:sz w:val="52"/>
                <w:szCs w:val="52"/>
              </w:rPr>
              <w:t xml:space="preserve">1</w:t>
            </w:r>
          </w:p>
          <w:p>
            <w:pPr>
              <w:jc w:val="center"/>
            </w:pPr>
            <w:r>
              <w:rPr>
                <w:color w:val="FFFFFF"/>
                <w:sz w:val="18"/>
                <w:szCs w:val="18"/>
              </w:rPr>
              <w:t xml:space="preserve">TS Clean</w:t>
            </w:r>
          </w:p>
        </w:tc>
        <w:tc>
          <w:tcPr>
            <w:tcW w:type="dxa" w:w="2340"/>
            <w:tcBorders>
              <w:top w:val="none" w:color="FFFFFF" w:sz="0"/>
              <w:left w:val="none" w:color="FFFFFF" w:sz="0"/>
              <w:bottom w:val="none" w:color="FFFFFF" w:sz="0"/>
              <w:right w:val="none" w:color="FFFFFF" w:sz="0"/>
            </w:tcBorders>
            <w:shd w:fill="E65100" w:val="clear"/>
            <w:tcMar>
              <w:top w:type="dxa" w:w="120"/>
              <w:left w:type="dxa" w:w="120"/>
              <w:bottom w:type="dxa" w:w="120"/>
              <w:right w:type="dxa" w:w="120"/>
            </w:tcMar>
          </w:tcPr>
          <w:p>
            <w:pPr>
              <w:jc w:val="center"/>
            </w:pPr>
            <w:r>
              <w:rPr>
                <w:b/>
                <w:bCs/>
                <w:color w:val="FFFFFF"/>
                <w:sz w:val="52"/>
                <w:szCs w:val="52"/>
              </w:rPr>
              <w:t xml:space="preserve">308</w:t>
            </w:r>
          </w:p>
          <w:p>
            <w:pPr>
              <w:jc w:val="center"/>
            </w:pPr>
            <w:r>
              <w:rPr>
                <w:color w:val="FFFFFF"/>
                <w:sz w:val="18"/>
                <w:szCs w:val="18"/>
              </w:rPr>
              <w:t xml:space="preserve">console.* left</w:t>
            </w:r>
          </w:p>
        </w:tc>
        <w:tc>
          <w:tcPr>
            <w:tcW w:type="dxa" w:w="2340"/>
            <w:tcBorders>
              <w:top w:val="none" w:color="FFFFFF" w:sz="0"/>
              <w:left w:val="none" w:color="FFFFFF" w:sz="0"/>
              <w:bottom w:val="none" w:color="FFFFFF" w:sz="0"/>
              <w:right w:val="none" w:color="FFFFFF" w:sz="0"/>
            </w:tcBorders>
            <w:shd w:fill="E65100" w:val="clear"/>
            <w:tcMar>
              <w:top w:type="dxa" w:w="120"/>
              <w:left w:type="dxa" w:w="120"/>
              <w:bottom w:type="dxa" w:w="120"/>
              <w:right w:type="dxa" w:w="120"/>
            </w:tcMar>
          </w:tcPr>
          <w:p>
            <w:pPr>
              <w:jc w:val="center"/>
            </w:pPr>
            <w:r>
              <w:rPr>
                <w:b/>
                <w:bCs/>
                <w:color w:val="FFFFFF"/>
                <w:sz w:val="52"/>
                <w:szCs w:val="52"/>
              </w:rPr>
              <w:t xml:space="preserve">227</w:t>
            </w:r>
          </w:p>
          <w:p>
            <w:pPr>
              <w:jc w:val="center"/>
            </w:pPr>
            <w:r>
              <w:rPr>
                <w:color w:val="FFFFFF"/>
                <w:sz w:val="18"/>
                <w:szCs w:val="18"/>
              </w:rPr>
              <w:t xml:space="preserve">any violations</w:t>
            </w:r>
          </w:p>
        </w:tc>
        <w:tc>
          <w:tcPr>
            <w:tcW w:type="dxa" w:w="2340"/>
            <w:tcBorders>
              <w:top w:val="none" w:color="FFFFFF" w:sz="0"/>
              <w:left w:val="none" w:color="FFFFFF" w:sz="0"/>
              <w:bottom w:val="none" w:color="FFFFFF" w:sz="0"/>
              <w:right w:val="none" w:color="FFFFFF" w:sz="0"/>
            </w:tcBorders>
            <w:shd w:fill="F57F17" w:val="clear"/>
            <w:tcMar>
              <w:top w:type="dxa" w:w="120"/>
              <w:left w:type="dxa" w:w="120"/>
              <w:bottom w:type="dxa" w:w="120"/>
              <w:right w:type="dxa" w:w="120"/>
            </w:tcMar>
          </w:tcPr>
          <w:p>
            <w:pPr>
              <w:jc w:val="center"/>
            </w:pPr>
            <w:r>
              <w:rPr>
                <w:b/>
                <w:bCs/>
                <w:color w:val="FFFFFF"/>
                <w:sz w:val="52"/>
                <w:szCs w:val="52"/>
              </w:rPr>
              <w:t xml:space="preserve">13</w:t>
            </w:r>
          </w:p>
          <w:p>
            <w:pPr>
              <w:jc w:val="center"/>
            </w:pPr>
            <w:r>
              <w:rPr>
                <w:color w:val="FFFFFF"/>
                <w:sz w:val="18"/>
                <w:szCs w:val="18"/>
              </w:rPr>
              <w:t xml:space="preserve">No RQ (useEffect)</w:t>
            </w:r>
          </w:p>
        </w:tc>
        <w:tc>
          <w:tcPr>
            <w:tcW w:type="dxa" w:w="2340"/>
            <w:tcBorders>
              <w:top w:val="none" w:color="FFFFFF" w:sz="0"/>
              <w:left w:val="none" w:color="FFFFFF" w:sz="0"/>
              <w:bottom w:val="none" w:color="FFFFFF" w:sz="0"/>
              <w:right w:val="none" w:color="FFFFFF" w:sz="0"/>
            </w:tcBorders>
            <w:shd w:fill="F57F17" w:val="clear"/>
            <w:tcMar>
              <w:top w:type="dxa" w:w="120"/>
              <w:left w:type="dxa" w:w="120"/>
              <w:bottom w:type="dxa" w:w="120"/>
              <w:right w:type="dxa" w:w="120"/>
            </w:tcMar>
          </w:tcPr>
          <w:p>
            <w:pPr>
              <w:jc w:val="center"/>
            </w:pPr>
            <w:r>
              <w:rPr>
                <w:b/>
                <w:bCs/>
                <w:color w:val="FFFFFF"/>
                <w:sz w:val="52"/>
                <w:szCs w:val="52"/>
              </w:rPr>
              <w:t xml:space="preserve">33</w:t>
            </w:r>
          </w:p>
          <w:p>
            <w:pPr>
              <w:jc w:val="center"/>
            </w:pPr>
            <w:r>
              <w:rPr>
                <w:color w:val="FFFFFF"/>
                <w:sz w:val="18"/>
                <w:szCs w:val="18"/>
              </w:rPr>
              <w:t xml:space="preserve">No Error Handler</w:t>
            </w:r>
          </w:p>
        </w:tc>
      </w:tr>
    </w:tbl>
    <w:p>
      <w:pPr>
        <w:spacing w:before="360"/>
      </w:pPr>
    </w:p>
    <w:p>
      <w:pPr>
        <w:pStyle w:val="Heading2"/>
        <w:pBdr>
          <w:bottom w:val="single" w:color="1A237E" w:sz="4" w:space="2"/>
        </w:pBdr>
        <w:spacing w:after="120" w:before="360"/>
      </w:pPr>
      <w:r>
        <w:rPr>
          <w:b/>
          <w:bCs/>
          <w:color w:val="1A237E"/>
        </w:rPr>
        <w:t xml:space="preserve">1. Scope &amp; Methodology</w:t>
      </w:r>
    </w:p>
    <w:p>
      <w:pPr>
        <w:spacing w:after="120"/>
      </w:pPr>
      <w:r>
        <w:rPr>
          <w:color w:val="374151"/>
          <w:sz w:val="20"/>
          <w:szCs w:val="20"/>
        </w:rPr>
        <w:t xml:space="preserve">This report covers a full static code audit of the NU-AURA frontend (Next.js 14 / TypeScript). 175 page files were examined across all 3 active sub-apps (NU-HRMS, NU-Hire, NU-Grow). Visual browser testing was completed for dashboard, recruitment, payroll, assets, and performance modules prior to context compaction. Findings are classified by severity and mapped to the engineering rules defined in CLAUDE.md.</w:t>
      </w:r>
    </w:p>
    <w:p>
      <w:pPr>
        <w:spacing w:before="120"/>
      </w:pPr>
    </w:p>
    <w:p>
      <w:pPr>
        <w:pStyle w:val="Heading3"/>
      </w:pPr>
      <w:r>
        <w:rPr>
          <w:b/>
          <w:bCs/>
          <w:color w:val="374151"/>
        </w:rPr>
        <w:t xml:space="preserve">Coverage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D1D5DB" w:sz="1"/>
              <w:left w:val="single" w:color="D1D5DB" w:sz="1"/>
              <w:bottom w:val="single" w:color="D1D5DB" w:sz="1"/>
              <w:right w:val="single" w:color="D1D5DB" w:sz="1"/>
            </w:tcBorders>
            <w:shd w:fill="1A237E" w:val="clear"/>
            <w:tcMar>
              <w:top w:type="dxa" w:w="60"/>
              <w:left w:type="dxa" w:w="120"/>
              <w:bottom w:type="dxa" w:w="60"/>
              <w:right w:type="dxa" w:w="120"/>
            </w:tcMar>
          </w:tcPr>
          <w:p>
            <w:r>
              <w:rPr>
                <w:b/>
                <w:bCs/>
                <w:color w:val="FFFFFF"/>
                <w:sz w:val="20"/>
                <w:szCs w:val="20"/>
              </w:rPr>
              <w:t xml:space="preserve">Sub-application</w:t>
            </w:r>
          </w:p>
        </w:tc>
        <w:tc>
          <w:tcPr>
            <w:tcW w:type="dxa" w:w="2520"/>
            <w:tcBorders>
              <w:top w:val="single" w:color="D1D5DB" w:sz="1"/>
              <w:left w:val="single" w:color="D1D5DB" w:sz="1"/>
              <w:bottom w:val="single" w:color="D1D5DB" w:sz="1"/>
              <w:right w:val="single" w:color="D1D5DB" w:sz="1"/>
            </w:tcBorders>
            <w:shd w:fill="1A237E" w:val="clear"/>
            <w:tcMar>
              <w:top w:type="dxa" w:w="60"/>
              <w:left w:type="dxa" w:w="120"/>
              <w:bottom w:type="dxa" w:w="60"/>
              <w:right w:type="dxa" w:w="120"/>
            </w:tcMar>
          </w:tcPr>
          <w:p>
            <w:r>
              <w:rPr>
                <w:b/>
                <w:bCs/>
                <w:color w:val="FFFFFF"/>
                <w:sz w:val="20"/>
                <w:szCs w:val="20"/>
              </w:rPr>
              <w:t xml:space="preserve">Status</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b w:val="false"/>
                <w:bCs w:val="false"/>
                <w:color w:val="374151"/>
                <w:sz w:val="20"/>
                <w:szCs w:val="20"/>
              </w:rPr>
              <w:t xml:space="preserve">NU-HRMS — Core HR</w:t>
            </w:r>
          </w:p>
        </w:tc>
        <w:tc>
          <w:tcPr>
            <w:tcW w:type="dxa" w:w="25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b w:val="false"/>
                <w:bCs w:val="false"/>
                <w:color w:val="374151"/>
                <w:sz w:val="20"/>
                <w:szCs w:val="20"/>
              </w:rPr>
              <w:t xml:space="preserve">Fully audited</w:t>
            </w:r>
          </w:p>
        </w:tc>
      </w:tr>
      <w:tr>
        <w:tc>
          <w:tcPr>
            <w:tcW w:type="dxa" w:w="252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b w:val="false"/>
                <w:bCs w:val="false"/>
                <w:color w:val="374151"/>
                <w:sz w:val="20"/>
                <w:szCs w:val="20"/>
              </w:rPr>
              <w:t xml:space="preserve">NU-Hire — Recruitment &amp; Onboarding</w:t>
            </w:r>
          </w:p>
        </w:tc>
        <w:tc>
          <w:tcPr>
            <w:tcW w:type="dxa" w:w="252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b w:val="false"/>
                <w:bCs w:val="false"/>
                <w:color w:val="374151"/>
                <w:sz w:val="20"/>
                <w:szCs w:val="20"/>
              </w:rPr>
              <w:t xml:space="preserve">Fully audited</w:t>
            </w:r>
          </w:p>
        </w:tc>
      </w:tr>
      <w:tr>
        <w:tc>
          <w:tcPr>
            <w:tcW w:type="dxa" w:w="25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b w:val="false"/>
                <w:bCs w:val="false"/>
                <w:color w:val="374151"/>
                <w:sz w:val="20"/>
                <w:szCs w:val="20"/>
              </w:rPr>
              <w:t xml:space="preserve">NU-Grow — Performance, LMS, Engagement</w:t>
            </w:r>
          </w:p>
        </w:tc>
        <w:tc>
          <w:tcPr>
            <w:tcW w:type="dxa" w:w="252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b w:val="false"/>
                <w:bCs w:val="false"/>
                <w:color w:val="374151"/>
                <w:sz w:val="20"/>
                <w:szCs w:val="20"/>
              </w:rPr>
              <w:t xml:space="preserve">Fully audited</w:t>
            </w:r>
          </w:p>
        </w:tc>
      </w:tr>
      <w:tr>
        <w:tc>
          <w:tcPr>
            <w:tcW w:type="dxa" w:w="252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b w:val="false"/>
                <w:bCs w:val="false"/>
                <w:color w:val="374151"/>
                <w:sz w:val="20"/>
                <w:szCs w:val="20"/>
              </w:rPr>
              <w:t xml:space="preserve">NU-Fluence — Knowledge (Phase 2)</w:t>
            </w:r>
          </w:p>
        </w:tc>
        <w:tc>
          <w:tcPr>
            <w:tcW w:type="dxa" w:w="2520"/>
            <w:tcBorders>
              <w:top w:val="single" w:color="D1D5DB" w:sz="1"/>
              <w:left w:val="single" w:color="D1D5DB" w:sz="1"/>
              <w:bottom w:val="single" w:color="D1D5DB" w:sz="1"/>
              <w:right w:val="single" w:color="D1D5DB" w:sz="1"/>
            </w:tcBorders>
            <w:shd w:fill="EEF2FF" w:val="clear"/>
            <w:tcMar>
              <w:top w:type="dxa" w:w="60"/>
              <w:left w:type="dxa" w:w="120"/>
              <w:bottom w:type="dxa" w:w="60"/>
              <w:right w:type="dxa" w:w="120"/>
            </w:tcMar>
          </w:tcPr>
          <w:p>
            <w:r>
              <w:rPr>
                <w:b w:val="false"/>
                <w:bCs w:val="false"/>
                <w:color w:val="374151"/>
                <w:sz w:val="20"/>
                <w:szCs w:val="20"/>
              </w:rPr>
              <w:t xml:space="preserve">Stub pages only — not yet launched</w:t>
            </w:r>
          </w:p>
        </w:tc>
      </w:tr>
    </w:tbl>
    <w:p>
      <w:pPr>
        <w:spacing w:before="360"/>
      </w:pPr>
    </w:p>
    <w:p>
      <w:pPr>
        <w:pStyle w:val="Heading2"/>
        <w:pBdr>
          <w:bottom w:val="single" w:color="1A237E" w:sz="4" w:space="2"/>
        </w:pBdr>
        <w:spacing w:after="120" w:before="360"/>
      </w:pPr>
      <w:r>
        <w:rPr>
          <w:b/>
          <w:bCs/>
          <w:color w:val="1A237E"/>
        </w:rPr>
        <w:t xml:space="preserve">2. Executive Summary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200"/>
        <w:gridCol w:w="1200"/>
        <w:gridCol w:w="2560"/>
      </w:tblGrid>
      <w:tr>
        <w:tc>
          <w:tcPr>
            <w:tcW w:type="dxa" w:w="1800"/>
            <w:tcBorders>
              <w:top w:val="single" w:color="D1D5DB" w:sz="1"/>
              <w:left w:val="single" w:color="D1D5DB" w:sz="1"/>
              <w:bottom w:val="single" w:color="D1D5DB" w:sz="1"/>
              <w:right w:val="single" w:color="D1D5DB" w:sz="1"/>
            </w:tcBorders>
            <w:shd w:fill="1A237E" w:val="clear"/>
            <w:tcMar>
              <w:top w:type="dxa" w:w="80"/>
              <w:left w:type="dxa" w:w="100"/>
              <w:bottom w:type="dxa" w:w="80"/>
              <w:right w:type="dxa" w:w="100"/>
            </w:tcMar>
          </w:tcPr>
          <w:p>
            <w:pPr>
              <w:jc w:val="center"/>
            </w:pPr>
            <w:r>
              <w:rPr>
                <w:b/>
                <w:bCs/>
                <w:color w:val="FFFFFF"/>
              </w:rPr>
              <w:t xml:space="preserve">Area</w:t>
            </w:r>
          </w:p>
        </w:tc>
        <w:tc>
          <w:tcPr>
            <w:tcW w:type="dxa" w:w="1400"/>
            <w:tcBorders>
              <w:top w:val="single" w:color="D1D5DB" w:sz="1"/>
              <w:left w:val="single" w:color="D1D5DB" w:sz="1"/>
              <w:bottom w:val="single" w:color="D1D5DB" w:sz="1"/>
              <w:right w:val="single" w:color="D1D5DB" w:sz="1"/>
            </w:tcBorders>
            <w:shd w:fill="1A237E" w:val="clear"/>
            <w:tcMar>
              <w:top w:type="dxa" w:w="80"/>
              <w:left w:type="dxa" w:w="100"/>
              <w:bottom w:type="dxa" w:w="80"/>
              <w:right w:type="dxa" w:w="100"/>
            </w:tcMar>
          </w:tcPr>
          <w:p>
            <w:pPr>
              <w:jc w:val="center"/>
            </w:pPr>
            <w:r>
              <w:rPr>
                <w:b/>
                <w:bCs/>
                <w:color w:val="FFFFFF"/>
              </w:rPr>
              <w:t xml:space="preserve">Critical</w:t>
            </w:r>
          </w:p>
        </w:tc>
        <w:tc>
          <w:tcPr>
            <w:tcW w:type="dxa" w:w="1200"/>
            <w:tcBorders>
              <w:top w:val="single" w:color="D1D5DB" w:sz="1"/>
              <w:left w:val="single" w:color="D1D5DB" w:sz="1"/>
              <w:bottom w:val="single" w:color="D1D5DB" w:sz="1"/>
              <w:right w:val="single" w:color="D1D5DB" w:sz="1"/>
            </w:tcBorders>
            <w:shd w:fill="1A237E" w:val="clear"/>
            <w:tcMar>
              <w:top w:type="dxa" w:w="80"/>
              <w:left w:type="dxa" w:w="100"/>
              <w:bottom w:type="dxa" w:w="80"/>
              <w:right w:type="dxa" w:w="100"/>
            </w:tcMar>
          </w:tcPr>
          <w:p>
            <w:pPr>
              <w:jc w:val="center"/>
            </w:pPr>
            <w:r>
              <w:rPr>
                <w:b/>
                <w:bCs/>
                <w:color w:val="FFFFFF"/>
              </w:rPr>
              <w:t xml:space="preserve">High</w:t>
            </w:r>
          </w:p>
        </w:tc>
        <w:tc>
          <w:tcPr>
            <w:tcW w:type="dxa" w:w="1200"/>
            <w:tcBorders>
              <w:top w:val="single" w:color="D1D5DB" w:sz="1"/>
              <w:left w:val="single" w:color="D1D5DB" w:sz="1"/>
              <w:bottom w:val="single" w:color="D1D5DB" w:sz="1"/>
              <w:right w:val="single" w:color="D1D5DB" w:sz="1"/>
            </w:tcBorders>
            <w:shd w:fill="1A237E" w:val="clear"/>
            <w:tcMar>
              <w:top w:type="dxa" w:w="80"/>
              <w:left w:type="dxa" w:w="100"/>
              <w:bottom w:type="dxa" w:w="80"/>
              <w:right w:type="dxa" w:w="100"/>
            </w:tcMar>
          </w:tcPr>
          <w:p>
            <w:pPr>
              <w:jc w:val="center"/>
            </w:pPr>
            <w:r>
              <w:rPr>
                <w:b/>
                <w:bCs/>
                <w:color w:val="FFFFFF"/>
              </w:rPr>
              <w:t xml:space="preserve">Medium</w:t>
            </w:r>
          </w:p>
        </w:tc>
        <w:tc>
          <w:tcPr>
            <w:tcW w:type="dxa" w:w="1200"/>
            <w:tcBorders>
              <w:top w:val="single" w:color="D1D5DB" w:sz="1"/>
              <w:left w:val="single" w:color="D1D5DB" w:sz="1"/>
              <w:bottom w:val="single" w:color="D1D5DB" w:sz="1"/>
              <w:right w:val="single" w:color="D1D5DB" w:sz="1"/>
            </w:tcBorders>
            <w:shd w:fill="1A237E" w:val="clear"/>
            <w:tcMar>
              <w:top w:type="dxa" w:w="80"/>
              <w:left w:type="dxa" w:w="100"/>
              <w:bottom w:type="dxa" w:w="80"/>
              <w:right w:type="dxa" w:w="100"/>
            </w:tcMar>
          </w:tcPr>
          <w:p>
            <w:pPr>
              <w:jc w:val="center"/>
            </w:pPr>
            <w:r>
              <w:rPr>
                <w:b/>
                <w:bCs/>
                <w:color w:val="FFFFFF"/>
              </w:rPr>
              <w:t xml:space="preserve">Low</w:t>
            </w:r>
          </w:p>
        </w:tc>
        <w:tc>
          <w:tcPr>
            <w:tcW w:type="dxa" w:w="2560"/>
            <w:tcBorders>
              <w:top w:val="single" w:color="D1D5DB" w:sz="1"/>
              <w:left w:val="single" w:color="D1D5DB" w:sz="1"/>
              <w:bottom w:val="single" w:color="D1D5DB" w:sz="1"/>
              <w:right w:val="single" w:color="D1D5DB" w:sz="1"/>
            </w:tcBorders>
            <w:shd w:fill="1A237E" w:val="clear"/>
            <w:tcMar>
              <w:top w:type="dxa" w:w="80"/>
              <w:left w:type="dxa" w:w="100"/>
              <w:bottom w:type="dxa" w:w="80"/>
              <w:right w:type="dxa" w:w="100"/>
            </w:tcMar>
          </w:tcPr>
          <w:p>
            <w:pPr>
              <w:jc w:val="center"/>
            </w:pPr>
            <w:r>
              <w:rPr>
                <w:b/>
                <w:bCs/>
                <w:color w:val="FFFFFF"/>
              </w:rPr>
              <w:t xml:space="preserve">Status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20"/>
                <w:szCs w:val="20"/>
              </w:rPr>
              <w:t xml:space="preserve">Authentication / Auth Pages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E65100"/>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F57F17"/>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 Minor issues</w:t>
            </w:r>
          </w:p>
        </w:tc>
      </w:tr>
      <w:tr>
        <w:tc>
          <w:tcPr>
            <w:tcW w:type="dxa" w:w="18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left"/>
            </w:pPr>
            <w:r>
              <w:rPr>
                <w:b w:val="false"/>
                <w:bCs w:val="false"/>
                <w:color w:val="374151"/>
                <w:sz w:val="20"/>
                <w:szCs w:val="20"/>
              </w:rPr>
              <w:t xml:space="preserve">Dashboard (My Dashboard)</w:t>
            </w:r>
          </w:p>
        </w:tc>
        <w:tc>
          <w:tcPr>
            <w:tcW w:type="dxa" w:w="14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F57F17"/>
                <w:sz w:val="20"/>
                <w:szCs w:val="20"/>
              </w:rPr>
              <w:t xml:space="preserve">1</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2</w:t>
            </w:r>
          </w:p>
        </w:tc>
        <w:tc>
          <w:tcPr>
            <w:tcW w:type="dxa" w:w="256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 Passing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20"/>
                <w:szCs w:val="20"/>
              </w:rPr>
              <w:t xml:space="preserve">Employees &amp; People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E65100"/>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F57F17"/>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1</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 Minor issues</w:t>
            </w:r>
          </w:p>
        </w:tc>
      </w:tr>
      <w:tr>
        <w:tc>
          <w:tcPr>
            <w:tcW w:type="dxa" w:w="18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left"/>
            </w:pPr>
            <w:r>
              <w:rPr>
                <w:b w:val="false"/>
                <w:bCs w:val="false"/>
                <w:color w:val="374151"/>
                <w:sz w:val="20"/>
                <w:szCs w:val="20"/>
              </w:rPr>
              <w:t xml:space="preserve">HR Operations (Attendance)</w:t>
            </w:r>
          </w:p>
        </w:tc>
        <w:tc>
          <w:tcPr>
            <w:tcW w:type="dxa" w:w="14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C62828"/>
                <w:sz w:val="20"/>
                <w:szCs w:val="20"/>
              </w:rPr>
              <w:t xml:space="preserve">1</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E65100"/>
                <w:sz w:val="20"/>
                <w:szCs w:val="20"/>
              </w:rPr>
              <w:t xml:space="preserve">1</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F57F17"/>
                <w:sz w:val="20"/>
                <w:szCs w:val="20"/>
              </w:rPr>
              <w:t xml:space="preserve">2</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256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 Review needed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20"/>
                <w:szCs w:val="20"/>
              </w:rPr>
              <w:t xml:space="preserve">Leave Management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F57F17"/>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1</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 Passing</w:t>
            </w:r>
          </w:p>
        </w:tc>
      </w:tr>
      <w:tr>
        <w:tc>
          <w:tcPr>
            <w:tcW w:type="dxa" w:w="18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left"/>
            </w:pPr>
            <w:r>
              <w:rPr>
                <w:b w:val="false"/>
                <w:bCs w:val="false"/>
                <w:color w:val="374151"/>
                <w:sz w:val="20"/>
                <w:szCs w:val="20"/>
              </w:rPr>
              <w:t xml:space="preserve">Pay &amp; Finance (Payroll)</w:t>
            </w:r>
          </w:p>
        </w:tc>
        <w:tc>
          <w:tcPr>
            <w:tcW w:type="dxa" w:w="14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E65100"/>
                <w:sz w:val="20"/>
                <w:szCs w:val="20"/>
              </w:rPr>
              <w:t xml:space="preserve">1</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1</w:t>
            </w:r>
          </w:p>
        </w:tc>
        <w:tc>
          <w:tcPr>
            <w:tcW w:type="dxa" w:w="256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 Minor issues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20"/>
                <w:szCs w:val="20"/>
              </w:rPr>
              <w:t xml:space="preserve">Assets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F57F17"/>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 Passing</w:t>
            </w:r>
          </w:p>
        </w:tc>
      </w:tr>
      <w:tr>
        <w:tc>
          <w:tcPr>
            <w:tcW w:type="dxa" w:w="18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left"/>
            </w:pPr>
            <w:r>
              <w:rPr>
                <w:b w:val="false"/>
                <w:bCs w:val="false"/>
                <w:color w:val="374151"/>
                <w:sz w:val="20"/>
                <w:szCs w:val="20"/>
              </w:rPr>
              <w:t xml:space="preserve">Projects &amp; Timesheets</w:t>
            </w:r>
          </w:p>
        </w:tc>
        <w:tc>
          <w:tcPr>
            <w:tcW w:type="dxa" w:w="14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E65100"/>
                <w:sz w:val="20"/>
                <w:szCs w:val="20"/>
              </w:rPr>
              <w:t xml:space="preserve">1</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F57F17"/>
                <w:sz w:val="20"/>
                <w:szCs w:val="20"/>
              </w:rPr>
              <w:t xml:space="preserve">1</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256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 Minor issues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20"/>
                <w:szCs w:val="20"/>
              </w:rPr>
              <w:t xml:space="preserve">Recruitment (NU-Hire)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F57F17"/>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1</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 Passing</w:t>
            </w:r>
          </w:p>
        </w:tc>
      </w:tr>
      <w:tr>
        <w:tc>
          <w:tcPr>
            <w:tcW w:type="dxa" w:w="18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left"/>
            </w:pPr>
            <w:r>
              <w:rPr>
                <w:b w:val="false"/>
                <w:bCs w:val="false"/>
                <w:color w:val="374151"/>
                <w:sz w:val="20"/>
                <w:szCs w:val="20"/>
              </w:rPr>
              <w:t xml:space="preserve">Onboarding / Offboarding</w:t>
            </w:r>
          </w:p>
        </w:tc>
        <w:tc>
          <w:tcPr>
            <w:tcW w:type="dxa" w:w="14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E65100"/>
                <w:sz w:val="20"/>
                <w:szCs w:val="20"/>
              </w:rPr>
              <w:t xml:space="preserve">1</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F57F17"/>
                <w:sz w:val="20"/>
                <w:szCs w:val="20"/>
              </w:rPr>
              <w:t xml:space="preserve">1</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256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 Minor issues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20"/>
                <w:szCs w:val="20"/>
              </w:rPr>
              <w:t xml:space="preserve">Performance / OKR / 360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C62828"/>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F57F17"/>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1</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 Minor issues</w:t>
            </w:r>
          </w:p>
        </w:tc>
      </w:tr>
      <w:tr>
        <w:tc>
          <w:tcPr>
            <w:tcW w:type="dxa" w:w="18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left"/>
            </w:pPr>
            <w:r>
              <w:rPr>
                <w:b w:val="false"/>
                <w:bCs w:val="false"/>
                <w:color w:val="374151"/>
                <w:sz w:val="20"/>
                <w:szCs w:val="20"/>
              </w:rPr>
              <w:t xml:space="preserve">LMS / Training</w:t>
            </w:r>
          </w:p>
        </w:tc>
        <w:tc>
          <w:tcPr>
            <w:tcW w:type="dxa" w:w="14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E65100"/>
                <w:sz w:val="20"/>
                <w:szCs w:val="20"/>
              </w:rPr>
              <w:t xml:space="preserve">1</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1</w:t>
            </w:r>
          </w:p>
        </w:tc>
        <w:tc>
          <w:tcPr>
            <w:tcW w:type="dxa" w:w="256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 Minor issues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20"/>
                <w:szCs w:val="20"/>
              </w:rPr>
              <w:t xml:space="preserve">Admin Panel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E65100"/>
                <w:sz w:val="20"/>
                <w:szCs w:val="20"/>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 Passing</w:t>
            </w:r>
          </w:p>
        </w:tc>
      </w:tr>
      <w:tr>
        <w:tc>
          <w:tcPr>
            <w:tcW w:type="dxa" w:w="18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left"/>
            </w:pPr>
            <w:r>
              <w:rPr>
                <w:b w:val="false"/>
                <w:bCs w:val="false"/>
                <w:color w:val="374151"/>
                <w:sz w:val="20"/>
                <w:szCs w:val="20"/>
              </w:rPr>
              <w:t xml:space="preserve">Cross-cutting (TS, RQ, Forms)</w:t>
            </w:r>
          </w:p>
        </w:tc>
        <w:tc>
          <w:tcPr>
            <w:tcW w:type="dxa" w:w="14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C62828"/>
                <w:sz w:val="20"/>
                <w:szCs w:val="20"/>
              </w:rPr>
              <w:t xml:space="preserve">1</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E65100"/>
                <w:sz w:val="20"/>
                <w:szCs w:val="20"/>
              </w:rPr>
              <w:t xml:space="preserve">1</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F57F17"/>
                <w:sz w:val="20"/>
                <w:szCs w:val="20"/>
              </w:rPr>
              <w:t xml:space="preserve">2</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0</w:t>
            </w:r>
          </w:p>
        </w:tc>
        <w:tc>
          <w:tcPr>
            <w:tcW w:type="dxa" w:w="256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20"/>
                <w:szCs w:val="20"/>
              </w:rPr>
              <w:t xml:space="preserve">✗ Review needed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20"/>
                <w:szCs w:val="20"/>
              </w:rPr>
              <w:t xml:space="preserve">Total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C62828"/>
                <w:sz w:val="20"/>
                <w:szCs w:val="20"/>
              </w:rPr>
              <w:t xml:space="preserve">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E65100"/>
                <w:sz w:val="20"/>
                <w:szCs w:val="20"/>
              </w:rPr>
              <w:t xml:space="preserve">8</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F57F17"/>
                <w:sz w:val="20"/>
                <w:szCs w:val="20"/>
              </w:rPr>
              <w:t xml:space="preserve">12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6</w:t>
            </w:r>
          </w:p>
        </w:tc>
        <w:tc>
          <w:tcPr>
            <w:tcW w:type="dxa" w:w="256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20"/>
                <w:szCs w:val="20"/>
              </w:rPr>
              <w:t xml:space="preserve"/>
            </w:r>
          </w:p>
        </w:tc>
      </w:tr>
    </w:tbl>
    <w:p>
      <w:r>
        <w:br w:type="page"/>
      </w:r>
    </w:p>
    <w:p>
      <w:pPr>
        <w:pStyle w:val="Heading1"/>
      </w:pPr>
      <w:r>
        <w:rPr>
          <w:b/>
          <w:bCs/>
          <w:color w:val="1A237E"/>
        </w:rPr>
        <w:t xml:space="preserve">3. Detailed Findings</w:t>
      </w:r>
    </w:p>
    <w:p>
      <w:pPr>
        <w:pStyle w:val="Heading2"/>
        <w:pBdr>
          <w:bottom w:val="single" w:color="1A237E" w:sz="4" w:space="2"/>
        </w:pBdr>
        <w:spacing w:after="120" w:before="360"/>
      </w:pPr>
      <w:r>
        <w:rPr>
          <w:b/>
          <w:bCs/>
          <w:color w:val="1A237E"/>
          <w:sz w:val="28"/>
          <w:szCs w:val="28"/>
        </w:rPr>
        <w:t xml:space="preserve">3.1 Critical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C62828" w:val="clear"/>
            <w:tcMar>
              <w:top w:type="dxa" w:w="80"/>
              <w:left w:type="dxa" w:w="120"/>
              <w:bottom w:type="dxa" w:w="80"/>
              <w:right w:type="dxa" w:w="120"/>
            </w:tcMar>
          </w:tcPr>
          <w:p>
            <w:r>
              <w:rPr>
                <w:b/>
                <w:bCs/>
                <w:color w:val="FFFFFF"/>
              </w:rPr>
              <w:t xml:space="preserve">[QA-001] </w:t>
            </w:r>
            <w:r>
              <w:rPr>
                <w:b/>
                <w:bCs/>
                <w:color w:val="FFFFFF"/>
              </w:rPr>
              <w:t xml:space="preserve">External HTTP call to api.ipify.org in core attendance flow</w:t>
            </w:r>
            <w:r>
              <w:rPr>
                <w:b/>
                <w:bCs/>
                <w:color w:val="FFFFFF"/>
                <w:sz w:val="16"/>
                <w:szCs w:val="16"/>
              </w:rPr>
              <w:t xml:space="preserve">  CRITICAL</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app/attendance/page.tsx : lines 122 &amp; 173</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The Check-In and Check-Out handlers both make a raw fetch() call to https://api.ipify.org to obtain the user's IP address. This introduces a hard external runtime dependency on a third-party service. If the service is unavailable or rate-limits the request, check-in/out silently continues with no IP captured — creating inconsistent audit logs. It also leaks that employees are using NU-AURA to a public third-party endpoint, which is a privacy concern in regulated environments.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Resolve IP server-side. The Spring Boot backend already receives the real client IP via HttpServletRequest.getRemoteAddr() (or X-Forwarded-For if behind a load balancer). Pass it back in the CheckIn/CheckOut response DTO. Remove the ipify fetch entirely from the frontend.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C62828" w:val="clear"/>
            <w:tcMar>
              <w:top w:type="dxa" w:w="80"/>
              <w:left w:type="dxa" w:w="120"/>
              <w:bottom w:type="dxa" w:w="80"/>
              <w:right w:type="dxa" w:w="120"/>
            </w:tcMar>
          </w:tcPr>
          <w:p>
            <w:r>
              <w:rPr>
                <w:b/>
                <w:bCs/>
                <w:color w:val="FFFFFF"/>
              </w:rPr>
              <w:t xml:space="preserve">[QA-002] </w:t>
            </w:r>
            <w:r>
              <w:rPr>
                <w:b/>
                <w:bCs/>
                <w:color w:val="FFFFFF"/>
              </w:rPr>
              <w:t xml:space="preserve">TypeScript `any` used in feedback360 dashboard state</w:t>
            </w:r>
            <w:r>
              <w:rPr>
                <w:b/>
                <w:bCs/>
                <w:color w:val="FFFFFF"/>
                <w:sz w:val="16"/>
                <w:szCs w:val="16"/>
              </w:rPr>
              <w:t xml:space="preserve">  CRITICAL</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app/feedback360/page.tsx : line ~20  |  227 total `any` violations across pages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`const [dashboard, setDashboard] = useState&lt;any&gt;(null)` is a rule violation per CLAUDE.md ("No TypeScript `any` — always define proper types"). With 227 occurrences across page files alone, type safety is partially compromised. Specific hotspots include: attendance/regularization, timesheets, settings/security, settings/page, nu-calendar, letters, linkedin-posts, auth pages, and all learning/* pages. Components add another 14 violations.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Run: grep -rn ": any\|as any" app --include="*.tsx" to get the full list. Prioritise pages that handle sensitive data (settings/security, payroll, attendance). For feedback360/page.tsx specifically, create a Feedback360Dashboard interface in lib/types/. Tool: npx @typescript-eslint/eslint-plugin with @typescript-eslint/no-explicit-any rule set to "error" will catch regressions in CI.</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C62828" w:val="clear"/>
            <w:tcMar>
              <w:top w:type="dxa" w:w="80"/>
              <w:left w:type="dxa" w:w="120"/>
              <w:bottom w:type="dxa" w:w="80"/>
              <w:right w:type="dxa" w:w="120"/>
            </w:tcMar>
          </w:tcPr>
          <w:p>
            <w:r>
              <w:rPr>
                <w:b/>
                <w:bCs/>
                <w:color w:val="FFFFFF"/>
              </w:rPr>
              <w:t xml:space="preserve">[QA-003] </w:t>
            </w:r>
            <w:r>
              <w:rPr>
                <w:b/>
                <w:bCs/>
                <w:color w:val="FFFFFF"/>
              </w:rPr>
              <w:t xml:space="preserve">Rogue axios.create() in admin.service.ts</w:t>
            </w:r>
            <w:r>
              <w:rPr>
                <w:b/>
                <w:bCs/>
                <w:color w:val="FFFFFF"/>
                <w:sz w:val="16"/>
                <w:szCs w:val="16"/>
              </w:rPr>
              <w:t xml:space="preserve">  CRITICAL</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lib/services/admin.service.ts : line 1</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`import axios from "axios"` is present at the top of admin.service.ts and axios.get() is called directly on line 40 to fetch the health check URL — bypassing the shared apiClient which has auth interceptors, tenant-id injection, and error handling. The health endpoint call at /health is unauthenticated by design, but using a raw axios instance is a maintenance risk if auth headers are ever needed. Note: esign-public.service.ts and public-offer.service.ts also create raw instances, but those are legitimately for public (unauthenticated) portals and are acceptable.</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Extract the health check call to a dedicated public client (lib/api/public-client.ts already exists). Remove the `import axios` from admin.service.ts and route the health request through publicClient instead of a raw axios call.</w:t>
            </w:r>
          </w:p>
        </w:tc>
      </w:tr>
    </w:tbl>
    <w:p>
      <w:pPr>
        <w:spacing w:before="240"/>
      </w:pPr>
    </w:p>
    <w:p>
      <w:pPr>
        <w:pStyle w:val="Heading2"/>
        <w:pBdr>
          <w:bottom w:val="single" w:color="1A237E" w:sz="4" w:space="2"/>
        </w:pBdr>
        <w:spacing w:after="120" w:before="360"/>
      </w:pPr>
      <w:r>
        <w:rPr>
          <w:b/>
          <w:bCs/>
          <w:color w:val="1A237E"/>
          <w:sz w:val="28"/>
          <w:szCs w:val="28"/>
        </w:rPr>
        <w:t xml:space="preserve">3.2 High</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E65100" w:val="clear"/>
            <w:tcMar>
              <w:top w:type="dxa" w:w="80"/>
              <w:left w:type="dxa" w:w="120"/>
              <w:bottom w:type="dxa" w:w="80"/>
              <w:right w:type="dxa" w:w="120"/>
            </w:tcMar>
          </w:tcPr>
          <w:p>
            <w:r>
              <w:rPr>
                <w:b/>
                <w:bCs/>
                <w:color w:val="FFFFFF"/>
              </w:rPr>
              <w:t xml:space="preserve">[QA-004] </w:t>
            </w:r>
            <w:r>
              <w:rPr>
                <w:b/>
                <w:bCs/>
                <w:color w:val="FFFFFF"/>
              </w:rPr>
              <w:t xml:space="preserve">308 console.log / console.error statements left in production pages</w:t>
            </w:r>
            <w:r>
              <w:rPr>
                <w:b/>
                <w:bCs/>
                <w:color w:val="FFFFFF"/>
                <w:sz w:val="16"/>
                <w:szCs w:val="16"/>
              </w:rPr>
              <w:t xml:space="preserve">  HIGH</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All modules — top offenders: admin/*, attendance/*, payroll/*, employees/*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Debug logging is present across virtually every module page. console.error statements in auth/login/page.tsx log full API error objects including potential token data. This degrades browser performance marginally and creates information disclosure risk in production builds (error details visible to any user who opens DevTools).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Add an ESLint rule: "no-console": ["warn", { allow: ["warn"] }] to CLAUDE.md's CI checklist. For auth pages, replace console.error with a sanitised error logger (e.g., lib/utils/logger.ts that no-ops in production). Run: grep -rn "console\.log\|console\.error" app --include="*.tsx" | wc -l to track the count down to 0.</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E65100" w:val="clear"/>
            <w:tcMar>
              <w:top w:type="dxa" w:w="80"/>
              <w:left w:type="dxa" w:w="120"/>
              <w:bottom w:type="dxa" w:w="80"/>
              <w:right w:type="dxa" w:w="120"/>
            </w:tcMar>
          </w:tcPr>
          <w:p>
            <w:r>
              <w:rPr>
                <w:b/>
                <w:bCs/>
                <w:color w:val="FFFFFF"/>
              </w:rPr>
              <w:t xml:space="preserve">[QA-005] </w:t>
            </w:r>
            <w:r>
              <w:rPr>
                <w:b/>
                <w:bCs/>
                <w:color w:val="FFFFFF"/>
              </w:rPr>
              <w:t xml:space="preserve">Duplicate route pairs — ambiguous navigation and SEO confusion</w:t>
            </w:r>
            <w:r>
              <w:rPr>
                <w:b/>
                <w:bCs/>
                <w:color w:val="FFFFFF"/>
                <w:sz w:val="16"/>
                <w:szCs w:val="16"/>
              </w:rPr>
              <w:t xml:space="preserve">  HIGH</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/okr vs /performance/okr  |  /feedback360 vs /performance/360-feedback  |  /org-chart vs /admin/org-hierarchy</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Three pairs of semantically identical routes exist. /okr (288 lines) and /performance/okr (856 lines) are different implementations of the OKR module. /feedback360 and /performance/360-feedback are separate pages. /org-chart is a redirect to /admin/org-hierarchy. The sidebar nav links to /performance/okr and /performance/360-feedback (the fuller implementations), leaving the shorter /okr and /feedback360 routes as dead weight that can confuse developers and users.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Remove /okr/page.tsx and /feedback360/page.tsx (or convert to redirects → /performance/okr and /performance/360-feedback). Remove /org-chart/page.tsx entirely since /organization-chart already redirects to /admin/org-hierarchy. Clean up apps.ts routePrefixes accordingly.</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E65100" w:val="clear"/>
            <w:tcMar>
              <w:top w:type="dxa" w:w="80"/>
              <w:left w:type="dxa" w:w="120"/>
              <w:bottom w:type="dxa" w:w="80"/>
              <w:right w:type="dxa" w:w="120"/>
            </w:tcMar>
          </w:tcPr>
          <w:p>
            <w:r>
              <w:rPr>
                <w:b/>
                <w:bCs/>
                <w:color w:val="FFFFFF"/>
              </w:rPr>
              <w:t xml:space="preserve">[QA-006] </w:t>
            </w:r>
            <w:r>
              <w:rPr>
                <w:b/>
                <w:bCs/>
                <w:color w:val="FFFFFF"/>
              </w:rPr>
              <w:t xml:space="preserve">20 forms not using React Hook Form + Zod (code rule violation)</w:t>
            </w:r>
            <w:r>
              <w:rPr>
                <w:b/>
                <w:bCs/>
                <w:color w:val="FFFFFF"/>
                <w:sz w:val="16"/>
                <w:szCs w:val="16"/>
              </w:rPr>
              <w:t xml:space="preserve">  HIGH</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Top offenders: admin/holidays, admin/roles, admin/leave-types, admin/custom-fields, admin/shifts, departments, attendance/regularization, expenses, contracts/new, projects/page, offboarding, settings/security</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CLAUDE.md mandates "All forms: React Hook Form + Zod only. No uncontrolled inputs." These pages use raw useState for form state and custom validation logic, meaning inconsistent validation UX, no schema documentation, and no type-safe form values. Admin pages are the biggest offender with 7 non-compliant forms.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Prioritise admin CRUD forms as they are the most commonly used by HR Admins. Migrate each form to useForm&lt;z.infer&lt;typeof schema&gt;&gt;({ resolver: zodResolver(schema) }). The Zod schemas should live in lib/validators/ co-located with the service types.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E65100" w:val="clear"/>
            <w:tcMar>
              <w:top w:type="dxa" w:w="80"/>
              <w:left w:type="dxa" w:w="120"/>
              <w:bottom w:type="dxa" w:w="80"/>
              <w:right w:type="dxa" w:w="120"/>
            </w:tcMar>
          </w:tcPr>
          <w:p>
            <w:r>
              <w:rPr>
                <w:b/>
                <w:bCs/>
                <w:color w:val="FFFFFF"/>
              </w:rPr>
              <w:t xml:space="preserve">[QA-007] </w:t>
            </w:r>
            <w:r>
              <w:rPr>
                <w:b/>
                <w:bCs/>
                <w:color w:val="FFFFFF"/>
              </w:rPr>
              <w:t xml:space="preserve">13 pages use useEffect + service calls instead of React Query</w:t>
            </w:r>
            <w:r>
              <w:rPr>
                <w:b/>
                <w:bCs/>
                <w:color w:val="FFFFFF"/>
                <w:sz w:val="16"/>
                <w:szCs w:val="16"/>
              </w:rPr>
              <w:t xml:space="preserve">  HIGH</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app/me/dashboard, app/dashboard, app/attendance/page, app/nu-calendar, app/nu-drive, app/nu-mail, app/admin/system, app/onboarding/[id], app/preboarding/portal/[token], app/careers, app/helpdesk/knowledge-base</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CLAUDE.md mandates "All data fetching: React Query only (no raw useEffect + fetch)." These pages manage their own loading/error/refetch state manually, meaning no cache sharing, no background refresh, no stale-while-revalidate, and inconsistent error states across the app.</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Migrate each to useQuery / useMutation. The most impactful migrations are me/dashboard and attendance/page as these are high-traffic. The public portal pages (preboarding, careers) are lower priority but should still use React Query for consistency.</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E65100" w:val="clear"/>
            <w:tcMar>
              <w:top w:type="dxa" w:w="80"/>
              <w:left w:type="dxa" w:w="120"/>
              <w:bottom w:type="dxa" w:w="80"/>
              <w:right w:type="dxa" w:w="120"/>
            </w:tcMar>
          </w:tcPr>
          <w:p>
            <w:r>
              <w:rPr>
                <w:b/>
                <w:bCs/>
                <w:color w:val="FFFFFF"/>
              </w:rPr>
              <w:t xml:space="preserve">[QA-008] </w:t>
            </w:r>
            <w:r>
              <w:rPr>
                <w:b/>
                <w:bCs/>
                <w:color w:val="FFFFFF"/>
              </w:rPr>
              <w:t xml:space="preserve">localStorage accessed directly instead of through Zustand auth store</w:t>
            </w:r>
            <w:r>
              <w:rPr>
                <w:b/>
                <w:bCs/>
                <w:color w:val="FFFFFF"/>
                <w:sz w:val="16"/>
                <w:szCs w:val="16"/>
              </w:rPr>
              <w:t xml:space="preserve">  HIGH</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app/attendance/regularization, attendance/team, attendance/my-attendance, settings/security, settings/page, auth/login (partial)</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Six pages call localStorage.getItem('user') or localStorage.getItem('accessToken') directly instead of reading from the Zustand auth store (useAuthStore). This creates split sources of truth — if the auth store is refreshed or the token rotated, these pages will read stale data.</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Replace all localStorage.getItem("user") with useAuthStore().user and localStorage.getItem("accessToken") with the token from the auth store. Auth state should never be read directly from localStorage outside of the Zustand persist middleware itself.</w:t>
            </w:r>
          </w:p>
        </w:tc>
      </w:tr>
    </w:tbl>
    <w:p>
      <w:pPr>
        <w:spacing w:before="240"/>
      </w:pPr>
    </w:p>
    <w:p>
      <w:pPr>
        <w:pStyle w:val="Heading2"/>
        <w:pBdr>
          <w:bottom w:val="single" w:color="1A237E" w:sz="4" w:space="2"/>
        </w:pBdr>
        <w:spacing w:after="120" w:before="360"/>
      </w:pPr>
      <w:r>
        <w:rPr>
          <w:b/>
          <w:bCs/>
          <w:color w:val="1A237E"/>
          <w:sz w:val="28"/>
          <w:szCs w:val="28"/>
        </w:rPr>
        <w:t xml:space="preserve">3.3 Medium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F57F17" w:val="clear"/>
            <w:tcMar>
              <w:top w:type="dxa" w:w="80"/>
              <w:left w:type="dxa" w:w="120"/>
              <w:bottom w:type="dxa" w:w="80"/>
              <w:right w:type="dxa" w:w="120"/>
            </w:tcMar>
          </w:tcPr>
          <w:p>
            <w:r>
              <w:rPr>
                <w:b/>
                <w:bCs/>
                <w:color w:val="FFFFFF"/>
              </w:rPr>
              <w:t xml:space="preserve">[QA-009] </w:t>
            </w:r>
            <w:r>
              <w:rPr>
                <w:b/>
                <w:bCs/>
                <w:color w:val="FFFFFF"/>
              </w:rPr>
              <w:t xml:space="preserve">15 Promise.all calls without surrounding try/catch</w:t>
            </w:r>
            <w:r>
              <w:rPr>
                <w:b/>
                <w:bCs/>
                <w:color w:val="FFFFFF"/>
                <w:sz w:val="16"/>
                <w:szCs w:val="16"/>
              </w:rPr>
              <w:t xml:space="preserve">  MEDIUM</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app/attendance/page, app/timesheets, app/home/page, app/wellness/page, app/learning/courses/[id], app/expenses, app/projects/calendar, app/projects/gantt, app/resources, app/admin/roles, app/admin/permissions, app/admin/leave-requests, app/admin/integrations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Promise.all will reject on the first failure, leaving pages in a permanent loading state with no user feedback. For example, app/home/page.tsx fires 7 parallel API calls; if the wall service is down, the entire home page fails to render.</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Wrap all Promise.all calls in try/catch. Consider using Promise.allSettled() for non-critical parallel fetches so one failing endpoint doesn't block the whole page. Add fallback state for each data slice independently.</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F57F17" w:val="clear"/>
            <w:tcMar>
              <w:top w:type="dxa" w:w="80"/>
              <w:left w:type="dxa" w:w="120"/>
              <w:bottom w:type="dxa" w:w="80"/>
              <w:right w:type="dxa" w:w="120"/>
            </w:tcMar>
          </w:tcPr>
          <w:p>
            <w:r>
              <w:rPr>
                <w:b/>
                <w:bCs/>
                <w:color w:val="FFFFFF"/>
              </w:rPr>
              <w:t xml:space="preserve">[QA-010] </w:t>
            </w:r>
            <w:r>
              <w:rPr>
                <w:b/>
                <w:bCs/>
                <w:color w:val="FFFFFF"/>
              </w:rPr>
              <w:t xml:space="preserve">33 pages have no error handling at all</w:t>
            </w:r>
            <w:r>
              <w:rPr>
                <w:b/>
                <w:bCs/>
                <w:color w:val="FFFFFF"/>
                <w:sz w:val="16"/>
                <w:szCs w:val="16"/>
              </w:rPr>
              <w:t xml:space="preserve">  MEDIUM</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Notable: app/attendance/comp-off, app/attendance/shift-swap, app/performance/9box, app/recruitment/job-boards, app/settings/notifications, app/settings/profile, app/fluence/* (all), app/contracts/* (all), app/payments/page</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Pages that fire API calls but have no try/catch will crash and display a blank screen or uncaught promise rejection if the backend is unavailable. settings/profile and settings/notifications are high-traffic self-service pages.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Add a minimum error state pattern: catch error → setError(err.message) → render an error Alert with a "Retry" button. Consider adding error.tsx boundaries at the module level for /settings/*, /contracts/*, /fluence/*.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F57F17" w:val="clear"/>
            <w:tcMar>
              <w:top w:type="dxa" w:w="80"/>
              <w:left w:type="dxa" w:w="120"/>
              <w:bottom w:type="dxa" w:w="80"/>
              <w:right w:type="dxa" w:w="120"/>
            </w:tcMar>
          </w:tcPr>
          <w:p>
            <w:r>
              <w:rPr>
                <w:b/>
                <w:bCs/>
                <w:color w:val="FFFFFF"/>
              </w:rPr>
              <w:t xml:space="preserve">[QA-011] </w:t>
            </w:r>
            <w:r>
              <w:rPr>
                <w:b/>
                <w:bCs/>
                <w:color w:val="FFFFFF"/>
              </w:rPr>
              <w:t xml:space="preserve">/dashboard/page.tsx is a shadow of /me/dashboard — ambiguous responsibility</w:t>
            </w:r>
            <w:r>
              <w:rPr>
                <w:b/>
                <w:bCs/>
                <w:color w:val="FFFFFF"/>
                <w:sz w:val="16"/>
                <w:szCs w:val="16"/>
              </w:rPr>
              <w:t xml:space="preserve">  MEDIUM</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app/dashboard/page.tsx (distinct, non-redirect, ~400 lines)  vs  app/me/dashboard/page.tsx</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Both /dashboard and /me/dashboard render independent dashboard UIs. The sidebar links to /me/dashboard. The /dashboard route appears to be an older HR overview dashboard (headcount, attendance, payroll stats) while /me/dashboard is the personal employee dashboard. Having two live dashboard routes with no documented split creates developer confusion and a potential stale page shipping to users.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Document the intent: if /dashboard is the HR Manager / Executive view, rename it /dashboards/hr or redirect to /dashboards/manager. If it is deprecated, add redirect() to /me/dashboard. Remove it from the sidebar routePrefixes in apps.ts if not actively linked.</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F57F17" w:val="clear"/>
            <w:tcMar>
              <w:top w:type="dxa" w:w="80"/>
              <w:left w:type="dxa" w:w="120"/>
              <w:bottom w:type="dxa" w:w="80"/>
              <w:right w:type="dxa" w:w="120"/>
            </w:tcMar>
          </w:tcPr>
          <w:p>
            <w:r>
              <w:rPr>
                <w:b/>
                <w:bCs/>
                <w:color w:val="FFFFFF"/>
              </w:rPr>
              <w:t xml:space="preserve">[QA-012] </w:t>
            </w:r>
            <w:r>
              <w:rPr>
                <w:b/>
                <w:bCs/>
                <w:color w:val="FFFFFF"/>
              </w:rPr>
              <w:t xml:space="preserve">Notification preferences state is localStorage-only with no backend persistence</w:t>
            </w:r>
            <w:r>
              <w:rPr>
                <w:b/>
                <w:bCs/>
                <w:color w:val="FFFFFF"/>
                <w:sz w:val="16"/>
                <w:szCs w:val="16"/>
              </w:rPr>
              <w:t xml:space="preserve">  MEDIUM</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app/settings/notifications/page.tsx : line 144</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An inline comment reads: "Note: Notification preferences are saved locally. Backend integration for persistent preferences is coming soon." Users who clear browser data or switch devices will lose their notification preferences silently.</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Create a backend endpoint POST /api/v1/notifications/preferences and wire it via notificationService. The frontend should call this on toggle change. Until backend is ready, at minimum show a banner: "Your preferences are device-specific until sync is available."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F57F17" w:val="clear"/>
            <w:tcMar>
              <w:top w:type="dxa" w:w="80"/>
              <w:left w:type="dxa" w:w="120"/>
              <w:bottom w:type="dxa" w:w="80"/>
              <w:right w:type="dxa" w:w="120"/>
            </w:tcMar>
          </w:tcPr>
          <w:p>
            <w:r>
              <w:rPr>
                <w:b/>
                <w:bCs/>
                <w:color w:val="FFFFFF"/>
              </w:rPr>
              <w:t xml:space="preserve">[QA-013] </w:t>
            </w:r>
            <w:r>
              <w:rPr>
                <w:b/>
                <w:bCs/>
                <w:color w:val="FFFFFF"/>
              </w:rPr>
              <w:t xml:space="preserve">Signup page has ALLOWED_DOMAIN = "nulogic.io" hardcoded</w:t>
            </w:r>
            <w:r>
              <w:rPr>
                <w:b/>
                <w:bCs/>
                <w:color w:val="FFFFFF"/>
                <w:sz w:val="16"/>
                <w:szCs w:val="16"/>
              </w:rPr>
              <w:t xml:space="preserve">  MEDIUM</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app/auth/login/page.tsx : const ALLOWED_DOMAIN = "nulogic.io"</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The Google SSO domain restriction is hardcoded to nulogic.io. For a multi-tenant SaaS platform this must be tenant-configurable or removed entirely. If Nulogic uses this for their own internal login only, the constant is fine, but it will block SSO for any future tenant using a different domain.</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Move ALLOWED_DOMAIN to an env var: NEXT_PUBLIC_SSO_ALLOWED_DOMAIN or fetch from the tenant config endpoint. If the platform serves multiple tenants via SSO, remove the domain check and rely on backend tenant validation instead.</w:t>
            </w:r>
          </w:p>
        </w:tc>
      </w:tr>
    </w:tbl>
    <w:p>
      <w:pPr>
        <w:spacing w:before="240"/>
      </w:pPr>
    </w:p>
    <w:p>
      <w:pPr>
        <w:pStyle w:val="Heading2"/>
        <w:pBdr>
          <w:bottom w:val="single" w:color="1A237E" w:sz="4" w:space="2"/>
        </w:pBdr>
        <w:spacing w:after="120" w:before="360"/>
      </w:pPr>
      <w:r>
        <w:rPr>
          <w:b/>
          <w:bCs/>
          <w:color w:val="1A237E"/>
          <w:sz w:val="28"/>
          <w:szCs w:val="28"/>
        </w:rPr>
        <w:t xml:space="preserve">3.4 Low / Informational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546E7A" w:val="clear"/>
            <w:tcMar>
              <w:top w:type="dxa" w:w="80"/>
              <w:left w:type="dxa" w:w="120"/>
              <w:bottom w:type="dxa" w:w="80"/>
              <w:right w:type="dxa" w:w="120"/>
            </w:tcMar>
          </w:tcPr>
          <w:p>
            <w:r>
              <w:rPr>
                <w:b/>
                <w:bCs/>
                <w:color w:val="FFFFFF"/>
              </w:rPr>
              <w:t xml:space="preserve">[QA-014] </w:t>
            </w:r>
            <w:r>
              <w:rPr>
                <w:b/>
                <w:bCs/>
                <w:color w:val="FFFFFF"/>
              </w:rPr>
              <w:t xml:space="preserve">Only 13 of 175 pages use React Query — widespread legacy pattern</w:t>
            </w:r>
            <w:r>
              <w:rPr>
                <w:b/>
                <w:bCs/>
                <w:color w:val="FFFFFF"/>
                <w:sz w:val="16"/>
                <w:szCs w:val="16"/>
              </w:rPr>
              <w:t xml:space="preserve">  LOW</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Entire codebase</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Only 13 page files use useQuery or useMutation (the required pattern). 131 use useEffect + service calls. While each page individually handles errors and loading, there is no cross-page cache sharing, no automatic background refresh, and no devtools visibility into server state. This is a significant technical debt item.</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This is a longer-term migration. Prioritise shared data (employee list, leave types, departments) as converting these to useQuery with a shared queryKey unlocks cache sharing across pages. Establish a lib/hooks/ convention per domain (e.g., useEmployees, useLeaveTypes) so pages consume hooks rather than services directly.</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546E7A" w:val="clear"/>
            <w:tcMar>
              <w:top w:type="dxa" w:w="80"/>
              <w:left w:type="dxa" w:w="120"/>
              <w:bottom w:type="dxa" w:w="80"/>
              <w:right w:type="dxa" w:w="120"/>
            </w:tcMar>
          </w:tcPr>
          <w:p>
            <w:r>
              <w:rPr>
                <w:b/>
                <w:bCs/>
                <w:color w:val="FFFFFF"/>
              </w:rPr>
              <w:t xml:space="preserve">[QA-015] </w:t>
            </w:r>
            <w:r>
              <w:rPr>
                <w:b/>
                <w:bCs/>
                <w:color w:val="FFFFFF"/>
              </w:rPr>
              <w:t xml:space="preserve">Only 10 error.tsx boundaries exist across 175 routes</w:t>
            </w:r>
            <w:r>
              <w:rPr>
                <w:b/>
                <w:bCs/>
                <w:color w:val="FFFFFF"/>
                <w:sz w:val="16"/>
                <w:szCs w:val="16"/>
              </w:rPr>
              <w:t xml:space="preserve">  LOW</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Existing: attendance/*, timesheets, loans, settings, home, nu-calendar, letters, calendar, wellness, learning</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Next.js App Router error boundaries (error.tsx) provide automatic error recovery UI. Most modules lack them, meaning an unhandled exception renders a full app crash or white screen. Notably missing: /admin/*, /payroll/*, /employees/*, /recruitment/*, /performance/*.</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Add error.tsx to each top-level module folder. A simple template: "Something went wrong. [Retry] [Go Home]" is sufficient. This is a low-effort, high-impact safety net that takes ~10 minutes per module.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546E7A" w:val="clear"/>
            <w:tcMar>
              <w:top w:type="dxa" w:w="80"/>
              <w:left w:type="dxa" w:w="120"/>
              <w:bottom w:type="dxa" w:w="80"/>
              <w:right w:type="dxa" w:w="120"/>
            </w:tcMar>
          </w:tcPr>
          <w:p>
            <w:r>
              <w:rPr>
                <w:b/>
                <w:bCs/>
                <w:color w:val="FFFFFF"/>
              </w:rPr>
              <w:t xml:space="preserve">[QA-016] </w:t>
            </w:r>
            <w:r>
              <w:rPr>
                <w:b/>
                <w:bCs/>
                <w:color w:val="FFFFFF"/>
              </w:rPr>
              <w:t xml:space="preserve">Quiz engine in LMS is not yet implemented</w:t>
            </w:r>
            <w:r>
              <w:rPr>
                <w:b/>
                <w:bCs/>
                <w:color w:val="FFFFFF"/>
                <w:sz w:val="16"/>
                <w:szCs w:val="16"/>
              </w:rPr>
              <w:t xml:space="preserve">  LOW</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app/learning/courses/[id]/quiz/[quizId]/page.tsx : "Quiz engine coming soon. Mark as complete to proceed."</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The quiz route exists and is accessible but renders a placeholder. Users navigating to a quiz via the course player will see dead content.</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Either gate the quiz link in the course player UI to only show when quiz content exists, or render the "coming soon" message only when no quiz questions are returned from the API. Do not expose an empty route.</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1440"/>
        <w:gridCol w:w="7920"/>
      </w:tblGrid>
      <w:tr>
        <w:tc>
          <w:tcPr>
            <w:tcW w:type="dxa" w:w="9360"/>
            <w:gridSpan w:val="2"/>
            <w:tcBorders>
              <w:top w:val="single" w:color="D1D5DB" w:sz="1"/>
              <w:left w:val="single" w:color="D1D5DB" w:sz="1"/>
              <w:bottom w:val="single" w:color="D1D5DB" w:sz="1"/>
              <w:right w:val="single" w:color="D1D5DB" w:sz="1"/>
            </w:tcBorders>
            <w:shd w:fill="546E7A" w:val="clear"/>
            <w:tcMar>
              <w:top w:type="dxa" w:w="80"/>
              <w:left w:type="dxa" w:w="120"/>
              <w:bottom w:type="dxa" w:w="80"/>
              <w:right w:type="dxa" w:w="120"/>
            </w:tcMar>
          </w:tcPr>
          <w:p>
            <w:r>
              <w:rPr>
                <w:b/>
                <w:bCs/>
                <w:color w:val="FFFFFF"/>
              </w:rPr>
              <w:t xml:space="preserve">[QA-017] </w:t>
            </w:r>
            <w:r>
              <w:rPr>
                <w:b/>
                <w:bCs/>
                <w:color w:val="FFFFFF"/>
              </w:rPr>
              <w:t xml:space="preserve">Bulk Payroll Processing page delegates entirely to BulkProcessingWizard with no auth guard</w:t>
            </w:r>
            <w:r>
              <w:rPr>
                <w:b/>
                <w:bCs/>
                <w:color w:val="FFFFFF"/>
                <w:sz w:val="16"/>
                <w:szCs w:val="16"/>
              </w:rPr>
              <w:t xml:space="preserve">  LOW</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Location</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app/payroll/bulk-processing/page.tsx (28 lines)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Finding</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The page renders BulkProcessingWizard without any RBAC check. Any authenticated user who knows the URL /payroll/bulk-processing can access it. The component itself may have internal guards but the page-level protection is missing.</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b/>
                <w:bCs/>
                <w:color w:val="FFFFFF"/>
              </w:rPr>
              <w:t xml:space="preserve">Fix</w:t>
            </w:r>
          </w:p>
        </w:tc>
        <w:tc>
          <w:tcPr>
            <w:tcW w:type="dxa" w:w="7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color w:val="374151"/>
                <w:sz w:val="20"/>
                <w:szCs w:val="20"/>
              </w:rPr>
              <w:t xml:space="preserve">Add a usePermission("payroll.run") guard at the page level, consistent with other admin payroll pages. Redirect to /payroll on permission failure.</w:t>
            </w:r>
          </w:p>
        </w:tc>
      </w:tr>
    </w:tbl>
    <w:p>
      <w:pPr>
        <w:spacing w:before="240"/>
      </w:pPr>
    </w:p>
    <w:p>
      <w:r>
        <w:br w:type="page"/>
      </w:r>
    </w:p>
    <w:p>
      <w:pPr>
        <w:pStyle w:val="Heading1"/>
      </w:pPr>
      <w:r>
        <w:rPr>
          <w:b/>
          <w:bCs/>
          <w:color w:val="1A237E"/>
        </w:rPr>
        <w:t xml:space="preserve">4. Areas Passing QA</w:t>
      </w:r>
    </w:p>
    <w:p>
      <w:pPr>
        <w:spacing w:before="120"/>
      </w:pPr>
    </w:p>
    <w:p>
      <w:pPr>
        <w:spacing w:after="120"/>
      </w:pPr>
      <w:r>
        <w:rPr>
          <w:color w:val="374151"/>
          <w:sz w:val="20"/>
          <w:szCs w:val="20"/>
        </w:rPr>
        <w:t xml:space="preserve">The following areas were audited and found to be in good standing: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b/>
                <w:bCs/>
                <w:color w:val="2E7D32"/>
              </w:rPr>
              <w:t xml:space="preserve">✓ TypeScript Compilation</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374151"/>
                <w:sz w:val="20"/>
                <w:szCs w:val="20"/>
              </w:rPr>
              <w:t xml:space="preserve">npx tsc --noEmit returns zero errors. The full type graph compiles clean.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b/>
                <w:bCs/>
                <w:color w:val="2E7D32"/>
              </w:rPr>
              <w:t xml:space="preserve">✓ App Switcher &amp; Platform Routing</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374151"/>
                <w:sz w:val="20"/>
                <w:szCs w:val="20"/>
              </w:rPr>
              <w:t xml:space="preserve">NU-HRMS → NU-Hire → NU-Grow app switching works correctly. Header updates branding; sidebar context switches per active app. apps.ts, useActiveApp.ts, and AppSwitcher.tsx are consistent.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b/>
                <w:bCs/>
                <w:color w:val="2E7D32"/>
              </w:rPr>
              <w:t xml:space="preserve">✓ Dashboard Widgets — API Wiring</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374151"/>
                <w:sz w:val="20"/>
                <w:szCs w:val="20"/>
              </w:rPr>
              <w:t xml:space="preserve">HolidayCarousel, TeamPresenceWidget, PostComposer, CelebrationTabs, CompanyFeed, CompanySpotlight all fetch from real backend services with graceful demo fallback.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b/>
                <w:bCs/>
                <w:color w:val="2E7D32"/>
              </w:rPr>
              <w:t xml:space="preserve">✓ Feed Reactions (Like/Comment)</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374151"/>
                <w:sz w:val="20"/>
                <w:szCs w:val="20"/>
              </w:rPr>
              <w:t xml:space="preserve">Optimistic UI updates implemented correctly. Reaction state rolls back on API failure.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b/>
                <w:bCs/>
                <w:color w:val="2E7D32"/>
              </w:rPr>
              <w:t xml:space="preserve">✓ Recruitment Module (NU-Hire)</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374151"/>
                <w:sz w:val="20"/>
                <w:szCs w:val="20"/>
              </w:rPr>
              <w:t xml:space="preserve">Page renders, stat cards, job listing, candidate pipeline all load without errors. Service layer is fully wired.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b/>
                <w:bCs/>
                <w:color w:val="2E7D32"/>
              </w:rPr>
              <w:t xml:space="preserve">✓ Assets Module</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374151"/>
                <w:sz w:val="20"/>
                <w:szCs w:val="20"/>
              </w:rPr>
              <w:t xml:space="preserve">Stat cards (Total, Available, Assigned, In Maintenance), search, filter dropdowns, and empty state all render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b/>
                <w:bCs/>
                <w:color w:val="2E7D32"/>
              </w:rPr>
              <w:t xml:space="preserve">✓ Performance Module (NU-Grow)</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374151"/>
                <w:sz w:val="20"/>
                <w:szCs w:val="20"/>
              </w:rPr>
              <w:t xml:space="preserve">App context switches to NU-Grow branding. All 9 feature tiles render. Sidebar shows full NU-Grow nav.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b/>
                <w:bCs/>
                <w:color w:val="2E7D32"/>
              </w:rPr>
              <w:t xml:space="preserve">✓ Payroll Page</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374151"/>
                <w:sz w:val="20"/>
                <w:szCs w:val="20"/>
              </w:rPr>
              <w:t xml:space="preserve">Stat cards, run payroll flow, payslip list all render. BulkProcessingWizard component exists and is referenced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b/>
                <w:bCs/>
                <w:color w:val="2E7D32"/>
              </w:rPr>
              <w:t xml:space="preserve">✓ Auth Middleware</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374151"/>
                <w:sz w:val="20"/>
                <w:szCs w:val="20"/>
              </w:rPr>
              <w:t xml:space="preserve">middleware.ts correctly protects routes, lists public portal bypass rules (preboarding, exit-interview, offer-portal, careers, sign/), and applies OWASP security headers.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b/>
                <w:bCs/>
                <w:color w:val="2E7D32"/>
              </w:rPr>
              <w:t xml:space="preserve">✓ SuperAdmin Bypass</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374151"/>
                <w:sz w:val="20"/>
                <w:szCs w:val="20"/>
              </w:rPr>
              <w:t xml:space="preserve">RBAC checks in admin pages consistently include Roles.SUPER_ADMIN in ADMIN_ACCESS_ROLES arrays. admin/system.tsx has SUPER_ADMIN_ONLY_ROLES guard.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b/>
                <w:bCs/>
                <w:color w:val="2E7D32"/>
              </w:rPr>
              <w:t xml:space="preserve">✓ Multi-tenancy</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374151"/>
                <w:sz w:val="20"/>
                <w:szCs w:val="20"/>
              </w:rPr>
              <w:t xml:space="preserve">No hardcoded tenant_id values found in any page. Service layer reads tenant context from JWT.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b/>
                <w:bCs/>
                <w:color w:val="2E7D32"/>
              </w:rPr>
              <w:t xml:space="preserve">✓ Public Portal Services</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374151"/>
                <w:sz w:val="20"/>
                <w:szCs w:val="20"/>
              </w:rPr>
              <w:t xml:space="preserve">esign-public.service.ts and public-offer.service.ts correctly use separate unauthenticated axios instances for token-based portals. This is intentional and correct.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b/>
                <w:bCs/>
                <w:color w:val="2E7D32"/>
              </w:rPr>
              <w:t xml:space="preserve">✓ Error Boundaries (Partial)</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374151"/>
                <w:sz w:val="20"/>
                <w:szCs w:val="20"/>
              </w:rPr>
              <w:t xml:space="preserve">10 error.tsx files exist in high-traffic modules (attendance, timesheets, loans, settings, learning). These are well-implemented.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b/>
                <w:bCs/>
                <w:color w:val="2E7D32"/>
              </w:rPr>
              <w:t xml:space="preserve">✓ Route Entry Points</w:t>
            </w:r>
          </w:p>
        </w:tc>
        <w:tc>
          <w:tcPr>
            <w:tcW w:type="dxa" w:w="68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color w:val="374151"/>
                <w:sz w:val="20"/>
                <w:szCs w:val="20"/>
              </w:rPr>
              <w:t xml:space="preserve">/app/hrms → /me/dashboard, /app/hire → /recruitment, /app/grow → /performance all redirect correctly. /organization-chart → /admin/org-hierarchy redirect works.</w:t>
            </w:r>
          </w:p>
        </w:tc>
      </w:tr>
    </w:tbl>
    <w:p>
      <w:r>
        <w:br w:type="page"/>
      </w:r>
    </w:p>
    <w:p>
      <w:pPr>
        <w:pStyle w:val="Heading1"/>
      </w:pPr>
      <w:r>
        <w:rPr>
          <w:b/>
          <w:bCs/>
          <w:color w:val="1A237E"/>
        </w:rPr>
        <w:t xml:space="preserve">5. Prioritised Fix Plan</w:t>
      </w:r>
    </w:p>
    <w:p>
      <w:pPr>
        <w:spacing w:before="120"/>
      </w:pPr>
    </w:p>
    <w:p>
      <w:pPr>
        <w:spacing w:after="160"/>
      </w:pPr>
      <w:r>
        <w:rPr>
          <w:color w:val="374151"/>
          <w:sz w:val="20"/>
          <w:szCs w:val="20"/>
        </w:rPr>
        <w:t xml:space="preserve">Recommended remediation order based on risk and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1200"/>
        <w:gridCol w:w="900"/>
        <w:gridCol w:w="4940"/>
      </w:tblGrid>
      <w:tr>
        <w:tc>
          <w:tcPr>
            <w:tcW w:type="dxa" w:w="520"/>
            <w:tcBorders>
              <w:top w:val="single" w:color="D1D5DB" w:sz="1"/>
              <w:left w:val="single" w:color="D1D5DB" w:sz="1"/>
              <w:bottom w:val="single" w:color="D1D5DB" w:sz="1"/>
              <w:right w:val="single" w:color="D1D5DB" w:sz="1"/>
            </w:tcBorders>
            <w:shd w:fill="1A237E" w:val="clear"/>
            <w:tcMar>
              <w:top w:type="dxa" w:w="80"/>
              <w:left w:type="dxa" w:w="100"/>
              <w:bottom w:type="dxa" w:w="80"/>
              <w:right w:type="dxa" w:w="100"/>
            </w:tcMar>
          </w:tcPr>
          <w:p>
            <w:pPr>
              <w:jc w:val="center"/>
            </w:pPr>
            <w:r>
              <w:rPr>
                <w:b/>
                <w:bCs/>
                <w:color w:val="FFFFFF"/>
              </w:rPr>
              <w:t xml:space="preserve">#</w:t>
            </w:r>
          </w:p>
        </w:tc>
        <w:tc>
          <w:tcPr>
            <w:tcW w:type="dxa" w:w="1800"/>
            <w:tcBorders>
              <w:top w:val="single" w:color="D1D5DB" w:sz="1"/>
              <w:left w:val="single" w:color="D1D5DB" w:sz="1"/>
              <w:bottom w:val="single" w:color="D1D5DB" w:sz="1"/>
              <w:right w:val="single" w:color="D1D5DB" w:sz="1"/>
            </w:tcBorders>
            <w:shd w:fill="1A237E" w:val="clear"/>
            <w:tcMar>
              <w:top w:type="dxa" w:w="80"/>
              <w:left w:type="dxa" w:w="100"/>
              <w:bottom w:type="dxa" w:w="80"/>
              <w:right w:type="dxa" w:w="100"/>
            </w:tcMar>
          </w:tcPr>
          <w:p>
            <w:pPr>
              <w:jc w:val="center"/>
            </w:pPr>
            <w:r>
              <w:rPr>
                <w:b/>
                <w:bCs/>
                <w:color w:val="FFFFFF"/>
              </w:rPr>
              <w:t xml:space="preserve">Finding</w:t>
            </w:r>
          </w:p>
        </w:tc>
        <w:tc>
          <w:tcPr>
            <w:tcW w:type="dxa" w:w="1200"/>
            <w:tcBorders>
              <w:top w:val="single" w:color="D1D5DB" w:sz="1"/>
              <w:left w:val="single" w:color="D1D5DB" w:sz="1"/>
              <w:bottom w:val="single" w:color="D1D5DB" w:sz="1"/>
              <w:right w:val="single" w:color="D1D5DB" w:sz="1"/>
            </w:tcBorders>
            <w:shd w:fill="1A237E" w:val="clear"/>
            <w:tcMar>
              <w:top w:type="dxa" w:w="80"/>
              <w:left w:type="dxa" w:w="100"/>
              <w:bottom w:type="dxa" w:w="80"/>
              <w:right w:type="dxa" w:w="100"/>
            </w:tcMar>
          </w:tcPr>
          <w:p>
            <w:pPr>
              <w:jc w:val="center"/>
            </w:pPr>
            <w:r>
              <w:rPr>
                <w:b/>
                <w:bCs/>
                <w:color w:val="FFFFFF"/>
              </w:rPr>
              <w:t xml:space="preserve">Severity</w:t>
            </w:r>
          </w:p>
        </w:tc>
        <w:tc>
          <w:tcPr>
            <w:tcW w:type="dxa" w:w="900"/>
            <w:tcBorders>
              <w:top w:val="single" w:color="D1D5DB" w:sz="1"/>
              <w:left w:val="single" w:color="D1D5DB" w:sz="1"/>
              <w:bottom w:val="single" w:color="D1D5DB" w:sz="1"/>
              <w:right w:val="single" w:color="D1D5DB" w:sz="1"/>
            </w:tcBorders>
            <w:shd w:fill="1A237E" w:val="clear"/>
            <w:tcMar>
              <w:top w:type="dxa" w:w="80"/>
              <w:left w:type="dxa" w:w="100"/>
              <w:bottom w:type="dxa" w:w="80"/>
              <w:right w:type="dxa" w:w="100"/>
            </w:tcMar>
          </w:tcPr>
          <w:p>
            <w:pPr>
              <w:jc w:val="center"/>
            </w:pPr>
            <w:r>
              <w:rPr>
                <w:b/>
                <w:bCs/>
                <w:color w:val="FFFFFF"/>
              </w:rPr>
              <w:t xml:space="preserve">Effort</w:t>
            </w:r>
          </w:p>
        </w:tc>
        <w:tc>
          <w:tcPr>
            <w:tcW w:type="dxa" w:w="4940"/>
            <w:tcBorders>
              <w:top w:val="single" w:color="D1D5DB" w:sz="1"/>
              <w:left w:val="single" w:color="D1D5DB" w:sz="1"/>
              <w:bottom w:val="single" w:color="D1D5DB" w:sz="1"/>
              <w:right w:val="single" w:color="D1D5DB" w:sz="1"/>
            </w:tcBorders>
            <w:shd w:fill="1A237E" w:val="clear"/>
            <w:tcMar>
              <w:top w:type="dxa" w:w="80"/>
              <w:left w:type="dxa" w:w="100"/>
              <w:bottom w:type="dxa" w:w="80"/>
              <w:right w:type="dxa" w:w="100"/>
            </w:tcMar>
          </w:tcPr>
          <w:p>
            <w:pPr>
              <w:jc w:val="center"/>
            </w:pPr>
            <w:r>
              <w:rPr>
                <w:b/>
                <w:bCs/>
                <w:color w:val="FFFFFF"/>
              </w:rPr>
              <w:t xml:space="preserve">Action</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QA-001 External ipify.org call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C62828"/>
                <w:sz w:val="18"/>
                <w:szCs w:val="18"/>
              </w:rPr>
              <w:t xml:space="preserve">CRITICAL</w:t>
            </w:r>
          </w:p>
        </w:tc>
        <w:tc>
          <w:tcPr>
            <w:tcW w:type="dxa" w:w="9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0.5d</w:t>
            </w:r>
          </w:p>
        </w:tc>
        <w:tc>
          <w:tcPr>
            <w:tcW w:type="dxa" w:w="49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18"/>
                <w:szCs w:val="18"/>
              </w:rPr>
              <w:t xml:space="preserve">Move IP resolution to backend CheckIn/CheckOut endpoint. Remove fetch() from frontend.</w:t>
            </w:r>
          </w:p>
        </w:tc>
      </w:tr>
      <w:tr>
        <w:tc>
          <w:tcPr>
            <w:tcW w:type="dxa" w:w="52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2</w:t>
            </w:r>
          </w:p>
        </w:tc>
        <w:tc>
          <w:tcPr>
            <w:tcW w:type="dxa" w:w="18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QA-003 Rogue axios in admin.service</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C62828"/>
                <w:sz w:val="18"/>
                <w:szCs w:val="18"/>
              </w:rPr>
              <w:t xml:space="preserve">CRITICAL</w:t>
            </w:r>
          </w:p>
        </w:tc>
        <w:tc>
          <w:tcPr>
            <w:tcW w:type="dxa" w:w="9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0.5d</w:t>
            </w:r>
          </w:p>
        </w:tc>
        <w:tc>
          <w:tcPr>
            <w:tcW w:type="dxa" w:w="494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left"/>
            </w:pPr>
            <w:r>
              <w:rPr>
                <w:b w:val="false"/>
                <w:bCs w:val="false"/>
                <w:color w:val="374151"/>
                <w:sz w:val="18"/>
                <w:szCs w:val="18"/>
              </w:rPr>
              <w:t xml:space="preserve">Route health check via publicClient. Remove import axios from admin.service.ts.</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QA-008 localStorage vs Zustand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E65100"/>
                <w:sz w:val="18"/>
                <w:szCs w:val="18"/>
              </w:rPr>
              <w:t xml:space="preserve">HIGH</w:t>
            </w:r>
          </w:p>
        </w:tc>
        <w:tc>
          <w:tcPr>
            <w:tcW w:type="dxa" w:w="9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1d</w:t>
            </w:r>
          </w:p>
        </w:tc>
        <w:tc>
          <w:tcPr>
            <w:tcW w:type="dxa" w:w="49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18"/>
                <w:szCs w:val="18"/>
              </w:rPr>
              <w:t xml:space="preserve">Replace all localStorage.getItem("user") with useAuthStore() reads across 6 pages.</w:t>
            </w:r>
          </w:p>
        </w:tc>
      </w:tr>
      <w:tr>
        <w:tc>
          <w:tcPr>
            <w:tcW w:type="dxa" w:w="52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4</w:t>
            </w:r>
          </w:p>
        </w:tc>
        <w:tc>
          <w:tcPr>
            <w:tcW w:type="dxa" w:w="18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QA-005 Duplicate routes cleanup</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E65100"/>
                <w:sz w:val="18"/>
                <w:szCs w:val="18"/>
              </w:rPr>
              <w:t xml:space="preserve">HIGH</w:t>
            </w:r>
          </w:p>
        </w:tc>
        <w:tc>
          <w:tcPr>
            <w:tcW w:type="dxa" w:w="9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0.5d</w:t>
            </w:r>
          </w:p>
        </w:tc>
        <w:tc>
          <w:tcPr>
            <w:tcW w:type="dxa" w:w="494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left"/>
            </w:pPr>
            <w:r>
              <w:rPr>
                <w:b w:val="false"/>
                <w:bCs w:val="false"/>
                <w:color w:val="374151"/>
                <w:sz w:val="18"/>
                <w:szCs w:val="18"/>
              </w:rPr>
              <w:t xml:space="preserve">Delete /okr, /feedback360, /org-chart pages. Add redirect()s.</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QA-017 Bulk payroll RBAC gate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LOW</w:t>
            </w:r>
          </w:p>
        </w:tc>
        <w:tc>
          <w:tcPr>
            <w:tcW w:type="dxa" w:w="9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0.5h</w:t>
            </w:r>
          </w:p>
        </w:tc>
        <w:tc>
          <w:tcPr>
            <w:tcW w:type="dxa" w:w="49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18"/>
                <w:szCs w:val="18"/>
              </w:rPr>
              <w:t xml:space="preserve">Add usePermission("payroll.run") guard to bulk-processing/page.tsx.</w:t>
            </w:r>
          </w:p>
        </w:tc>
      </w:tr>
      <w:tr>
        <w:tc>
          <w:tcPr>
            <w:tcW w:type="dxa" w:w="52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6</w:t>
            </w:r>
          </w:p>
        </w:tc>
        <w:tc>
          <w:tcPr>
            <w:tcW w:type="dxa" w:w="18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QA-004 console.* statements</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E65100"/>
                <w:sz w:val="18"/>
                <w:szCs w:val="18"/>
              </w:rPr>
              <w:t xml:space="preserve">HIGH</w:t>
            </w:r>
          </w:p>
        </w:tc>
        <w:tc>
          <w:tcPr>
            <w:tcW w:type="dxa" w:w="9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2d</w:t>
            </w:r>
          </w:p>
        </w:tc>
        <w:tc>
          <w:tcPr>
            <w:tcW w:type="dxa" w:w="494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left"/>
            </w:pPr>
            <w:r>
              <w:rPr>
                <w:b w:val="false"/>
                <w:bCs w:val="false"/>
                <w:color w:val="374151"/>
                <w:sz w:val="18"/>
                <w:szCs w:val="18"/>
              </w:rPr>
              <w:t xml:space="preserve">Add no-console ESLint rule. Do batch removal pass across all modules.</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QA-002 TypeScript any violations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C62828"/>
                <w:sz w:val="18"/>
                <w:szCs w:val="18"/>
              </w:rPr>
              <w:t xml:space="preserve">CRITICAL</w:t>
            </w:r>
          </w:p>
        </w:tc>
        <w:tc>
          <w:tcPr>
            <w:tcW w:type="dxa" w:w="9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3d</w:t>
            </w:r>
          </w:p>
        </w:tc>
        <w:tc>
          <w:tcPr>
            <w:tcW w:type="dxa" w:w="49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18"/>
                <w:szCs w:val="18"/>
              </w:rPr>
              <w:t xml:space="preserve">Enable @typescript-eslint/no-explicit-any. Fix 227 violations in batches by module.</w:t>
            </w:r>
          </w:p>
        </w:tc>
      </w:tr>
      <w:tr>
        <w:tc>
          <w:tcPr>
            <w:tcW w:type="dxa" w:w="52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8</w:t>
            </w:r>
          </w:p>
        </w:tc>
        <w:tc>
          <w:tcPr>
            <w:tcW w:type="dxa" w:w="18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QA-015 error.tsx missing</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LOW</w:t>
            </w:r>
          </w:p>
        </w:tc>
        <w:tc>
          <w:tcPr>
            <w:tcW w:type="dxa" w:w="9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1d</w:t>
            </w:r>
          </w:p>
        </w:tc>
        <w:tc>
          <w:tcPr>
            <w:tcW w:type="dxa" w:w="494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left"/>
            </w:pPr>
            <w:r>
              <w:rPr>
                <w:b w:val="false"/>
                <w:bCs w:val="false"/>
                <w:color w:val="374151"/>
                <w:sz w:val="18"/>
                <w:szCs w:val="18"/>
              </w:rPr>
              <w:t xml:space="preserve">Add error.tsx to /admin, /payroll, /employees, /recruitment, /performance.</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QA-010 33 pages no error handling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F57F17"/>
                <w:sz w:val="18"/>
                <w:szCs w:val="18"/>
              </w:rPr>
              <w:t xml:space="preserve">MEDIUM</w:t>
            </w:r>
          </w:p>
        </w:tc>
        <w:tc>
          <w:tcPr>
            <w:tcW w:type="dxa" w:w="9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2d</w:t>
            </w:r>
          </w:p>
        </w:tc>
        <w:tc>
          <w:tcPr>
            <w:tcW w:type="dxa" w:w="49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18"/>
                <w:szCs w:val="18"/>
              </w:rPr>
              <w:t xml:space="preserve">Add try/catch + error state to highest-traffic pages first (settings/profile, comp-off, shift-swap).</w:t>
            </w:r>
          </w:p>
        </w:tc>
      </w:tr>
      <w:tr>
        <w:tc>
          <w:tcPr>
            <w:tcW w:type="dxa" w:w="52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10</w:t>
            </w:r>
          </w:p>
        </w:tc>
        <w:tc>
          <w:tcPr>
            <w:tcW w:type="dxa" w:w="18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QA-006 RHF+Zod migration</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E65100"/>
                <w:sz w:val="18"/>
                <w:szCs w:val="18"/>
              </w:rPr>
              <w:t xml:space="preserve">HIGH</w:t>
            </w:r>
          </w:p>
        </w:tc>
        <w:tc>
          <w:tcPr>
            <w:tcW w:type="dxa" w:w="9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5d</w:t>
            </w:r>
          </w:p>
        </w:tc>
        <w:tc>
          <w:tcPr>
            <w:tcW w:type="dxa" w:w="494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left"/>
            </w:pPr>
            <w:r>
              <w:rPr>
                <w:b w:val="false"/>
                <w:bCs w:val="false"/>
                <w:color w:val="374151"/>
                <w:sz w:val="18"/>
                <w:szCs w:val="18"/>
              </w:rPr>
              <w:t xml:space="preserve">Migrate admin CRUD forms first. Then attendance/regularization, expenses, contracts.</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QA-009 Promise.all error handling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F57F17"/>
                <w:sz w:val="18"/>
                <w:szCs w:val="18"/>
              </w:rPr>
              <w:t xml:space="preserve">MEDIUM</w:t>
            </w:r>
          </w:p>
        </w:tc>
        <w:tc>
          <w:tcPr>
            <w:tcW w:type="dxa" w:w="9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1d</w:t>
            </w:r>
          </w:p>
        </w:tc>
        <w:tc>
          <w:tcPr>
            <w:tcW w:type="dxa" w:w="49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18"/>
                <w:szCs w:val="18"/>
              </w:rPr>
              <w:t xml:space="preserve">Wrap 15 Promise.all calls in try/catch. Use allSettled where appropriate.</w:t>
            </w:r>
          </w:p>
        </w:tc>
      </w:tr>
      <w:tr>
        <w:tc>
          <w:tcPr>
            <w:tcW w:type="dxa" w:w="52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12</w:t>
            </w:r>
          </w:p>
        </w:tc>
        <w:tc>
          <w:tcPr>
            <w:tcW w:type="dxa" w:w="18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QA-007 React Query migration</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E65100"/>
                <w:sz w:val="18"/>
                <w:szCs w:val="18"/>
              </w:rPr>
              <w:t xml:space="preserve">HIGH</w:t>
            </w:r>
          </w:p>
        </w:tc>
        <w:tc>
          <w:tcPr>
            <w:tcW w:type="dxa" w:w="9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10d</w:t>
            </w:r>
          </w:p>
        </w:tc>
        <w:tc>
          <w:tcPr>
            <w:tcW w:type="dxa" w:w="494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left"/>
            </w:pPr>
            <w:r>
              <w:rPr>
                <w:b w:val="false"/>
                <w:bCs w:val="false"/>
                <w:color w:val="374151"/>
                <w:sz w:val="18"/>
                <w:szCs w:val="18"/>
              </w:rPr>
              <w:t xml:space="preserve">Long-term: convert useEffect+service pages to useQuery. Start with shared data (employees, leave types).</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13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QA-013 SSO domain hardcoded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F57F17"/>
                <w:sz w:val="18"/>
                <w:szCs w:val="18"/>
              </w:rPr>
              <w:t xml:space="preserve">MEDIUM</w:t>
            </w:r>
          </w:p>
        </w:tc>
        <w:tc>
          <w:tcPr>
            <w:tcW w:type="dxa" w:w="9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0.5d</w:t>
            </w:r>
          </w:p>
        </w:tc>
        <w:tc>
          <w:tcPr>
            <w:tcW w:type="dxa" w:w="49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18"/>
                <w:szCs w:val="18"/>
              </w:rPr>
              <w:t xml:space="preserve">Move ALLOWED_DOMAIN to env var NEXT_PUBLIC_SSO_ALLOWED_DOMAIN.</w:t>
            </w:r>
          </w:p>
        </w:tc>
      </w:tr>
      <w:tr>
        <w:tc>
          <w:tcPr>
            <w:tcW w:type="dxa" w:w="52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14</w:t>
            </w:r>
          </w:p>
        </w:tc>
        <w:tc>
          <w:tcPr>
            <w:tcW w:type="dxa" w:w="18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QA-011 /dashboard ambiguity</w:t>
            </w:r>
          </w:p>
        </w:tc>
        <w:tc>
          <w:tcPr>
            <w:tcW w:type="dxa" w:w="12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bCs/>
                <w:color w:val="F57F17"/>
                <w:sz w:val="18"/>
                <w:szCs w:val="18"/>
              </w:rPr>
              <w:t xml:space="preserve">MEDIUM</w:t>
            </w:r>
          </w:p>
        </w:tc>
        <w:tc>
          <w:tcPr>
            <w:tcW w:type="dxa" w:w="90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center"/>
            </w:pPr>
            <w:r>
              <w:rPr>
                <w:b w:val="false"/>
                <w:bCs w:val="false"/>
                <w:color w:val="374151"/>
                <w:sz w:val="18"/>
                <w:szCs w:val="18"/>
              </w:rPr>
              <w:t xml:space="preserve">0.5d</w:t>
            </w:r>
          </w:p>
        </w:tc>
        <w:tc>
          <w:tcPr>
            <w:tcW w:type="dxa" w:w="4940"/>
            <w:tcBorders>
              <w:top w:val="single" w:color="D1D5DB" w:sz="1"/>
              <w:left w:val="single" w:color="D1D5DB" w:sz="1"/>
              <w:bottom w:val="single" w:color="D1D5DB" w:sz="1"/>
              <w:right w:val="single" w:color="D1D5DB" w:sz="1"/>
            </w:tcBorders>
            <w:shd w:fill="EEF2FF" w:val="clear"/>
            <w:tcMar>
              <w:top w:type="dxa" w:w="80"/>
              <w:left w:type="dxa" w:w="100"/>
              <w:bottom w:type="dxa" w:w="80"/>
              <w:right w:type="dxa" w:w="100"/>
            </w:tcMar>
          </w:tcPr>
          <w:p>
            <w:pPr>
              <w:jc w:val="left"/>
            </w:pPr>
            <w:r>
              <w:rPr>
                <w:b w:val="false"/>
                <w:bCs w:val="false"/>
                <w:color w:val="374151"/>
                <w:sz w:val="18"/>
                <w:szCs w:val="18"/>
              </w:rPr>
              <w:t xml:space="preserve">Clarify intent, rename to /dashboards/hr or add redirect. Document in MEMORY.md.</w:t>
            </w:r>
          </w:p>
        </w:tc>
      </w:tr>
      <w:tr>
        <w:tc>
          <w:tcPr>
            <w:tcW w:type="dxa" w:w="52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15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QA-012 Notification preferences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bCs/>
                <w:color w:val="F57F17"/>
                <w:sz w:val="18"/>
                <w:szCs w:val="18"/>
              </w:rPr>
              <w:t xml:space="preserve">MEDIUM</w:t>
            </w:r>
          </w:p>
        </w:tc>
        <w:tc>
          <w:tcPr>
            <w:tcW w:type="dxa" w:w="9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center"/>
            </w:pPr>
            <w:r>
              <w:rPr>
                <w:b w:val="false"/>
                <w:bCs w:val="false"/>
                <w:color w:val="374151"/>
                <w:sz w:val="18"/>
                <w:szCs w:val="18"/>
              </w:rPr>
              <w:t xml:space="preserve">2d</w:t>
            </w:r>
          </w:p>
        </w:tc>
        <w:tc>
          <w:tcPr>
            <w:tcW w:type="dxa" w:w="494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pPr>
              <w:jc w:val="left"/>
            </w:pPr>
            <w:r>
              <w:rPr>
                <w:b w:val="false"/>
                <w:bCs w:val="false"/>
                <w:color w:val="374151"/>
                <w:sz w:val="18"/>
                <w:szCs w:val="18"/>
              </w:rPr>
              <w:t xml:space="preserve">Create backend preferences endpoint and wire to settings/notifications page.</w:t>
            </w:r>
          </w:p>
        </w:tc>
      </w:tr>
    </w:tbl>
    <w:p>
      <w:r>
        <w:br w:type="page"/>
      </w:r>
    </w:p>
    <w:p>
      <w:pPr>
        <w:pStyle w:val="Heading1"/>
      </w:pPr>
      <w:r>
        <w:rPr>
          <w:b/>
          <w:bCs/>
          <w:color w:val="1A237E"/>
        </w:rPr>
        <w:t xml:space="preserve">Appendix — Quick Fix Commands</w:t>
      </w:r>
    </w:p>
    <w:p>
      <w:pPr>
        <w:spacing w:before="120"/>
      </w:pPr>
    </w:p>
    <w:p>
      <w:pPr>
        <w:pStyle w:val="Heading3"/>
      </w:pPr>
      <w:r>
        <w:rPr>
          <w:b/>
          <w:bCs/>
          <w:color w:val="374151"/>
        </w:rPr>
        <w:t xml:space="preserve">Find all console statements</w:t>
      </w:r>
    </w:p>
    <w:p>
      <w:pPr>
        <w:spacing w:after="120"/>
      </w:pPr>
      <w:r>
        <w:rPr>
          <w:rFonts w:ascii="Courier New" w:cs="Courier New" w:eastAsia="Courier New" w:hAnsi="Courier New"/>
          <w:color w:val="1E40AF"/>
          <w:sz w:val="18"/>
          <w:szCs w:val="18"/>
        </w:rPr>
        <w:t xml:space="preserve">cd frontend &amp;&amp; grep -rn "console\.log\|console\.error\|console\.warn" app --include="*.tsx" | wc -l</w:t>
      </w:r>
    </w:p>
    <w:p>
      <w:pPr>
        <w:pStyle w:val="Heading3"/>
      </w:pPr>
      <w:r>
        <w:rPr>
          <w:b/>
          <w:bCs/>
          <w:color w:val="374151"/>
        </w:rPr>
        <w:t xml:space="preserve">Find all TypeScript any violations</w:t>
      </w:r>
    </w:p>
    <w:p>
      <w:pPr>
        <w:spacing w:after="120"/>
      </w:pPr>
      <w:r>
        <w:rPr>
          <w:rFonts w:ascii="Courier New" w:cs="Courier New" w:eastAsia="Courier New" w:hAnsi="Courier New"/>
          <w:color w:val="1E40AF"/>
          <w:sz w:val="18"/>
          <w:szCs w:val="18"/>
        </w:rPr>
        <w:t xml:space="preserve">cd frontend &amp;&amp; grep -rn ": any\|as any\|&lt;any&gt;" app --include="*.tsx" | wc -l</w:t>
      </w:r>
    </w:p>
    <w:p>
      <w:pPr>
        <w:pStyle w:val="Heading3"/>
      </w:pPr>
      <w:r>
        <w:rPr>
          <w:b/>
          <w:bCs/>
          <w:color w:val="374151"/>
        </w:rPr>
        <w:t xml:space="preserve">Find forms not using React Hook Form</w:t>
      </w:r>
    </w:p>
    <w:p>
      <w:pPr>
        <w:spacing w:after="120"/>
      </w:pPr>
      <w:r>
        <w:rPr>
          <w:rFonts w:ascii="Courier New" w:cs="Courier New" w:eastAsia="Courier New" w:hAnsi="Courier New"/>
          <w:color w:val="1E40AF"/>
          <w:sz w:val="18"/>
          <w:szCs w:val="18"/>
        </w:rPr>
        <w:t xml:space="preserve">grep -rl "onSubmit\|&lt;form" app --include="*.tsx" | xargs grep -L "useForm\|zodResolver"</w:t>
      </w:r>
    </w:p>
    <w:p>
      <w:pPr>
        <w:pStyle w:val="Heading3"/>
      </w:pPr>
      <w:r>
        <w:rPr>
          <w:b/>
          <w:bCs/>
          <w:color w:val="374151"/>
        </w:rPr>
        <w:t xml:space="preserve">Find pages violating React Query rule</w:t>
      </w:r>
    </w:p>
    <w:p>
      <w:pPr>
        <w:spacing w:after="120"/>
      </w:pPr>
      <w:r>
        <w:rPr>
          <w:rFonts w:ascii="Courier New" w:cs="Courier New" w:eastAsia="Courier New" w:hAnsi="Courier New"/>
          <w:color w:val="1E40AF"/>
          <w:sz w:val="18"/>
          <w:szCs w:val="18"/>
        </w:rPr>
        <w:t xml:space="preserve">grep -rl "useEffect" app --include="*.tsx" | xargs grep -l "service\." | xargs grep -L "useQuery\|useMutation"</w:t>
      </w:r>
    </w:p>
    <w:p>
      <w:pPr>
        <w:pStyle w:val="Heading3"/>
      </w:pPr>
      <w:r>
        <w:rPr>
          <w:b/>
          <w:bCs/>
          <w:color w:val="374151"/>
        </w:rPr>
        <w:t xml:space="preserve">Find localStorage direct reads (outside Zustand)</w:t>
      </w:r>
    </w:p>
    <w:p>
      <w:pPr>
        <w:spacing w:after="240"/>
      </w:pPr>
      <w:r>
        <w:rPr>
          <w:rFonts w:ascii="Courier New" w:cs="Courier New" w:eastAsia="Courier New" w:hAnsi="Courier New"/>
          <w:color w:val="1E40AF"/>
          <w:sz w:val="18"/>
          <w:szCs w:val="18"/>
        </w:rPr>
        <w:t xml:space="preserve">grep -rn "localStorage\.getItem" app --include="*.tsx" | grep -v "auth-storage\|persist"</w:t>
      </w:r>
    </w:p>
    <w:p>
      <w:pPr>
        <w:spacing w:before="240"/>
      </w:pPr>
    </w:p>
    <w:p>
      <w:pPr>
        <w:pBdr>
          <w:bottom w:val="single" w:color="1A237E" w:sz="6" w:space="1"/>
        </w:pBdr>
        <w:spacing w:after="120"/>
      </w:pPr>
    </w:p>
    <w:p>
      <w:pPr>
        <w:jc w:val="center"/>
      </w:pPr>
      <w:r>
        <w:rPr>
          <w:color w:val="9CA3AF"/>
          <w:sz w:val="16"/>
          <w:szCs w:val="16"/>
        </w:rPr>
        <w:t xml:space="preserve">NU-AURA QA Audit Report — Generated March 13, 2026  |  Nulogic Engineering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2"/>
      </w:pBdr>
      <w:tabs>
        <w:tab w:val="right" w:pos="9360"/>
      </w:tabs>
      <w:jc w:val="right"/>
    </w:pPr>
    <w:r>
      <w:rPr>
        <w:color w:val="9CA3AF"/>
        <w:sz w:val="18"/>
        <w:szCs w:val="18"/>
      </w:rPr>
      <w:t xml:space="preserve">Confidential — Nulogic Engineering  |  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4" w:space="2"/>
      </w:pBdr>
    </w:pPr>
    <w:r>
      <w:rPr>
        <w:b/>
        <w:bCs/>
        <w:color w:val="1A237E"/>
      </w:rPr>
      <w:t xml:space="preserve">NU-AURA Platform </w:t>
    </w:r>
    <w:r>
      <w:rPr>
        <w:color w:val="6B7280"/>
        <w:sz w:val="20"/>
        <w:szCs w:val="20"/>
      </w:rPr>
      <w:t xml:space="preserve">— QA Audit Report  |  March 13,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0"/>
        <w:szCs w:val="20"/>
      </w:rPr>
    </w:lvl>
    <w:lvl w:ilvl="1" w15:tentative="1">
      <w:start w:val="1"/>
      <w:numFmt w:val="bullet"/>
      <w:lvlText w:val="◦"/>
      <w:lvlJc w:val="left"/>
      <w:pPr>
        <w:ind w:left="1080" w:hanging="360"/>
      </w:pPr>
      <w:rPr>
        <w:sz w:val="18"/>
        <w:szCs w:val="1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237E"/>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A237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2026-03-13T13:22:55.387Z</dcterms:created>
  <dcterms:modified xsi:type="dcterms:W3CDTF">2026-03-13T13:22:55.387Z</dcterms:modified>
</cp:coreProperties>
</file>

<file path=docProps/custom.xml><?xml version="1.0" encoding="utf-8"?>
<Properties xmlns="http://schemas.openxmlformats.org/officeDocument/2006/custom-properties" xmlns:vt="http://schemas.openxmlformats.org/officeDocument/2006/docPropsVTypes"/>
</file>