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يبدأ سريان هذا العَقْدُ اعتبارًا من تاريخ توقيعه من قبل الطرفين.</w:t>
      </w:r>
    </w:p>
    <w:p>
      <w:r>
        <w:t xml:space="preserve">في حال فسخ العقد قبل انتهاء مدته يلتزم المستأجر بدفع إيجار شهرين.</w:t>
      </w:r>
    </w:p>
    <w:p>
      <w:r>
        <w:t xml:space="preserve">تُحفظ العقود الموقعة في الأرشيف.</w:t>
      </w:r>
    </w:p>
  </w:body>
</w:document>
</file>