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6"/>
          <w:szCs w:val="36"/>
        </w:rPr>
        <w:t xml:space="preserve">CAHIER D'ANALYSE</w:t>
      </w:r>
    </w:p>
    <w:p>
      <w:pPr>
        <w:spacing w:after="200"/>
        <w:jc w:val="center"/>
      </w:pPr>
      <w:r>
        <w:rPr>
          <w:b/>
          <w:bCs/>
          <w:sz w:val="28"/>
          <w:szCs w:val="28"/>
        </w:rPr>
        <w:t xml:space="preserve">Projet E-TONTINE</w:t>
      </w:r>
    </w:p>
    <w:p>
      <w:pPr>
        <w:spacing w:after="400"/>
        <w:jc w:val="center"/>
      </w:pPr>
      <w:r>
        <w:rPr>
          <w:sz w:val="22"/>
          <w:szCs w:val="22"/>
        </w:rPr>
        <w:t xml:space="preserve">Analyse et implémentation d'une application web de gestion de tontines communautaires</w:t>
      </w:r>
    </w:p>
    <w:p>
      <w:r>
        <w:br w:type="page"/>
      </w:r>
    </w:p>
    <w:p>
      <w:pPr>
        <w:pStyle w:val="Heading1"/>
      </w:pPr>
      <w:r>
        <w:t xml:space="preserve">I. Contexte du projet</w:t>
      </w:r>
    </w:p>
    <w:p>
      <w:pPr>
        <w:spacing w:after="120"/>
      </w:pPr>
      <w:r>
        <w:t xml:space="preserve">La tontine est une pratique d'épargne collective solidaire très répandue au Cameroun et en Afrique subsaharienne. Malgré son importance économique, sa gestion repose encore largement sur des registres papier, source d'erreurs, d'opacité et de conflits entre membres.</w:t>
      </w:r>
    </w:p>
    <w:p>
      <w:pPr>
        <w:spacing w:after="120"/>
      </w:pPr>
      <w:r>
        <w:t xml:space="preserve">E-Tontine est une application web visant à digitaliser l'intégralité du cycle de vie d'une tontine communautaire : adhésion des membres, cycles rotatifs, rubriques, réunions, épargne individuelle, prêts internes, paiements Mobile Money et reporting. Le projet s'inscrit dans une démarche de transparence, traçabilité et sécurisation des opérations financières informelles.</w:t>
      </w:r>
    </w:p>
    <w:p>
      <w:pPr>
        <w:spacing w:after="120"/>
      </w:pPr>
      <w:r>
        <w:rPr>
          <w:b/>
          <w:bCs/>
        </w:rPr>
        <w:t xml:space="preserve">Problématique : </w:t>
      </w:r>
      <w:r>
        <w:t xml:space="preserve">Comment concevoir une application web adaptée aux réalités camerounaises, capable de couvrir tout le cycle de vie d'une tontine tout en garantissant transparence, traçabilité et sécurité des données ?</w:t>
      </w:r>
    </w:p>
    <w:p>
      <w:pPr>
        <w:spacing w:after="200"/>
      </w:pPr>
      <w:r>
        <w:rPr>
          <w:b/>
          <w:bCs/>
        </w:rPr>
        <w:t xml:space="preserve">Objectif général : </w:t>
      </w:r>
      <w:r>
        <w:t xml:space="preserve">Développer une plateforme web permettant aux administrateurs et aux membres de suivre les activités financières et organisationnelles d'un groupe de manière fiable, centralisée et transparente.</w:t>
      </w:r>
    </w:p>
    <w:p>
      <w:pPr>
        <w:pStyle w:val="Heading1"/>
      </w:pPr>
      <w:r>
        <w:t xml:space="preserve">II. Rappel des besoins</w:t>
      </w:r>
    </w:p>
    <w:p>
      <w:pPr>
        <w:pStyle w:val="Heading2"/>
      </w:pPr>
      <w:r>
        <w:t xml:space="preserve">II.1 Besoins fonctionnels</w:t>
      </w:r>
    </w:p>
    <w:p>
      <w:pPr>
        <w:spacing w:after="80"/>
      </w:pPr>
      <w:r>
        <w:t xml:space="preserve">Les besoins fonctionnels décrivent ce que le système doit faire pour répondre aux attentes des utilisateurs. Ils sont regroupés par module métier.</w:t>
      </w:r>
    </w:p>
    <w:p>
      <w:pPr>
        <w:pStyle w:val="ListParagraph"/>
        <w:numPr>
          <w:ilvl w:val="0"/>
          <w:numId w:val="2"/>
        </w:numPr>
      </w:pPr>
      <w:r>
        <w:t xml:space="preserve">Authentification : inscription, connexion, déconnexion, réinitialisation et mise à jour du profil.</w:t>
      </w:r>
    </w:p>
    <w:p>
      <w:pPr>
        <w:pStyle w:val="ListParagraph"/>
        <w:numPr>
          <w:ilvl w:val="0"/>
          <w:numId w:val="2"/>
        </w:numPr>
      </w:pPr>
      <w:r>
        <w:t xml:space="preserve">Groupes : création, configuration, suppression, tableau de bord et rapports globaux.</w:t>
      </w:r>
    </w:p>
    <w:p>
      <w:pPr>
        <w:pStyle w:val="ListParagraph"/>
        <w:numPr>
          <w:ilvl w:val="0"/>
          <w:numId w:val="2"/>
        </w:numPr>
      </w:pPr>
      <w:r>
        <w:t xml:space="preserve">Membres : invitations, rôles ADMIN/MEMBRE, exclusion et réintégration.</w:t>
      </w:r>
    </w:p>
    <w:p>
      <w:pPr>
        <w:pStyle w:val="ListParagraph"/>
        <w:numPr>
          <w:ilvl w:val="0"/>
          <w:numId w:val="2"/>
        </w:numPr>
      </w:pPr>
      <w:r>
        <w:t xml:space="preserve">Cycles : participants, ordre de passage, cotisations, pénalités, versements et échanges de tour.</w:t>
      </w:r>
    </w:p>
    <w:p>
      <w:pPr>
        <w:pStyle w:val="ListParagraph"/>
        <w:numPr>
          <w:ilvl w:val="0"/>
          <w:numId w:val="2"/>
        </w:numPr>
      </w:pPr>
      <w:r>
        <w:t xml:space="preserve">Rubriques : cotisations ponctuelles ou récurrentes, paiements et retraits.</w:t>
      </w:r>
    </w:p>
    <w:p>
      <w:pPr>
        <w:pStyle w:val="ListParagraph"/>
        <w:numPr>
          <w:ilvl w:val="0"/>
          <w:numId w:val="2"/>
        </w:numPr>
      </w:pPr>
      <w:r>
        <w:t xml:space="preserve">Réunions : planification, présences, amendes et caisse dédiée.</w:t>
      </w:r>
    </w:p>
    <w:p>
      <w:pPr>
        <w:pStyle w:val="ListParagraph"/>
        <w:numPr>
          <w:ilvl w:val="0"/>
          <w:numId w:val="2"/>
        </w:numPr>
      </w:pPr>
      <w:r>
        <w:t xml:space="preserve">Épargne : comptes individuels, dépôts, retraits, signalements et audit.</w:t>
      </w:r>
    </w:p>
    <w:p>
      <w:pPr>
        <w:pStyle w:val="ListParagraph"/>
        <w:numPr>
          <w:ilvl w:val="0"/>
          <w:numId w:val="2"/>
        </w:numPr>
      </w:pPr>
      <w:r>
        <w:t xml:space="preserve">Prêts internes : demande, avalistes, approbation, décaissement et remboursement.</w:t>
      </w:r>
    </w:p>
    <w:p>
      <w:pPr>
        <w:pStyle w:val="ListParagraph"/>
        <w:numPr>
          <w:ilvl w:val="0"/>
          <w:numId w:val="2"/>
        </w:numPr>
      </w:pPr>
      <w:r>
        <w:t xml:space="preserve">Paiements : initiation Mobile Money, suivi et finalisation multi-contextes.</w:t>
      </w:r>
    </w:p>
    <w:p>
      <w:pPr>
        <w:pStyle w:val="ListParagraph"/>
        <w:numPr>
          <w:ilvl w:val="0"/>
          <w:numId w:val="2"/>
        </w:numPr>
      </w:pPr>
      <w:r>
        <w:t xml:space="preserve">Finances : journal centralisé, caisses typées, notifications et exports PDF/Excel.</w:t>
      </w:r>
    </w:p>
    <w:p>
      <w:pPr>
        <w:pStyle w:val="Heading2"/>
      </w:pPr>
      <w:r>
        <w:t xml:space="preserve">II.2 Besoins non fonctionnels</w:t>
      </w:r>
    </w:p>
    <w:p>
      <w:pPr>
        <w:pStyle w:val="ListParagraph"/>
        <w:numPr>
          <w:ilvl w:val="0"/>
          <w:numId w:val="2"/>
        </w:numPr>
      </w:pPr>
      <w:r>
        <w:t xml:space="preserve">Sécurité : authentification Supabase, contrôle d'accès par membership et séparation admin/membre.</w:t>
      </w:r>
    </w:p>
    <w:p>
      <w:pPr>
        <w:pStyle w:val="ListParagraph"/>
        <w:numPr>
          <w:ilvl w:val="0"/>
          <w:numId w:val="2"/>
        </w:numPr>
      </w:pPr>
      <w:r>
        <w:t xml:space="preserve">Intégrité : transactions atomiques, journal financier avec soldes avant/après.</w:t>
      </w:r>
    </w:p>
    <w:p>
      <w:pPr>
        <w:pStyle w:val="ListParagraph"/>
        <w:numPr>
          <w:ilvl w:val="0"/>
          <w:numId w:val="2"/>
        </w:numPr>
      </w:pPr>
      <w:r>
        <w:t xml:space="preserve">Performance : indexation base de données, pagination des finances.</w:t>
      </w:r>
    </w:p>
    <w:p>
      <w:pPr>
        <w:pStyle w:val="ListParagraph"/>
        <w:numPr>
          <w:ilvl w:val="0"/>
          <w:numId w:val="2"/>
        </w:numPr>
      </w:pPr>
      <w:r>
        <w:t xml:space="preserve">Disponibilité : déploiement cloud (Vercel), endpoint de santé, Node.js ≥ 20.</w:t>
      </w:r>
    </w:p>
    <w:p>
      <w:pPr>
        <w:pStyle w:val="ListParagraph"/>
        <w:numPr>
          <w:ilvl w:val="0"/>
          <w:numId w:val="2"/>
        </w:numPr>
      </w:pPr>
      <w:r>
        <w:t xml:space="preserve">Utilisabilité : interface bilingue FR/EN, responsive, statuts visuels VERT/ORANGE/ROUGE.</w:t>
      </w:r>
    </w:p>
    <w:p>
      <w:pPr>
        <w:pStyle w:val="ListParagraph"/>
        <w:numPr>
          <w:ilvl w:val="0"/>
          <w:numId w:val="2"/>
        </w:numPr>
      </w:pPr>
      <w:r>
        <w:t xml:space="preserve">Traçabilité : notifications métier, rapports PDF/Excel, audit épargne.</w:t>
      </w:r>
    </w:p>
    <w:p>
      <w:pPr>
        <w:pStyle w:val="Heading1"/>
      </w:pPr>
      <w:r>
        <w:t xml:space="preserve">III. Acteurs du système</w:t>
      </w:r>
    </w:p>
    <w:p>
      <w:pPr>
        <w:spacing w:after="120"/>
      </w:pPr>
      <w:r>
        <w:t xml:space="preserve">À partir de l'étude du domaine de la tontine et de l'application E-Tontine, nous identifions les acteurs suivants :</w:t>
      </w:r>
    </w:p>
    <w:p>
      <w:r>
        <w:rPr>
          <w:b/>
          <w:bCs/>
        </w:rPr>
        <w:t xml:space="preserve">Visiteur</w:t>
      </w:r>
      <w:r>
        <w:t xml:space="preserve"> : consulte la page d'accueil publique et peut créer un compte ou ouvrir un lien d'invitation.</w:t>
      </w:r>
    </w:p>
    <w:p>
      <w:r>
        <w:rPr>
          <w:b/>
          <w:bCs/>
        </w:rPr>
        <w:t xml:space="preserve">Utilisateur authentifié</w:t>
      </w:r>
      <w:r>
        <w:t xml:space="preserve"> : accède au tableau de bord global et à son compte personnel.</w:t>
      </w:r>
    </w:p>
    <w:p>
      <w:r>
        <w:rPr>
          <w:b/>
          <w:bCs/>
        </w:rPr>
        <w:t xml:space="preserve">Membre de groupe</w:t>
      </w:r>
      <w:r>
        <w:t xml:space="preserve"> : participe aux cycles, paie ses obligations, consulte son épargne et reçoit des notifications.</w:t>
      </w:r>
    </w:p>
    <w:p>
      <w:r>
        <w:rPr>
          <w:b/>
          <w:bCs/>
        </w:rPr>
        <w:t xml:space="preserve">Administrateur de groupe</w:t>
      </w:r>
      <w:r>
        <w:t xml:space="preserve"> : pilote le groupe (membres, cycles, finances, prêts, réunions, rapports).</w:t>
      </w:r>
    </w:p>
    <w:p>
      <w:r>
        <w:rPr>
          <w:b/>
          <w:bCs/>
        </w:rPr>
        <w:t xml:space="preserve">Avaliste</w:t>
      </w:r>
      <w:r>
        <w:t xml:space="preserve"> : membre garant d'un prêt interne, accepte ou refuse la garantie.</w:t>
      </w:r>
    </w:p>
    <w:p>
      <w:pPr>
        <w:spacing w:after="160"/>
      </w:pPr>
      <w:r>
        <w:rPr>
          <w:b/>
          <w:bCs/>
        </w:rPr>
        <w:t xml:space="preserve">Système</w:t>
      </w:r>
      <w:r>
        <w:t xml:space="preserve"> : applique automatiquement pénalités, rappels et finalisations de paiements.</w:t>
      </w:r>
    </w:p>
    <w:p>
      <w:pPr>
        <w:pStyle w:val="Heading1"/>
      </w:pPr>
      <w:r>
        <w:t xml:space="preserve">IV. Diagrammes de cas d'utilisation globaux</w:t>
      </w:r>
    </w:p>
    <w:p>
      <w:pPr>
        <w:spacing w:after="100"/>
      </w:pPr>
      <w:r>
        <w:t xml:space="preserve">Les diagrammes ci-dessous présentent une vue synthétique des interactions entre les acteurs principaux et le système E-Tontine.</w:t>
      </w:r>
    </w:p>
    <w:p>
      <w:pPr>
        <w:spacing w:after="60" w:before="120"/>
      </w:pPr>
      <w:r>
        <w:rPr>
          <w:b/>
          <w:bCs/>
        </w:rPr>
        <w:t xml:space="preserve">Figure 1 : Diagramme de cas d'utilisation — Administrateur de groupe</w:t>
      </w:r>
    </w:p>
    <w:p>
      <w:pPr>
        <w:spacing w:after="100" w:before="100"/>
        <w:jc w:val="center"/>
      </w:pPr>
      <w:r>
        <w:drawing>
          <wp:inline distT="0" distB="0" distL="0" distR="0">
            <wp:extent cx="4953000" cy="3143250"/>
            <wp:effectExtent t="0" r="0" b="0" l="0"/>
            <wp:docPr id="1" name="uc-global-admin" descr="uc-global-admin" title="uc-global-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43250"/>
                    </a:xfrm>
                    <a:prstGeom prst="rect">
                      <a:avLst/>
                    </a:prstGeom>
                  </pic:spPr>
                </pic:pic>
              </a:graphicData>
            </a:graphic>
          </wp:inline>
        </w:drawing>
      </w:r>
    </w:p>
    <w:p>
      <w:pPr>
        <w:spacing w:after="160"/>
      </w:pPr>
      <w:r>
        <w:t xml:space="preserve">L'administrateur dispose d'un accès complet à la gestion du groupe : membres, cycles, rubriques, réunions, épargne, prêts, paiements sortants, finances et rapports.</w:t>
      </w:r>
    </w:p>
    <w:p>
      <w:pPr>
        <w:spacing w:after="60" w:before="120"/>
      </w:pPr>
      <w:r>
        <w:rPr>
          <w:b/>
          <w:bCs/>
        </w:rPr>
        <w:t xml:space="preserve">Figure 2 : Diagramme de cas d'utilisation — Membre / Visiteur</w:t>
      </w:r>
    </w:p>
    <w:p>
      <w:pPr>
        <w:spacing w:after="100" w:before="100"/>
        <w:jc w:val="center"/>
      </w:pPr>
      <w:r>
        <w:drawing>
          <wp:inline distT="0" distB="0" distL="0" distR="0">
            <wp:extent cx="4953000" cy="2952750"/>
            <wp:effectExtent t="0" r="0" b="0" l="0"/>
            <wp:docPr id="1" name="uc-global-membre" descr="uc-global-membre" title="uc-global-m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52750"/>
                    </a:xfrm>
                    <a:prstGeom prst="rect">
                      <a:avLst/>
                    </a:prstGeom>
                  </pic:spPr>
                </pic:pic>
              </a:graphicData>
            </a:graphic>
          </wp:inline>
        </w:drawing>
      </w:r>
    </w:p>
    <w:p>
      <w:pPr>
        <w:pStyle w:val="Heading1"/>
      </w:pPr>
      <w:r>
        <w:t xml:space="preserve">V. Analyse des cas d'utilisation</w:t>
      </w:r>
    </w:p>
    <w:p>
      <w:pPr>
        <w:spacing w:after="120"/>
      </w:pPr>
      <w:r>
        <w:t xml:space="preserve">Pour chaque cas d'utilisation majeur : fiche descriptive (modèle TAMELA), diagramme de cas d'utilisation et diagramme d'activité.</w:t>
      </w:r>
    </w:p>
    <w:p>
      <w:pPr>
        <w:pStyle w:val="Heading2"/>
      </w:pPr>
      <w:r>
        <w:t xml:space="preserve">1. Analyse du cas d'utilisation « S'authentifier »</w:t>
      </w:r>
    </w:p>
    <w:p>
      <w:pPr>
        <w:spacing w:after="60"/>
      </w:pPr>
      <w:r>
        <w:rPr>
          <w:b/>
          <w:bCs/>
        </w:rPr>
        <w:t xml:space="preserve">Tableau 1 : Description du cas d'utilisation « S'authentifier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S'authentifier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à un utilisateur d'accéder à l'application E-Tontine de manière sécurisée.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Visiteur, Utilisateur authentifié</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Pour la connexion : posséder un compte validé. Pour l'inscription : fournir email, mot de passe, nom, prénom et téléphone uniques.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L'utilisateur accède à la page de connexion ou d'inscription ;
• Il saisit ses identifiants ou ses informations d'inscription ;
• Le système vérifie les données via Supabase Auth ;
• Le système crée ou restaure la session et redirige vers le tableau de bord.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L'utilisateur accède au tableau de bord avec un menu adapté à son profil.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Identifiants incorrects, email déjà utilisé, téléphone déjà utilisé ou lien de confirmation expiré.</w:t>
            </w:r>
          </w:p>
        </w:tc>
      </w:tr>
    </w:tbl>
    <w:p>
      <w:pPr>
        <w:spacing w:after="40" w:before="140"/>
      </w:pPr>
      <w:r>
        <w:rPr>
          <w:b/>
          <w:bCs/>
          <w:i/>
          <w:iCs/>
        </w:rPr>
        <w:t xml:space="preserve">Description du cas d'utilisation</w:t>
      </w:r>
    </w:p>
    <w:p>
      <w:pPr>
        <w:spacing w:after="60" w:before="120"/>
      </w:pPr>
      <w:r>
        <w:rPr>
          <w:b/>
          <w:bCs/>
        </w:rPr>
        <w:t xml:space="preserve">Figure 3 : Diagramme de cas d'utilisation — S'authentifier</w:t>
      </w:r>
    </w:p>
    <w:p>
      <w:pPr>
        <w:spacing w:after="100" w:before="100"/>
        <w:jc w:val="center"/>
      </w:pPr>
      <w:r>
        <w:drawing>
          <wp:inline distT="0" distB="0" distL="0" distR="0">
            <wp:extent cx="4762500" cy="2857500"/>
            <wp:effectExtent t="0" r="0" b="0" l="0"/>
            <wp:docPr id="1" name="uc-auth" descr="uc-auth" title="uc-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UC-A01</w:t>
      </w:r>
    </w:p>
    <w:p>
      <w:pPr>
        <w:spacing w:after="40" w:before="100"/>
      </w:pPr>
      <w:r>
        <w:rPr>
          <w:b/>
          <w:bCs/>
          <w:i/>
          <w:iCs/>
        </w:rPr>
        <w:t xml:space="preserve">Activité du cas d'utilisation</w:t>
      </w:r>
    </w:p>
    <w:p>
      <w:pPr>
        <w:spacing w:after="60" w:before="120"/>
      </w:pPr>
      <w:r>
        <w:rPr>
          <w:b/>
          <w:bCs/>
        </w:rPr>
        <w:t xml:space="preserve">Figure 4 : Diagramme d'activité — S'authentifier</w:t>
      </w:r>
    </w:p>
    <w:p>
      <w:pPr>
        <w:spacing w:after="100" w:before="100"/>
        <w:jc w:val="center"/>
      </w:pPr>
      <w:r>
        <w:drawing>
          <wp:inline distT="0" distB="0" distL="0" distR="0">
            <wp:extent cx="4762500" cy="2995613"/>
            <wp:effectExtent t="0" r="0" b="0" l="0"/>
            <wp:docPr id="1" name="act-auth" descr="act-auth" title="act-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95613"/>
                    </a:xfrm>
                    <a:prstGeom prst="rect">
                      <a:avLst/>
                    </a:prstGeom>
                  </pic:spPr>
                </pic:pic>
              </a:graphicData>
            </a:graphic>
          </wp:inline>
        </w:drawing>
      </w:r>
    </w:p>
    <w:p>
      <w:pPr>
        <w:spacing w:after="200"/>
      </w:pPr>
      <w:r>
        <w:t xml:space="preserve"/>
      </w:r>
    </w:p>
    <w:p>
      <w:pPr>
        <w:pStyle w:val="Heading2"/>
      </w:pPr>
      <w:r>
        <w:t xml:space="preserve">2. Analyse du cas d'utilisation « Gérer un groupe »</w:t>
      </w:r>
    </w:p>
    <w:p>
      <w:pPr>
        <w:spacing w:after="60"/>
      </w:pPr>
      <w:r>
        <w:rPr>
          <w:b/>
          <w:bCs/>
        </w:rPr>
        <w:t xml:space="preserve">Tableau 2 : Description du cas d'utilisation « Gérer un groupe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un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de créer, configurer et administrer un espace de tontine numérique.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Utilisateur authentifié (devient Administrateur), Administrateur de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L'utilisateur est authentifié. Pour la modification : être ADMIN du groupe concerné.</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L'administrateur accède à la section groupes ;
• Il crée un groupe (nom, description, devise) ou modifie les paramètres ;
• Le système enregistre le groupe et associe le créateur comme premier ADMIN ;
• L'administrateur peut exporter un rapport global PDF/Excel.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groupe est disponible dans le tableau de bord des membres autorisés.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Nom de groupe invalide, droits insuffisants ou groupe contenant encore des opérations non clôturées lors de la suppression.</w:t>
            </w:r>
          </w:p>
        </w:tc>
      </w:tr>
    </w:tbl>
    <w:p>
      <w:pPr>
        <w:spacing w:after="40" w:before="140"/>
      </w:pPr>
      <w:r>
        <w:rPr>
          <w:b/>
          <w:bCs/>
          <w:i/>
          <w:iCs/>
        </w:rPr>
        <w:t xml:space="preserve">Description du cas d'utilisation</w:t>
      </w:r>
    </w:p>
    <w:p>
      <w:pPr>
        <w:spacing w:after="60" w:before="120"/>
      </w:pPr>
      <w:r>
        <w:rPr>
          <w:b/>
          <w:bCs/>
        </w:rPr>
        <w:t xml:space="preserve">Figure 5 : Diagramme de cas d'utilisation — Gérer un groupe</w:t>
      </w:r>
    </w:p>
    <w:p>
      <w:pPr>
        <w:spacing w:after="100" w:before="100"/>
        <w:jc w:val="center"/>
      </w:pPr>
      <w:r>
        <w:drawing>
          <wp:inline distT="0" distB="0" distL="0" distR="0">
            <wp:extent cx="4762500" cy="2857500"/>
            <wp:effectExtent t="0" r="0" b="0" l="0"/>
            <wp:docPr id="1" name="uc-groupe" descr="uc-groupe" title="uc-gro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UC-G01</w:t>
      </w:r>
    </w:p>
    <w:p>
      <w:pPr>
        <w:spacing w:after="40" w:before="100"/>
      </w:pPr>
      <w:r>
        <w:rPr>
          <w:b/>
          <w:bCs/>
          <w:i/>
          <w:iCs/>
        </w:rPr>
        <w:t xml:space="preserve">Activité du cas d'utilisation</w:t>
      </w:r>
    </w:p>
    <w:p>
      <w:pPr>
        <w:spacing w:after="60" w:before="120"/>
      </w:pPr>
      <w:r>
        <w:rPr>
          <w:b/>
          <w:bCs/>
        </w:rPr>
        <w:t xml:space="preserve">Figure 6 : Diagramme d'activité — Gérer un groupe</w:t>
      </w:r>
    </w:p>
    <w:p>
      <w:pPr>
        <w:spacing w:after="100" w:before="100"/>
        <w:jc w:val="center"/>
      </w:pPr>
      <w:r>
        <w:drawing>
          <wp:inline distT="0" distB="0" distL="0" distR="0">
            <wp:extent cx="4762500" cy="4598670"/>
            <wp:effectExtent t="0" r="0" b="0" l="0"/>
            <wp:docPr id="1" name="act-groupe" descr="act-groupe" title="act-gro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598670"/>
                    </a:xfrm>
                    <a:prstGeom prst="rect">
                      <a:avLst/>
                    </a:prstGeom>
                  </pic:spPr>
                </pic:pic>
              </a:graphicData>
            </a:graphic>
          </wp:inline>
        </w:drawing>
      </w:r>
    </w:p>
    <w:p>
      <w:pPr>
        <w:spacing w:after="200"/>
      </w:pPr>
      <w:r>
        <w:t xml:space="preserve"/>
      </w:r>
    </w:p>
    <w:p>
      <w:pPr>
        <w:pStyle w:val="Heading2"/>
      </w:pPr>
      <w:r>
        <w:t xml:space="preserve">3. Analyse du cas d'utilisation « Gérer les membres et invitations »</w:t>
      </w:r>
    </w:p>
    <w:p>
      <w:pPr>
        <w:spacing w:after="60"/>
      </w:pPr>
      <w:r>
        <w:rPr>
          <w:b/>
          <w:bCs/>
        </w:rPr>
        <w:t xml:space="preserve">Tableau 3 : Description du cas d'utilisation « Gérer les membres et invitations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les membres et invitations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d'intégrer, gérer les rôles et contrôler l'adhésion des participants au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Administrateur de groupe, Utilisateur invité, Membre exclu</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groupe existe. L'administrateur est ACTIF. Un code d'invitation valide existe pour rejoindre le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L'administrateur génère ou révoque un code d'invitation ;
• Un utilisateur rejoint le groupe via le code ;
• L'administrateur promeut, rétrograde, exclut ou réintègre un membre ;
• Le système met à jour le rôle et le statut d'adhésion (ACTIF, INACTIF, EN_ATTENTE).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La liste des membres et leurs droits sont à jour.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Code révoqué, membre déjà présent, ou tentative de réintégration sans validation admin.</w:t>
            </w:r>
          </w:p>
        </w:tc>
      </w:tr>
    </w:tbl>
    <w:p>
      <w:pPr>
        <w:spacing w:after="40" w:before="140"/>
      </w:pPr>
      <w:r>
        <w:rPr>
          <w:b/>
          <w:bCs/>
          <w:i/>
          <w:iCs/>
        </w:rPr>
        <w:t xml:space="preserve">Description du cas d'utilisation</w:t>
      </w:r>
    </w:p>
    <w:p>
      <w:pPr>
        <w:spacing w:after="60" w:before="120"/>
      </w:pPr>
      <w:r>
        <w:rPr>
          <w:b/>
          <w:bCs/>
        </w:rPr>
        <w:t xml:space="preserve">Figure 7 : Diagramme de cas d'utilisation — Gérer les membres et invitations</w:t>
      </w:r>
    </w:p>
    <w:p>
      <w:pPr>
        <w:spacing w:after="100" w:before="100"/>
        <w:jc w:val="center"/>
      </w:pPr>
      <w:r>
        <w:drawing>
          <wp:inline distT="0" distB="0" distL="0" distR="0">
            <wp:extent cx="4762500" cy="2857500"/>
            <wp:effectExtent t="0" r="0" b="0" l="0"/>
            <wp:docPr id="1" name="uc-membres" descr="uc-membres" title="uc-me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UC-M01</w:t>
      </w:r>
    </w:p>
    <w:p>
      <w:pPr>
        <w:spacing w:after="40" w:before="100"/>
      </w:pPr>
      <w:r>
        <w:rPr>
          <w:b/>
          <w:bCs/>
          <w:i/>
          <w:iCs/>
        </w:rPr>
        <w:t xml:space="preserve">Activité du cas d'utilisation</w:t>
      </w:r>
    </w:p>
    <w:p>
      <w:pPr>
        <w:spacing w:after="60" w:before="120"/>
      </w:pPr>
      <w:r>
        <w:rPr>
          <w:b/>
          <w:bCs/>
        </w:rPr>
        <w:t xml:space="preserve">Figure 8 : Diagramme d'activité — Gérer les membres et invitations</w:t>
      </w:r>
    </w:p>
    <w:p>
      <w:pPr>
        <w:spacing w:after="100" w:before="100"/>
        <w:jc w:val="center"/>
      </w:pPr>
      <w:r>
        <w:drawing>
          <wp:inline distT="0" distB="0" distL="0" distR="0">
            <wp:extent cx="4762500" cy="4598670"/>
            <wp:effectExtent t="0" r="0" b="0" l="0"/>
            <wp:docPr id="1" name="act-membres" descr="act-membres" title="act-me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598670"/>
                    </a:xfrm>
                    <a:prstGeom prst="rect">
                      <a:avLst/>
                    </a:prstGeom>
                  </pic:spPr>
                </pic:pic>
              </a:graphicData>
            </a:graphic>
          </wp:inline>
        </w:drawing>
      </w:r>
    </w:p>
    <w:p>
      <w:pPr>
        <w:spacing w:after="200"/>
      </w:pPr>
      <w:r>
        <w:t xml:space="preserve"/>
      </w:r>
    </w:p>
    <w:p>
      <w:pPr>
        <w:pStyle w:val="Heading2"/>
      </w:pPr>
      <w:r>
        <w:t xml:space="preserve">4. Analyse du cas d'utilisation « Gérer un cycle de tontine »</w:t>
      </w:r>
    </w:p>
    <w:p>
      <w:pPr>
        <w:spacing w:after="60"/>
      </w:pPr>
      <w:r>
        <w:rPr>
          <w:b/>
          <w:bCs/>
        </w:rPr>
        <w:t xml:space="preserve">Tableau 4 : Description du cas d'utilisation « Gérer un cycle de tontine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un cycle de tontine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couvre la création d'un cycle rotatif, le suivi des cotisations, pénalités, versements et échanges de tour.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Administrateur de groupe, Membre participant, Système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groupe possède au moins deux membres ACTIFS. L'administrateur est autorisé.</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L'administrateur crée un cycle (montant, durée de tour, participants, ordre) ;
• Les membres ou l'admin enregistrent les cotisations par tour ;
• Le système calcule les échéances et applique les pénalités configurées ;
• L'administrateur verse le pot au bénéficiaire du tour ;
• Un membre peut demander un échange de place soumis à validation.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cycle avance tour par tour avec traçabilité des cotisations et distributions.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Montant incohérent, tour incomplet avant versement, ou échange refusé par la cible ou l'administrateur.</w:t>
            </w:r>
          </w:p>
        </w:tc>
      </w:tr>
    </w:tbl>
    <w:p>
      <w:pPr>
        <w:spacing w:after="40" w:before="140"/>
      </w:pPr>
      <w:r>
        <w:rPr>
          <w:b/>
          <w:bCs/>
          <w:i/>
          <w:iCs/>
        </w:rPr>
        <w:t xml:space="preserve">Description du cas d'utilisation</w:t>
      </w:r>
    </w:p>
    <w:p>
      <w:pPr>
        <w:spacing w:after="60" w:before="120"/>
      </w:pPr>
      <w:r>
        <w:rPr>
          <w:b/>
          <w:bCs/>
        </w:rPr>
        <w:t xml:space="preserve">Figure 9 : Diagramme de cas d'utilisation — Gérer un cycle de tontine</w:t>
      </w:r>
    </w:p>
    <w:p>
      <w:pPr>
        <w:spacing w:after="100" w:before="100"/>
        <w:jc w:val="center"/>
      </w:pPr>
      <w:r>
        <w:drawing>
          <wp:inline distT="0" distB="0" distL="0" distR="0">
            <wp:extent cx="4762500" cy="2857500"/>
            <wp:effectExtent t="0" r="0" b="0" l="0"/>
            <wp:docPr id="1" name="uc-cycles" descr="uc-cycles" title="uc-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UC-C01</w:t>
      </w:r>
    </w:p>
    <w:p>
      <w:pPr>
        <w:spacing w:after="40" w:before="100"/>
      </w:pPr>
      <w:r>
        <w:rPr>
          <w:b/>
          <w:bCs/>
          <w:i/>
          <w:iCs/>
        </w:rPr>
        <w:t xml:space="preserve">Activité du cas d'utilisation</w:t>
      </w:r>
    </w:p>
    <w:p>
      <w:pPr>
        <w:spacing w:after="60" w:before="120"/>
      </w:pPr>
      <w:r>
        <w:rPr>
          <w:b/>
          <w:bCs/>
        </w:rPr>
        <w:t xml:space="preserve">Figure 10 : Diagramme d'activité — Gérer un cycle de tontine</w:t>
      </w:r>
    </w:p>
    <w:p>
      <w:pPr>
        <w:spacing w:after="100" w:before="100"/>
        <w:jc w:val="center"/>
      </w:pPr>
      <w:r>
        <w:drawing>
          <wp:inline distT="0" distB="0" distL="0" distR="0">
            <wp:extent cx="4762500" cy="3060383"/>
            <wp:effectExtent t="0" r="0" b="0" l="0"/>
            <wp:docPr id="1" name="act-cycles" descr="act-cycles" title="act-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60383"/>
                    </a:xfrm>
                    <a:prstGeom prst="rect">
                      <a:avLst/>
                    </a:prstGeom>
                  </pic:spPr>
                </pic:pic>
              </a:graphicData>
            </a:graphic>
          </wp:inline>
        </w:drawing>
      </w:r>
    </w:p>
    <w:p>
      <w:pPr>
        <w:spacing w:after="200"/>
      </w:pPr>
      <w:r>
        <w:t xml:space="preserve"/>
      </w:r>
    </w:p>
    <w:p>
      <w:pPr>
        <w:pStyle w:val="Heading2"/>
      </w:pPr>
      <w:r>
        <w:t xml:space="preserve">5. Analyse du cas d'utilisation « Gérer les rubriques »</w:t>
      </w:r>
    </w:p>
    <w:p>
      <w:pPr>
        <w:spacing w:after="60"/>
      </w:pPr>
      <w:r>
        <w:rPr>
          <w:b/>
          <w:bCs/>
        </w:rPr>
        <w:t xml:space="preserve">Tableau 5 : Description du cas d'utilisation « Gérer les rubriques de cotisation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les rubriques de cotisation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de créer des cotisations complémentaires (ponctuelles ou récurrentes) et d'en suivre les paiements.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Administrateur de groupe, Membre concerné</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groupe existe. Les membres cibles sont ACTIF.</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L'administrateur crée une rubrique (montant, fréquence, membres concernés) ;
• Les paiements sont enregistrés manuellement ou via Mobile Money ;
• Le système met à jour la caisse rubrique et le statut visuel du membre ;
• L'administrateur peut effectuer un retrait ou un versement au pot commun.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Les soldes rubrique et l'historique des paiements sont à jour.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Montant inférieur au montant fixe, rubrique clôturée ou solde insuffisant pour un retrait.</w:t>
            </w:r>
          </w:p>
        </w:tc>
      </w:tr>
    </w:tbl>
    <w:p>
      <w:pPr>
        <w:spacing w:after="40" w:before="140"/>
      </w:pPr>
      <w:r>
        <w:rPr>
          <w:b/>
          <w:bCs/>
          <w:i/>
          <w:iCs/>
        </w:rPr>
        <w:t xml:space="preserve">Description du cas d'utilisation</w:t>
      </w:r>
    </w:p>
    <w:p>
      <w:pPr>
        <w:spacing w:after="60" w:before="120"/>
      </w:pPr>
      <w:r>
        <w:rPr>
          <w:b/>
          <w:bCs/>
        </w:rPr>
        <w:t xml:space="preserve">Figure 11 : Diagramme de cas d'utilisation — Gérer les rubriques de cotisation</w:t>
      </w:r>
    </w:p>
    <w:p>
      <w:pPr>
        <w:spacing w:after="100" w:before="100"/>
        <w:jc w:val="center"/>
      </w:pPr>
      <w:r>
        <w:drawing>
          <wp:inline distT="0" distB="0" distL="0" distR="0">
            <wp:extent cx="4762500" cy="2857500"/>
            <wp:effectExtent t="0" r="0" b="0" l="0"/>
            <wp:docPr id="1" name="uc-rubriques" descr="uc-rubriques" title="uc-rubr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UC-R01</w:t>
      </w:r>
    </w:p>
    <w:p>
      <w:pPr>
        <w:spacing w:after="40" w:before="100"/>
      </w:pPr>
      <w:r>
        <w:rPr>
          <w:b/>
          <w:bCs/>
          <w:i/>
          <w:iCs/>
        </w:rPr>
        <w:t xml:space="preserve">Activité du cas d'utilisation</w:t>
      </w:r>
    </w:p>
    <w:p>
      <w:pPr>
        <w:spacing w:after="60" w:before="120"/>
      </w:pPr>
      <w:r>
        <w:rPr>
          <w:b/>
          <w:bCs/>
        </w:rPr>
        <w:t xml:space="preserve">Figure 12 : Diagramme d'activité — Gérer les rubriques de cotisation</w:t>
      </w:r>
    </w:p>
    <w:p>
      <w:pPr>
        <w:spacing w:after="100" w:before="100"/>
        <w:jc w:val="center"/>
      </w:pPr>
      <w:r>
        <w:drawing>
          <wp:inline distT="0" distB="0" distL="0" distR="0">
            <wp:extent cx="4762500" cy="3060383"/>
            <wp:effectExtent t="0" r="0" b="0" l="0"/>
            <wp:docPr id="1" name="act-rubriques" descr="act-rubriques" title="act-rubr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060383"/>
                    </a:xfrm>
                    <a:prstGeom prst="rect">
                      <a:avLst/>
                    </a:prstGeom>
                  </pic:spPr>
                </pic:pic>
              </a:graphicData>
            </a:graphic>
          </wp:inline>
        </w:drawing>
      </w:r>
    </w:p>
    <w:p>
      <w:pPr>
        <w:spacing w:after="200"/>
      </w:pPr>
      <w:r>
        <w:t xml:space="preserve"/>
      </w:r>
    </w:p>
    <w:p>
      <w:pPr>
        <w:pStyle w:val="Heading2"/>
      </w:pPr>
      <w:r>
        <w:t xml:space="preserve">6. Analyse du cas d'utilisation « Gérer les réunions »</w:t>
      </w:r>
    </w:p>
    <w:p>
      <w:pPr>
        <w:spacing w:after="60"/>
      </w:pPr>
      <w:r>
        <w:rPr>
          <w:b/>
          <w:bCs/>
        </w:rPr>
        <w:t xml:space="preserve">Tableau 6 : Description du cas d'utilisation « Gérer les réunions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les réunions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de planifier les réunions, suivre les présences et gérer les amendes associées.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Administrateur de groupe, Membre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groupe possède des membres ACTIFS.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L'administrateur planifie une réunion (date, lieu, type, amende éventuelle) ;
• Il saisit les présences ou le membre signale une absence à l'avance ;
• Le système calcule les amendes impayées ;
• Le membre paie l'amende ; l'administrateur peut retirer des fonds de la caisse amendes.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La réunion est clôturée avec feuille de présence et compte-rendu éventuel.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Réunion annulée, double saisie de présence, ou amende déjà réglée.</w:t>
            </w:r>
          </w:p>
        </w:tc>
      </w:tr>
    </w:tbl>
    <w:p>
      <w:pPr>
        <w:spacing w:after="40" w:before="140"/>
      </w:pPr>
      <w:r>
        <w:rPr>
          <w:b/>
          <w:bCs/>
          <w:i/>
          <w:iCs/>
        </w:rPr>
        <w:t xml:space="preserve">Description du cas d'utilisation</w:t>
      </w:r>
    </w:p>
    <w:p>
      <w:pPr>
        <w:spacing w:after="60" w:before="120"/>
      </w:pPr>
      <w:r>
        <w:rPr>
          <w:b/>
          <w:bCs/>
        </w:rPr>
        <w:t xml:space="preserve">Figure 13 : Diagramme de cas d'utilisation — Gérer les réunions</w:t>
      </w:r>
    </w:p>
    <w:p>
      <w:pPr>
        <w:spacing w:after="100" w:before="100"/>
        <w:jc w:val="center"/>
      </w:pPr>
      <w:r>
        <w:drawing>
          <wp:inline distT="0" distB="0" distL="0" distR="0">
            <wp:extent cx="4762500" cy="2857500"/>
            <wp:effectExtent t="0" r="0" b="0" l="0"/>
            <wp:docPr id="1" name="uc-reunions" descr="uc-reunions" title="uc-re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UC-RE01</w:t>
      </w:r>
    </w:p>
    <w:p>
      <w:pPr>
        <w:spacing w:after="40" w:before="100"/>
      </w:pPr>
      <w:r>
        <w:rPr>
          <w:b/>
          <w:bCs/>
          <w:i/>
          <w:iCs/>
        </w:rPr>
        <w:t xml:space="preserve">Activité du cas d'utilisation</w:t>
      </w:r>
    </w:p>
    <w:p>
      <w:pPr>
        <w:spacing w:after="60" w:before="120"/>
      </w:pPr>
      <w:r>
        <w:rPr>
          <w:b/>
          <w:bCs/>
        </w:rPr>
        <w:t xml:space="preserve">Figure 14 : Diagramme d'activité — Gérer les réunions</w:t>
      </w:r>
    </w:p>
    <w:p>
      <w:pPr>
        <w:spacing w:after="100" w:before="100"/>
        <w:jc w:val="center"/>
      </w:pPr>
      <w:r>
        <w:drawing>
          <wp:inline distT="0" distB="0" distL="0" distR="0">
            <wp:extent cx="4762500" cy="3060383"/>
            <wp:effectExtent t="0" r="0" b="0" l="0"/>
            <wp:docPr id="1" name="act-reunions" descr="act-reunions" title="act-re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060383"/>
                    </a:xfrm>
                    <a:prstGeom prst="rect">
                      <a:avLst/>
                    </a:prstGeom>
                  </pic:spPr>
                </pic:pic>
              </a:graphicData>
            </a:graphic>
          </wp:inline>
        </w:drawing>
      </w:r>
    </w:p>
    <w:p>
      <w:pPr>
        <w:spacing w:after="200"/>
      </w:pPr>
      <w:r>
        <w:t xml:space="preserve"/>
      </w:r>
    </w:p>
    <w:p>
      <w:pPr>
        <w:pStyle w:val="Heading2"/>
      </w:pPr>
      <w:r>
        <w:t xml:space="preserve">7. Analyse du cas d'utilisation « Gérer l'épargne »</w:t>
      </w:r>
    </w:p>
    <w:p>
      <w:pPr>
        <w:spacing w:after="60"/>
      </w:pPr>
      <w:r>
        <w:rPr>
          <w:b/>
          <w:bCs/>
        </w:rPr>
        <w:t xml:space="preserve">Tableau 7 : Description du cas d'utilisation « Gérer l'épargne individuelle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l'épargne individuelle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d'ouvrir et d'administrer le compte épargne de chaque membre au sein du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Administrateur de groupe, Membre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membre est ACTIF dans le groupe. Le compte épargne est ouvert ou en cours d'ouverture.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L'administrateur ouvre un compte épargne pour un membre ;
• Des dépôts ou retraits sont enregistrés (admin ou Mobile Money) ;
• Le membre consulte solde et historique ;
• En cas de contestation, le membre signale un mouvement pour audit admin.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solde épargne et le journal des mouvements reflètent l'opération.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Compte bloqué ou clôturé, solde insuffisant, ou montant de dépôt invalide.</w:t>
            </w:r>
          </w:p>
        </w:tc>
      </w:tr>
    </w:tbl>
    <w:p>
      <w:pPr>
        <w:spacing w:after="40" w:before="140"/>
      </w:pPr>
      <w:r>
        <w:rPr>
          <w:b/>
          <w:bCs/>
          <w:i/>
          <w:iCs/>
        </w:rPr>
        <w:t xml:space="preserve">Description du cas d'utilisation</w:t>
      </w:r>
    </w:p>
    <w:p>
      <w:pPr>
        <w:spacing w:after="60" w:before="120"/>
      </w:pPr>
      <w:r>
        <w:rPr>
          <w:b/>
          <w:bCs/>
        </w:rPr>
        <w:t xml:space="preserve">Figure 15 : Diagramme de cas d'utilisation — Gérer l'épargne individuelle</w:t>
      </w:r>
    </w:p>
    <w:p>
      <w:pPr>
        <w:spacing w:after="100" w:before="100"/>
        <w:jc w:val="center"/>
      </w:pPr>
      <w:r>
        <w:drawing>
          <wp:inline distT="0" distB="0" distL="0" distR="0">
            <wp:extent cx="4762500" cy="2857500"/>
            <wp:effectExtent t="0" r="0" b="0" l="0"/>
            <wp:docPr id="1" name="uc-epargne" descr="uc-epargne" title="uc-epar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UC-E01</w:t>
      </w:r>
    </w:p>
    <w:p>
      <w:pPr>
        <w:spacing w:after="40" w:before="100"/>
      </w:pPr>
      <w:r>
        <w:rPr>
          <w:b/>
          <w:bCs/>
          <w:i/>
          <w:iCs/>
        </w:rPr>
        <w:t xml:space="preserve">Activité du cas d'utilisation</w:t>
      </w:r>
    </w:p>
    <w:p>
      <w:pPr>
        <w:spacing w:after="60" w:before="120"/>
      </w:pPr>
      <w:r>
        <w:rPr>
          <w:b/>
          <w:bCs/>
        </w:rPr>
        <w:t xml:space="preserve">Figure 16 : Diagramme d'activité — Gérer l'épargne individuelle</w:t>
      </w:r>
    </w:p>
    <w:p>
      <w:pPr>
        <w:spacing w:after="100" w:before="100"/>
        <w:jc w:val="center"/>
      </w:pPr>
      <w:r>
        <w:drawing>
          <wp:inline distT="0" distB="0" distL="0" distR="0">
            <wp:extent cx="4762500" cy="3368040"/>
            <wp:effectExtent t="0" r="0" b="0" l="0"/>
            <wp:docPr id="1" name="act-epargne" descr="act-epargne" title="act-epar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368040"/>
                    </a:xfrm>
                    <a:prstGeom prst="rect">
                      <a:avLst/>
                    </a:prstGeom>
                  </pic:spPr>
                </pic:pic>
              </a:graphicData>
            </a:graphic>
          </wp:inline>
        </w:drawing>
      </w:r>
    </w:p>
    <w:p>
      <w:pPr>
        <w:spacing w:after="200"/>
      </w:pPr>
      <w:r>
        <w:t xml:space="preserve"/>
      </w:r>
    </w:p>
    <w:p>
      <w:pPr>
        <w:pStyle w:val="Heading2"/>
      </w:pPr>
      <w:r>
        <w:t xml:space="preserve">8. Analyse du cas d'utilisation « Gérer les prêts internes »</w:t>
      </w:r>
    </w:p>
    <w:p>
      <w:pPr>
        <w:spacing w:after="60"/>
      </w:pPr>
      <w:r>
        <w:rPr>
          <w:b/>
          <w:bCs/>
        </w:rPr>
        <w:t xml:space="preserve">Tableau 8 : Description du cas d'utilisation « Gérer les prêts internes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Gérer les prêts internes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à un membre éligible d'emprunter auprès de la banque du groupe avec avalistes et contrôle admin.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Membre emprunteur, Avaliste, Administrateur de groupe, Système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Paramètres prêt configurés. Emprunteur éligible (ancienneté, épargne, absence de prêt actif). Banque du groupe suffisante.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Le membre soumet une demande de prêt ;
• Il propose des avalistes qui acceptent la garantie ;
• L'administrateur analyse, approuve ou refuse ;
• En cas d'approbation, le prêt est décaissé depuis la banque du groupe ;
• L'emprunteur rembourse capital et intérêts ; le système gère les défauts et garanties.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 prêt passe au statut EN_COURS, SOLDE ou DEFAUT selon le remboursement.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Éligibilité non satisfaite, avaliste refusant, plafond dépassé ou banque insuffisante.</w:t>
            </w:r>
          </w:p>
        </w:tc>
      </w:tr>
    </w:tbl>
    <w:p>
      <w:pPr>
        <w:spacing w:after="40" w:before="140"/>
      </w:pPr>
      <w:r>
        <w:rPr>
          <w:b/>
          <w:bCs/>
          <w:i/>
          <w:iCs/>
        </w:rPr>
        <w:t xml:space="preserve">Description du cas d'utilisation</w:t>
      </w:r>
    </w:p>
    <w:p>
      <w:pPr>
        <w:spacing w:after="60" w:before="120"/>
      </w:pPr>
      <w:r>
        <w:rPr>
          <w:b/>
          <w:bCs/>
        </w:rPr>
        <w:t xml:space="preserve">Figure 17 : Diagramme de cas d'utilisation — Gérer les prêts internes</w:t>
      </w:r>
    </w:p>
    <w:p>
      <w:pPr>
        <w:spacing w:after="100" w:before="100"/>
        <w:jc w:val="center"/>
      </w:pPr>
      <w:r>
        <w:drawing>
          <wp:inline distT="0" distB="0" distL="0" distR="0">
            <wp:extent cx="4762500" cy="2857500"/>
            <wp:effectExtent t="0" r="0" b="0" l="0"/>
            <wp:docPr id="1" name="uc-prets" descr="uc-prets" title="uc-p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UC-P01</w:t>
      </w:r>
    </w:p>
    <w:p>
      <w:pPr>
        <w:spacing w:after="40" w:before="100"/>
      </w:pPr>
      <w:r>
        <w:rPr>
          <w:b/>
          <w:bCs/>
          <w:i/>
          <w:iCs/>
        </w:rPr>
        <w:t xml:space="preserve">Activité du cas d'utilisation</w:t>
      </w:r>
    </w:p>
    <w:p>
      <w:pPr>
        <w:spacing w:after="60" w:before="120"/>
      </w:pPr>
      <w:r>
        <w:rPr>
          <w:b/>
          <w:bCs/>
        </w:rPr>
        <w:t xml:space="preserve">Figure 18 : Diagramme d'activité — Gérer les prêts internes</w:t>
      </w:r>
    </w:p>
    <w:p>
      <w:pPr>
        <w:spacing w:after="100" w:before="100"/>
        <w:jc w:val="center"/>
      </w:pPr>
      <w:r>
        <w:drawing>
          <wp:inline distT="0" distB="0" distL="0" distR="0">
            <wp:extent cx="4762500" cy="3384233"/>
            <wp:effectExtent t="0" r="0" b="0" l="0"/>
            <wp:docPr id="1" name="act-prets" descr="act-prets" title="act-p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84233"/>
                    </a:xfrm>
                    <a:prstGeom prst="rect">
                      <a:avLst/>
                    </a:prstGeom>
                  </pic:spPr>
                </pic:pic>
              </a:graphicData>
            </a:graphic>
          </wp:inline>
        </w:drawing>
      </w:r>
    </w:p>
    <w:p>
      <w:pPr>
        <w:spacing w:after="200"/>
      </w:pPr>
      <w:r>
        <w:t xml:space="preserve"/>
      </w:r>
    </w:p>
    <w:p>
      <w:pPr>
        <w:pStyle w:val="Heading2"/>
      </w:pPr>
      <w:r>
        <w:t xml:space="preserve">9. Analyse du cas d'utilisation « Effectuer un paiement Mobile Money »</w:t>
      </w:r>
    </w:p>
    <w:p>
      <w:pPr>
        <w:spacing w:after="60"/>
      </w:pPr>
      <w:r>
        <w:rPr>
          <w:b/>
          <w:bCs/>
        </w:rPr>
        <w:t xml:space="preserve">Tableau 9 : Description du cas d'utilisation « Effectuer un paiement Mobile Money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Effectuer un paiement Mobile Money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d'initier et de finaliser un paiement entrant ou sortant lié à un contexte métier (cotisation, rubrique, amende, épargne, prêt, distribution).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Membre, Administrateur de groupe, Opérateur Mobile Money (Orange/MTN), Système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L'utilisateur est autorisé sur le contexte (membre pour paiement entrant ; admin pour paiement sortant). Montant et bénéficiaire valides.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L'utilisateur initie un paiement depuis l'interface ;
• Le système crée une PaymentTransaction (PENDING puis PROCESSING) ;
• L'opérateur Mobile Money confirme ou rejette l'opération ;
• Le système finalise atomiquement : mise à jour métier, caisse, journal financier et notification.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La transaction est en statut SUCCESS et les soldes métier sont cohérents.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Paiement expiré, fonds insuffisants, transaction déjà finalisée ou opérateur indisponible.</w:t>
            </w:r>
          </w:p>
        </w:tc>
      </w:tr>
    </w:tbl>
    <w:p>
      <w:pPr>
        <w:spacing w:after="40" w:before="140"/>
      </w:pPr>
      <w:r>
        <w:rPr>
          <w:b/>
          <w:bCs/>
          <w:i/>
          <w:iCs/>
        </w:rPr>
        <w:t xml:space="preserve">Description du cas d'utilisation</w:t>
      </w:r>
    </w:p>
    <w:p>
      <w:pPr>
        <w:spacing w:after="60" w:before="120"/>
      </w:pPr>
      <w:r>
        <w:rPr>
          <w:b/>
          <w:bCs/>
        </w:rPr>
        <w:t xml:space="preserve">Figure 19 : Diagramme de cas d'utilisation — Effectuer un paiement Mobile Money</w:t>
      </w:r>
    </w:p>
    <w:p>
      <w:pPr>
        <w:spacing w:after="100" w:before="100"/>
        <w:jc w:val="center"/>
      </w:pPr>
      <w:r>
        <w:drawing>
          <wp:inline distT="0" distB="0" distL="0" distR="0">
            <wp:extent cx="4762500" cy="2857500"/>
            <wp:effectExtent t="0" r="0" b="0" l="0"/>
            <wp:docPr id="1" name="uc-paiements" descr="uc-paiements" title="uc-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UC-F01</w:t>
      </w:r>
    </w:p>
    <w:p>
      <w:pPr>
        <w:spacing w:after="40" w:before="100"/>
      </w:pPr>
      <w:r>
        <w:rPr>
          <w:b/>
          <w:bCs/>
          <w:i/>
          <w:iCs/>
        </w:rPr>
        <w:t xml:space="preserve">Activité du cas d'utilisation</w:t>
      </w:r>
    </w:p>
    <w:p>
      <w:pPr>
        <w:spacing w:after="60" w:before="120"/>
      </w:pPr>
      <w:r>
        <w:rPr>
          <w:b/>
          <w:bCs/>
        </w:rPr>
        <w:t xml:space="preserve">Figure 20 : Diagramme d'activité — Effectuer un paiement Mobile Money</w:t>
      </w:r>
    </w:p>
    <w:p>
      <w:pPr>
        <w:spacing w:after="100" w:before="100"/>
        <w:jc w:val="center"/>
      </w:pPr>
      <w:r>
        <w:drawing>
          <wp:inline distT="0" distB="0" distL="0" distR="0">
            <wp:extent cx="4762500" cy="3384233"/>
            <wp:effectExtent t="0" r="0" b="0" l="0"/>
            <wp:docPr id="1" name="act-paiements" descr="act-paiements" title="act-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384233"/>
                    </a:xfrm>
                    <a:prstGeom prst="rect">
                      <a:avLst/>
                    </a:prstGeom>
                  </pic:spPr>
                </pic:pic>
              </a:graphicData>
            </a:graphic>
          </wp:inline>
        </w:drawing>
      </w:r>
    </w:p>
    <w:p>
      <w:pPr>
        <w:spacing w:after="200"/>
      </w:pPr>
      <w:r>
        <w:t xml:space="preserve"/>
      </w:r>
    </w:p>
    <w:p>
      <w:pPr>
        <w:pStyle w:val="Heading2"/>
      </w:pPr>
      <w:r>
        <w:t xml:space="preserve">10. Analyse du cas d'utilisation « Consulter les finances et rapports »</w:t>
      </w:r>
    </w:p>
    <w:p>
      <w:pPr>
        <w:spacing w:after="60"/>
      </w:pPr>
      <w:r>
        <w:rPr>
          <w:b/>
          <w:bCs/>
        </w:rPr>
        <w:t xml:space="preserve">Tableau 10 : Description du cas d'utilisation « Consulter les finances et rapports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rPr>
              <w:t xml:space="preserve">Titre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Consulter les finances et rapports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Résumé</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 cas permet de consulter le journal financier, les caisses typées et de produire des relevés exportables.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Acteurs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Membre (lecture limitée), Administrateur de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Précondition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L'utilisateur est membre ACTIF du groupe.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Scénario nominal</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L'utilisateur ouvre le module Finances ou Rapports ;
• Le système affiche les caisses (GENERALE, CYCLE, RUBRIQUE, AMENDES, etc.) et le journal paginé ;
• L'administrateur ou le membre télécharge un relevé PDF individuel ou un rapport groupe PDF/Excel.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Postcondition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Les informations affichées correspondent à l'état courant des caisses et mouvements.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Exception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Accès refusé pour un membre exclu ou données masquées par l'utilisateur.</w:t>
            </w:r>
          </w:p>
        </w:tc>
      </w:tr>
    </w:tbl>
    <w:p>
      <w:pPr>
        <w:spacing w:after="40" w:before="140"/>
      </w:pPr>
      <w:r>
        <w:rPr>
          <w:b/>
          <w:bCs/>
          <w:i/>
          <w:iCs/>
        </w:rPr>
        <w:t xml:space="preserve">Description du cas d'utilisation</w:t>
      </w:r>
    </w:p>
    <w:p>
      <w:pPr>
        <w:spacing w:after="60" w:before="120"/>
      </w:pPr>
      <w:r>
        <w:rPr>
          <w:b/>
          <w:bCs/>
        </w:rPr>
        <w:t xml:space="preserve">Figure 21 : Diagramme de cas d'utilisation — Consulter les finances et rapports</w:t>
      </w:r>
    </w:p>
    <w:p>
      <w:pPr>
        <w:spacing w:after="100" w:before="100"/>
        <w:jc w:val="center"/>
      </w:pPr>
      <w:r>
        <w:drawing>
          <wp:inline distT="0" distB="0" distL="0" distR="0">
            <wp:extent cx="4762500" cy="2857500"/>
            <wp:effectExtent t="0" r="0" b="0" l="0"/>
            <wp:docPr id="1" name="uc-finances" descr="uc-finances" title="uc-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857500"/>
                    </a:xfrm>
                    <a:prstGeom prst="rect">
                      <a:avLst/>
                    </a:prstGeom>
                  </pic:spPr>
                </pic:pic>
              </a:graphicData>
            </a:graphic>
          </wp:inline>
        </w:drawing>
      </w:r>
    </w:p>
    <w:p>
      <w:pPr>
        <w:spacing w:after="60"/>
      </w:pPr>
      <w:r>
        <w:t xml:space="preserve">Identifiant : UC-F03</w:t>
      </w:r>
    </w:p>
    <w:p>
      <w:pPr>
        <w:spacing w:after="40" w:before="100"/>
      </w:pPr>
      <w:r>
        <w:rPr>
          <w:b/>
          <w:bCs/>
          <w:i/>
          <w:iCs/>
        </w:rPr>
        <w:t xml:space="preserve">Activité du cas d'utilisation</w:t>
      </w:r>
    </w:p>
    <w:p>
      <w:pPr>
        <w:spacing w:after="60" w:before="120"/>
      </w:pPr>
      <w:r>
        <w:rPr>
          <w:b/>
          <w:bCs/>
        </w:rPr>
        <w:t xml:space="preserve">Figure 22 : Diagramme d'activité — Consulter les finances et rapports</w:t>
      </w:r>
    </w:p>
    <w:p>
      <w:pPr>
        <w:spacing w:after="100" w:before="100"/>
        <w:jc w:val="center"/>
      </w:pPr>
      <w:r>
        <w:drawing>
          <wp:inline distT="0" distB="0" distL="0" distR="0">
            <wp:extent cx="4762500" cy="3060383"/>
            <wp:effectExtent t="0" r="0" b="0" l="0"/>
            <wp:docPr id="1" name="act-finances" descr="act-finances" title="act-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060383"/>
                    </a:xfrm>
                    <a:prstGeom prst="rect">
                      <a:avLst/>
                    </a:prstGeom>
                  </pic:spPr>
                </pic:pic>
              </a:graphicData>
            </a:graphic>
          </wp:inline>
        </w:drawing>
      </w:r>
    </w:p>
    <w:p>
      <w:pPr>
        <w:spacing w:after="200"/>
      </w:pPr>
      <w:r>
        <w:t xml:space="preserve"/>
      </w:r>
    </w:p>
    <w:p>
      <w:r>
        <w:br w:type="page"/>
      </w:r>
    </w:p>
    <w:p>
      <w:pPr>
        <w:pStyle w:val="Heading1"/>
      </w:pPr>
      <w:r>
        <w:t xml:space="preserve">VI. Diagramme de classes</w:t>
      </w:r>
    </w:p>
    <w:p>
      <w:pPr>
        <w:spacing w:after="100"/>
      </w:pPr>
      <w:r>
        <w:t xml:space="preserve">Le diagramme modélise les entités principales du domaine E-Tontine et leurs associations, avec cardinalités explicites.</w:t>
      </w:r>
    </w:p>
    <w:p>
      <w:pPr>
        <w:spacing w:after="60" w:before="120"/>
      </w:pPr>
      <w:r>
        <w:rPr>
          <w:b/>
          <w:bCs/>
        </w:rPr>
        <w:t xml:space="preserve">Figure 23 : Diagramme de classes simplifié du système E-Tontine</w:t>
      </w:r>
    </w:p>
    <w:p>
      <w:pPr>
        <w:spacing w:after="100" w:before="100"/>
        <w:jc w:val="center"/>
      </w:pPr>
      <w:r>
        <w:drawing>
          <wp:inline distT="0" distB="0" distL="0" distR="0">
            <wp:extent cx="4953000" cy="3238500"/>
            <wp:effectExtent t="0" r="0" b="0" l="0"/>
            <wp:docPr id="1" name="class-diagram" descr="class-diagram" title="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238500"/>
                    </a:xfrm>
                    <a:prstGeom prst="rect">
                      <a:avLst/>
                    </a:prstGeom>
                  </pic:spPr>
                </pic:pic>
              </a:graphicData>
            </a:graphic>
          </wp:inline>
        </w:drawing>
      </w:r>
    </w:p>
    <w:p>
      <w:pPr>
        <w:pStyle w:val="Heading2"/>
      </w:pPr>
      <w:r>
        <w:t xml:space="preserve">VI.1 Explication du diagramme</w:t>
      </w:r>
    </w:p>
    <w:p>
      <w:pPr>
        <w:spacing w:after="100"/>
      </w:pPr>
      <w:r>
        <w:t xml:space="preserve">Un User (1) est lié à (0..*) MembreGroupe : chaque adhésion porte le rôle et le statut du membre dans un groupe.</w:t>
      </w:r>
    </w:p>
    <w:p>
      <w:pPr>
        <w:spacing w:after="100"/>
      </w:pPr>
      <w:r>
        <w:t xml:space="preserve">MembreGroupe (0..*) appartient à (1) Groupes : le groupe centralise cycles, rubriques, réunions, prêts et caisses.</w:t>
      </w:r>
    </w:p>
    <w:p>
      <w:pPr>
        <w:spacing w:after="100"/>
      </w:pPr>
      <w:r>
        <w:t xml:space="preserve">Groupes (1) possède (0..*) CycleTontine ; chaque cycle génère (0..*) Cotisations payées par (1) MembreGroupe.</w:t>
      </w:r>
    </w:p>
    <w:p>
      <w:pPr>
        <w:spacing w:after="100"/>
      </w:pPr>
      <w:r>
        <w:t xml:space="preserve">MembreGroupe (1) possède (0..1) CompteEpargne ; Groupes (1) possède (1..*) CaisseFinanciere enregistrant (0..*) MouvementFinancier.</w:t>
      </w:r>
    </w:p>
    <w:p>
      <w:pPr>
        <w:spacing w:after="200"/>
      </w:pPr>
      <w:r>
        <w:t xml:space="preserve">Cette modélisation prépare le MLD Prisma et la conception détaillée du mémoire E-Tontine.</w:t>
      </w:r>
    </w:p>
    <w:p>
      <w:pPr>
        <w:pStyle w:val="Heading1"/>
      </w:pPr>
      <w:r>
        <w:t xml:space="preserve">Conclusion</w:t>
      </w:r>
    </w:p>
    <w:p>
      <w:r>
        <w:t xml:space="preserve">Ce cahier d'analyse a rappelé le contexte, les besoins, les acteurs, les cas d'utilisation avec fiches descriptives, diagrammes de cas d'utilisation, diagrammes d'activité et un diagramme de classes. Il constitue la base analytique pour la rédaction du mémoire.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2864b4dd67334265e1761c0d830b7445f393b5.png"/><Relationship Id="rId8" Type="http://schemas.openxmlformats.org/officeDocument/2006/relationships/image" Target="media/6978a8d23a3b433e90981dc8310a5e9b7994eb98.png"/><Relationship Id="rId9" Type="http://schemas.openxmlformats.org/officeDocument/2006/relationships/image" Target="media/e65e089d4d8b5454bba3c8f87760afecc87fe9ba.png"/><Relationship Id="rId10" Type="http://schemas.openxmlformats.org/officeDocument/2006/relationships/image" Target="media/137f72b9e2b6909095357c090d958724f9215318.png"/><Relationship Id="rId11" Type="http://schemas.openxmlformats.org/officeDocument/2006/relationships/image" Target="media/0d12d86d939f33035cba36ee382337d4eaea8eef.png"/><Relationship Id="rId12" Type="http://schemas.openxmlformats.org/officeDocument/2006/relationships/image" Target="media/9f975063b57777eda30d18e764a852554238b42d.png"/><Relationship Id="rId13" Type="http://schemas.openxmlformats.org/officeDocument/2006/relationships/image" Target="media/643d06288f2d6055f3747b8429d96c67bd624bd7.png"/><Relationship Id="rId14" Type="http://schemas.openxmlformats.org/officeDocument/2006/relationships/image" Target="media/c562502ff7bc4a5d7dcb8aea825a7a79521c062a.png"/><Relationship Id="rId15" Type="http://schemas.openxmlformats.org/officeDocument/2006/relationships/image" Target="media/14e05d4a242ce3d10b86d423c4323da60aa5dc4b.png"/><Relationship Id="rId16" Type="http://schemas.openxmlformats.org/officeDocument/2006/relationships/image" Target="media/bab6d8a54cd9d9d67de5ef965e1ca1995842083b.png"/><Relationship Id="rId17" Type="http://schemas.openxmlformats.org/officeDocument/2006/relationships/image" Target="media/9effd1bc18bd899a64a7554211d5795e6f39a343.png"/><Relationship Id="rId18" Type="http://schemas.openxmlformats.org/officeDocument/2006/relationships/image" Target="media/b730cbaa233c17c5748612a2e8be6c0b38009f47.png"/><Relationship Id="rId19" Type="http://schemas.openxmlformats.org/officeDocument/2006/relationships/image" Target="media/ddd87effc9b5b83f31f1b9eff0958b830c4cb1b8.png"/><Relationship Id="rId20" Type="http://schemas.openxmlformats.org/officeDocument/2006/relationships/image" Target="media/a91b5c07468af264c248f48c992b078c24fec697.png"/><Relationship Id="rId21" Type="http://schemas.openxmlformats.org/officeDocument/2006/relationships/image" Target="media/4d5121b6827fd4266eeb2f3bfb3d741ad726b409.png"/><Relationship Id="rId22" Type="http://schemas.openxmlformats.org/officeDocument/2006/relationships/image" Target="media/424dc13514eed651354c9c893cc0b9fbf1b1aa56.png"/><Relationship Id="rId23" Type="http://schemas.openxmlformats.org/officeDocument/2006/relationships/image" Target="media/c5711993348a4a0401d5f39835aab091547c95ce.png"/><Relationship Id="rId24" Type="http://schemas.openxmlformats.org/officeDocument/2006/relationships/image" Target="media/b753de61dbbbb5dbae9557727e074dcf464f2726.png"/><Relationship Id="rId25" Type="http://schemas.openxmlformats.org/officeDocument/2006/relationships/image" Target="media/56eb7cc2d9ca03bb2a4b3fbc7d890c6215a802f5.png"/><Relationship Id="rId26" Type="http://schemas.openxmlformats.org/officeDocument/2006/relationships/image" Target="media/c586b41421b4fbc4afee12371fbe2c1dd9085795.png"/><Relationship Id="rId27" Type="http://schemas.openxmlformats.org/officeDocument/2006/relationships/image" Target="media/58278e299d7ed2f139ac927e1081e4aa7162e952.png"/><Relationship Id="rId28" Type="http://schemas.openxmlformats.org/officeDocument/2006/relationships/image" Target="media/2a2574a9cf07c4074efe2b56a6b7c2bbe076d249.png"/><Relationship Id="rId29" Type="http://schemas.openxmlformats.org/officeDocument/2006/relationships/image" Target="media/b4d1d74decd5e7862a6b27e575c479edc47650a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2026-06-19T00:23:20.456Z</dcterms:created>
  <dcterms:modified xsi:type="dcterms:W3CDTF">2026-06-19T00:23:20.456Z</dcterms:modified>
</cp:coreProperties>
</file>

<file path=docProps/custom.xml><?xml version="1.0" encoding="utf-8"?>
<Properties xmlns="http://schemas.openxmlformats.org/officeDocument/2006/custom-properties" xmlns:vt="http://schemas.openxmlformats.org/officeDocument/2006/docPropsVTypes"/>
</file>