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
      </w:pPr>
      <w:r>
        <w:rPr>
          <w:rFonts w:ascii="Arial" w:cs="Arial" w:eastAsia="Arial" w:hAnsi="Arial"/>
          <w:b/>
          <w:bCs/>
          <w:caps w:val="false"/>
          <w:color w:val="1D6A72"/>
          <w:sz w:val="22"/>
          <w:szCs w:val="22"/>
        </w:rPr>
        <w:t xml:space="preserve">THE PROBLEM</w:t>
      </w:r>
    </w:p>
    <w:p>
      <w:pPr>
        <w:spacing w:after="100" w:before="0"/>
      </w:pPr>
      <w:r>
        <w:rPr>
          <w:rFonts w:ascii="Arial" w:cs="Arial" w:eastAsia="Arial" w:hAnsi="Arial"/>
          <w:b w:val="false"/>
          <w:bCs w:val="false"/>
          <w:color w:val="333333"/>
          <w:sz w:val="20"/>
          <w:szCs w:val="20"/>
        </w:rPr>
        <w:t xml:space="preserve">Burn care is highly specialized, yet 88% of Level 1–3 trauma centers lack dedicated burn units. This referral gap creates critical delays in acute care, increases mortality risk, and drives preventable healthcare costs. Policymakers lack granular data to identify where the system fails most severely.</w:t>
      </w:r>
    </w:p>
    <w:p>
      <w:pPr>
        <w:spacing w:after="60" w:before="220"/>
      </w:pPr>
      <w:r>
        <w:rPr>
          <w:rFonts w:ascii="Arial" w:cs="Arial" w:eastAsia="Arial" w:hAnsi="Arial"/>
          <w:b/>
          <w:bCs/>
          <w:caps w:val="false"/>
          <w:color w:val="1D6A72"/>
          <w:sz w:val="22"/>
          <w:szCs w:val="22"/>
        </w:rPr>
        <w:t xml:space="preserve">THE APPROACH</w:t>
      </w:r>
    </w:p>
    <w:p>
      <w:pPr>
        <w:spacing w:after="100" w:before="0"/>
      </w:pPr>
      <w:r>
        <w:rPr>
          <w:rFonts w:ascii="Arial" w:cs="Arial" w:eastAsia="Arial" w:hAnsi="Arial"/>
          <w:b w:val="false"/>
          <w:bCs w:val="false"/>
          <w:color w:val="333333"/>
          <w:sz w:val="20"/>
          <w:szCs w:val="20"/>
        </w:rPr>
        <w:t xml:space="preserve">Three national datasets were integrated to map access at the county level:</w:t>
      </w:r>
    </w:p>
    <w:p>
      <w:pPr>
        <w:pStyle w:val="ListParagraph"/>
        <w:numPr>
          <w:ilvl w:val="0"/>
          <w:numId w:val="2"/>
        </w:numPr>
        <w:spacing w:after="60" w:before="0"/>
      </w:pPr>
      <w:r>
        <w:rPr>
          <w:rFonts w:ascii="Arial" w:cs="Arial" w:eastAsia="Arial" w:hAnsi="Arial"/>
          <w:b w:val="false"/>
          <w:bCs w:val="false"/>
          <w:color w:val="333333"/>
          <w:sz w:val="20"/>
          <w:szCs w:val="20"/>
        </w:rPr>
        <w:t xml:space="preserve">NIRD 2023 (635 hospitals) — burn center locations &amp; trauma capabilities</w:t>
      </w:r>
    </w:p>
    <w:p>
      <w:pPr>
        <w:pStyle w:val="ListParagraph"/>
        <w:numPr>
          <w:ilvl w:val="0"/>
          <w:numId w:val="2"/>
        </w:numPr>
        <w:spacing w:after="60" w:before="0"/>
      </w:pPr>
      <w:r>
        <w:rPr>
          <w:rFonts w:ascii="Arial" w:cs="Arial" w:eastAsia="Arial" w:hAnsi="Arial"/>
          <w:b w:val="false"/>
          <w:bCs w:val="false"/>
          <w:color w:val="333333"/>
          <w:sz w:val="20"/>
          <w:szCs w:val="20"/>
        </w:rPr>
        <w:t xml:space="preserve">US Census 2020 (3,221 counties) — population-weighted centroids</w:t>
      </w:r>
    </w:p>
    <w:p>
      <w:pPr>
        <w:pStyle w:val="ListParagraph"/>
        <w:numPr>
          <w:ilvl w:val="0"/>
          <w:numId w:val="2"/>
        </w:numPr>
        <w:spacing w:after="60" w:before="0"/>
      </w:pPr>
      <w:r>
        <w:rPr>
          <w:rFonts w:ascii="Arial" w:cs="Arial" w:eastAsia="Arial" w:hAnsi="Arial"/>
          <w:b w:val="false"/>
          <w:bCs w:val="false"/>
          <w:color w:val="333333"/>
          <w:sz w:val="20"/>
          <w:szCs w:val="20"/>
        </w:rPr>
        <w:t xml:space="preserve">CDC SVI 2022 — social vulnerability indicators</w:t>
      </w:r>
    </w:p>
    <w:p>
      <w:pPr>
        <w:spacing w:after="100" w:before="0"/>
      </w:pPr>
      <w:r>
        <w:rPr>
          <w:rFonts w:ascii="Arial" w:cs="Arial" w:eastAsia="Arial" w:hAnsi="Arial"/>
          <w:b w:val="false"/>
          <w:bCs w:val="false"/>
          <w:color w:val="333333"/>
          <w:sz w:val="20"/>
          <w:szCs w:val="20"/>
        </w:rPr>
        <w:t xml:space="preserve">Methods: Haversine distance · Population-weighted averaging · Weighted telemedicine scoring</w:t>
      </w:r>
    </w:p>
    <w:p>
      <w:pPr>
        <w:spacing w:after="60" w:before="220"/>
      </w:pPr>
      <w:r>
        <w:rPr>
          <w:rFonts w:ascii="Arial" w:cs="Arial" w:eastAsia="Arial" w:hAnsi="Arial"/>
          <w:b/>
          <w:bCs/>
          <w:caps w:val="false"/>
          <w:color w:val="1D6A72"/>
          <w:sz w:val="22"/>
          <w:szCs w:val="22"/>
        </w:rPr>
        <w:t xml:space="preserve">KEY FINDINGS</w:t>
      </w:r>
    </w:p>
    <w:p>
      <w:pPr>
        <w:spacing w:after="40" w:before="120"/>
      </w:pPr>
      <w:r>
        <w:rPr>
          <w:rFonts w:ascii="Arial" w:cs="Arial" w:eastAsia="Arial" w:hAnsi="Arial"/>
          <w:b/>
          <w:bCs/>
          <w:color w:val="2E4A5A"/>
          <w:sz w:val="22"/>
          <w:szCs w:val="22"/>
        </w:rPr>
        <w:t xml:space="preserve">1. The Referral Gap</w:t>
      </w:r>
    </w:p>
    <w:p>
      <w:pPr>
        <w:spacing w:after="60" w:before="60"/>
      </w:pPr>
      <w:r>
        <w:rPr>
          <w:rFonts w:ascii="Arial" w:cs="Arial" w:eastAsia="Arial" w:hAnsi="Arial"/>
          <w:b/>
          <w:bCs/>
          <w:color w:val="1A2B3C"/>
          <w:sz w:val="20"/>
          <w:szCs w:val="20"/>
        </w:rPr>
        <w:t xml:space="preserve">498  </w:t>
      </w:r>
      <w:r>
        <w:rPr>
          <w:rFonts w:ascii="Arial" w:cs="Arial" w:eastAsia="Arial" w:hAnsi="Arial"/>
          <w:color w:val="444444"/>
          <w:sz w:val="20"/>
          <w:szCs w:val="20"/>
        </w:rPr>
        <w:t xml:space="preserve">trauma centers (Level 1–3) lack burn capabilities</w:t>
      </w:r>
    </w:p>
    <w:p>
      <w:pPr>
        <w:spacing w:after="60" w:before="60"/>
      </w:pPr>
      <w:r>
        <w:rPr>
          <w:rFonts w:ascii="Arial" w:cs="Arial" w:eastAsia="Arial" w:hAnsi="Arial"/>
          <w:b/>
          <w:bCs/>
          <w:color w:val="1A2B3C"/>
          <w:sz w:val="20"/>
          <w:szCs w:val="20"/>
        </w:rPr>
        <w:t xml:space="preserve">88%  </w:t>
      </w:r>
      <w:r>
        <w:rPr>
          <w:rFonts w:ascii="Arial" w:cs="Arial" w:eastAsia="Arial" w:hAnsi="Arial"/>
          <w:color w:val="444444"/>
          <w:sz w:val="20"/>
          <w:szCs w:val="20"/>
        </w:rPr>
        <w:t xml:space="preserve">of all L1–L3 facilities cannot provide specialized burn care</w:t>
      </w:r>
    </w:p>
    <w:p>
      <w:pPr>
        <w:spacing w:after="60" w:before="60"/>
      </w:pPr>
      <w:r>
        <w:rPr>
          <w:rFonts w:ascii="Arial" w:cs="Arial" w:eastAsia="Arial" w:hAnsi="Arial"/>
          <w:b/>
          <w:bCs/>
          <w:color w:val="1A2B3C"/>
          <w:sz w:val="20"/>
          <w:szCs w:val="20"/>
        </w:rPr>
        <w:t xml:space="preserve">Texas  </w:t>
      </w:r>
      <w:r>
        <w:rPr>
          <w:rFonts w:ascii="Arial" w:cs="Arial" w:eastAsia="Arial" w:hAnsi="Arial"/>
          <w:color w:val="444444"/>
          <w:sz w:val="20"/>
          <w:szCs w:val="20"/>
        </w:rPr>
        <w:t xml:space="preserve">has the highest volume (38 centers) — primary intervention target</w:t>
      </w:r>
    </w:p>
    <w:p>
      <w:pPr>
        <w:spacing w:after="40" w:before="120"/>
      </w:pPr>
      <w:r>
        <w:rPr>
          <w:rFonts w:ascii="Arial" w:cs="Arial" w:eastAsia="Arial" w:hAnsi="Arial"/>
          <w:b/>
          <w:bCs/>
          <w:color w:val="2E4A5A"/>
          <w:sz w:val="22"/>
          <w:szCs w:val="22"/>
        </w:rPr>
        <w:t xml:space="preserve">2. Telemedicine Opportunity</w:t>
      </w:r>
    </w:p>
    <w:p>
      <w:pPr>
        <w:spacing w:after="60" w:before="60"/>
      </w:pPr>
      <w:r>
        <w:rPr>
          <w:rFonts w:ascii="Arial" w:cs="Arial" w:eastAsia="Arial" w:hAnsi="Arial"/>
          <w:b/>
          <w:bCs/>
          <w:color w:val="1A2B3C"/>
          <w:sz w:val="20"/>
          <w:szCs w:val="20"/>
        </w:rPr>
        <w:t xml:space="preserve">351  </w:t>
      </w:r>
      <w:r>
        <w:rPr>
          <w:rFonts w:ascii="Arial" w:cs="Arial" w:eastAsia="Arial" w:hAnsi="Arial"/>
          <w:color w:val="444444"/>
          <w:sz w:val="20"/>
          <w:szCs w:val="20"/>
        </w:rPr>
        <w:t xml:space="preserve">high-priority telemedicine sites identified (score ≥ 5)</w:t>
      </w:r>
    </w:p>
    <w:p>
      <w:pPr>
        <w:spacing w:after="60" w:before="60"/>
      </w:pPr>
      <w:r>
        <w:rPr>
          <w:rFonts w:ascii="Arial" w:cs="Arial" w:eastAsia="Arial" w:hAnsi="Arial"/>
          <w:b/>
          <w:bCs/>
          <w:color w:val="1A2B3C"/>
          <w:sz w:val="20"/>
          <w:szCs w:val="20"/>
        </w:rPr>
        <w:t xml:space="preserve">Top states:  </w:t>
      </w:r>
      <w:r>
        <w:rPr>
          <w:rFonts w:ascii="Arial" w:cs="Arial" w:eastAsia="Arial" w:hAnsi="Arial"/>
          <w:color w:val="444444"/>
          <w:sz w:val="20"/>
          <w:szCs w:val="20"/>
        </w:rPr>
        <w:t xml:space="preserve">California (49 sites) · Texas (38) · Illinois (26)</w:t>
      </w:r>
    </w:p>
    <w:p>
      <w:pPr>
        <w:spacing w:after="100" w:before="0"/>
      </w:pPr>
      <w:r>
        <w:rPr>
          <w:rFonts w:ascii="Arial" w:cs="Arial" w:eastAsia="Arial" w:hAnsi="Arial"/>
          <w:b w:val="false"/>
          <w:bCs w:val="false"/>
          <w:color w:val="333333"/>
          <w:sz w:val="20"/>
          <w:szCs w:val="20"/>
        </w:rPr>
        <w:t xml:space="preserve">Scoring weights: Trauma without burn (3 pts) + L1 trauma (2 pts) + L2 trauma (1.5 pts) + Bed size (0.5–1 pt)</w:t>
      </w:r>
    </w:p>
    <w:p>
      <w:pPr>
        <w:spacing w:after="40" w:before="120"/>
      </w:pPr>
      <w:r>
        <w:rPr>
          <w:rFonts w:ascii="Arial" w:cs="Arial" w:eastAsia="Arial" w:hAnsi="Arial"/>
          <w:b/>
          <w:bCs/>
          <w:color w:val="2E4A5A"/>
          <w:sz w:val="22"/>
          <w:szCs w:val="22"/>
        </w:rPr>
        <w:t xml:space="preserve">3. The 100-Mile Burden</w:t>
      </w:r>
    </w:p>
    <w:p>
      <w:pPr>
        <w:spacing w:after="100" w:before="0"/>
      </w:pPr>
      <w:r>
        <w:rPr>
          <w:rFonts w:ascii="Arial" w:cs="Arial" w:eastAsia="Arial" w:hAnsi="Arial"/>
          <w:b w:val="false"/>
          <w:bCs w:val="false"/>
          <w:color w:val="333333"/>
          <w:sz w:val="20"/>
          <w:szCs w:val="20"/>
        </w:rPr>
        <w:t xml:space="preserve">Population-weighted distance analysis across 3,221 counties revealed that large segments of the US population face travel distances exceeding 100 miles to reach a dedicated burn center — disproportionately affecting rural and low-income communities.</w:t>
      </w:r>
    </w:p>
    <w:p>
      <w:pPr>
        <w:spacing w:after="40" w:before="120"/>
      </w:pPr>
      <w:r>
        <w:rPr>
          <w:rFonts w:ascii="Arial" w:cs="Arial" w:eastAsia="Arial" w:hAnsi="Arial"/>
          <w:b/>
          <w:bCs/>
          <w:color w:val="2E4A5A"/>
          <w:sz w:val="22"/>
          <w:szCs w:val="22"/>
        </w:rPr>
        <w:t xml:space="preserve">4. Equity Integration</w:t>
      </w:r>
    </w:p>
    <w:p>
      <w:pPr>
        <w:spacing w:after="100" w:before="0"/>
      </w:pPr>
      <w:r>
        <w:rPr>
          <w:rFonts w:ascii="Arial" w:cs="Arial" w:eastAsia="Arial" w:hAnsi="Arial"/>
          <w:b w:val="false"/>
          <w:bCs w:val="false"/>
          <w:color w:val="333333"/>
          <w:sz w:val="20"/>
          <w:szCs w:val="20"/>
        </w:rPr>
        <w:t xml:space="preserve">CDC Social Vulnerability Index data (poverty, minority status, disability, vehicle access) was merged with access metrics, enabling correlation analysis between social vulnerability and geographic distance to care.</w:t>
      </w:r>
    </w:p>
    <w:p>
      <w:pPr>
        <w:spacing w:after="60" w:before="220"/>
      </w:pPr>
      <w:r>
        <w:rPr>
          <w:rFonts w:ascii="Arial" w:cs="Arial" w:eastAsia="Arial" w:hAnsi="Arial"/>
          <w:b/>
          <w:bCs/>
          <w:caps w:val="false"/>
          <w:color w:val="1D6A72"/>
          <w:sz w:val="22"/>
          <w:szCs w:val="22"/>
        </w:rPr>
        <w:t xml:space="preserve">RECOMMENDATIONS</w:t>
      </w:r>
    </w:p>
    <w:p>
      <w:pPr>
        <w:pBdr>
          <w:top w:val="single" w:color="1D6A72" w:sz="4"/>
          <w:left w:val="single" w:color="1D6A72" w:sz="16"/>
          <w:bottom w:val="none" w:color="FFFFFF" w:sz="0"/>
          <w:right w:val="none" w:color="FFFFFF" w:sz="0"/>
        </w:pBdr>
        <w:shd w:fill="E8F4F5" w:val="clear"/>
        <w:spacing w:after="0" w:before="100"/>
        <w:ind w:left="360" w:right="360"/>
      </w:pPr>
      <w:r>
        <w:rPr>
          <w:rFonts w:ascii="Arial" w:cs="Arial" w:eastAsia="Arial" w:hAnsi="Arial"/>
          <w:color w:val="333333"/>
          <w:sz w:val="20"/>
          <w:szCs w:val="20"/>
        </w:rPr>
        <w:t xml:space="preserve">Priority 1  ·  Activate telemedicine hubs at 351 high-priority sites</w:t>
      </w:r>
    </w:p>
    <w:p>
      <w:pPr>
        <w:pBdr>
          <w:top w:val="none" w:color="FFFFFF" w:sz="0"/>
          <w:left w:val="single" w:color="1D6A72" w:sz="16"/>
          <w:bottom w:val="none" w:color="FFFFFF" w:sz="0"/>
          <w:right w:val="none" w:color="FFFFFF" w:sz="0"/>
        </w:pBdr>
        <w:shd w:fill="E8F4F5" w:val="clear"/>
        <w:spacing w:after="0" w:before="0"/>
        <w:ind w:left="360" w:right="360"/>
      </w:pPr>
      <w:r>
        <w:rPr>
          <w:rFonts w:ascii="Arial" w:cs="Arial" w:eastAsia="Arial" w:hAnsi="Arial"/>
          <w:color w:val="333333"/>
          <w:sz w:val="20"/>
          <w:szCs w:val="20"/>
        </w:rPr>
        <w:t xml:space="preserve">Priority 2  ·  Strengthen referral pathways across 498 gap centers</w:t>
      </w:r>
    </w:p>
    <w:p>
      <w:pPr>
        <w:pBdr>
          <w:top w:val="none" w:color="FFFFFF" w:sz="0"/>
          <w:left w:val="single" w:color="1D6A72" w:sz="16"/>
          <w:bottom w:val="none" w:color="FFFFFF" w:sz="0"/>
          <w:right w:val="none" w:color="FFFFFF" w:sz="0"/>
        </w:pBdr>
        <w:shd w:fill="E8F4F5" w:val="clear"/>
        <w:spacing w:after="0" w:before="0"/>
        <w:ind w:left="360" w:right="360"/>
      </w:pPr>
      <w:r>
        <w:rPr>
          <w:rFonts w:ascii="Arial" w:cs="Arial" w:eastAsia="Arial" w:hAnsi="Arial"/>
          <w:color w:val="333333"/>
          <w:sz w:val="20"/>
          <w:szCs w:val="20"/>
        </w:rPr>
        <w:t xml:space="preserve">Priority 3  ·  Fund transport &amp; logistics in 7 identified Failure Zone states</w:t>
      </w:r>
    </w:p>
    <w:p>
      <w:pPr>
        <w:pBdr>
          <w:top w:val="none" w:color="FFFFFF" w:sz="0"/>
          <w:left w:val="single" w:color="1D6A72" w:sz="16"/>
          <w:bottom w:val="single" w:color="1D6A72" w:sz="4"/>
          <w:right w:val="none" w:color="FFFFFF" w:sz="0"/>
        </w:pBdr>
        <w:shd w:fill="E8F4F5" w:val="clear"/>
        <w:spacing w:after="100" w:before="0"/>
        <w:ind w:left="360" w:right="360"/>
      </w:pPr>
      <w:r>
        <w:rPr>
          <w:rFonts w:ascii="Arial" w:cs="Arial" w:eastAsia="Arial" w:hAnsi="Arial"/>
          <w:color w:val="333333"/>
          <w:sz w:val="20"/>
          <w:szCs w:val="20"/>
        </w:rPr>
        <w:t xml:space="preserve">Priority 4  ·  Expand ABA verification in low-quality, high-access states</w:t>
      </w:r>
    </w:p>
    <w:p>
      <w:pPr>
        <w:spacing w:after="60" w:before="220"/>
      </w:pPr>
      <w:r>
        <w:rPr>
          <w:rFonts w:ascii="Arial" w:cs="Arial" w:eastAsia="Arial" w:hAnsi="Arial"/>
          <w:b/>
          <w:bCs/>
          <w:caps w:val="false"/>
          <w:color w:val="1D6A72"/>
          <w:sz w:val="22"/>
          <w:szCs w:val="22"/>
        </w:rPr>
        <w:t xml:space="preserve">TECHNICAL APPROACH</w:t>
      </w:r>
    </w:p>
    <w:p>
      <w:pPr>
        <w:pStyle w:val="ListParagraph"/>
        <w:numPr>
          <w:ilvl w:val="0"/>
          <w:numId w:val="2"/>
        </w:numPr>
        <w:spacing w:after="60" w:before="0"/>
      </w:pPr>
      <w:r>
        <w:rPr>
          <w:rFonts w:ascii="Arial" w:cs="Arial" w:eastAsia="Arial" w:hAnsi="Arial"/>
          <w:b w:val="false"/>
          <w:bCs w:val="false"/>
          <w:color w:val="333333"/>
          <w:sz w:val="20"/>
          <w:szCs w:val="20"/>
        </w:rPr>
        <w:t xml:space="preserve">Language: Python</w:t>
      </w:r>
    </w:p>
    <w:p>
      <w:pPr>
        <w:pStyle w:val="ListParagraph"/>
        <w:numPr>
          <w:ilvl w:val="0"/>
          <w:numId w:val="2"/>
        </w:numPr>
        <w:spacing w:after="60" w:before="0"/>
      </w:pPr>
      <w:r>
        <w:rPr>
          <w:rFonts w:ascii="Arial" w:cs="Arial" w:eastAsia="Arial" w:hAnsi="Arial"/>
          <w:b w:val="false"/>
          <w:bCs w:val="false"/>
          <w:color w:val="333333"/>
          <w:sz w:val="20"/>
          <w:szCs w:val="20"/>
        </w:rPr>
        <w:t xml:space="preserve">Libraries: Pandas · NumPy · Plotly · Folium</w:t>
      </w:r>
    </w:p>
    <w:p>
      <w:pPr>
        <w:pStyle w:val="ListParagraph"/>
        <w:numPr>
          <w:ilvl w:val="0"/>
          <w:numId w:val="2"/>
        </w:numPr>
        <w:spacing w:after="60" w:before="0"/>
      </w:pPr>
      <w:r>
        <w:rPr>
          <w:rFonts w:ascii="Arial" w:cs="Arial" w:eastAsia="Arial" w:hAnsi="Arial"/>
          <w:b w:val="false"/>
          <w:bCs w:val="false"/>
          <w:color w:val="333333"/>
          <w:sz w:val="20"/>
          <w:szCs w:val="20"/>
        </w:rPr>
        <w:t xml:space="preserve">Geospatial: Haversine distance · Population-weighted centroids</w:t>
      </w:r>
    </w:p>
    <w:p>
      <w:pPr>
        <w:pStyle w:val="ListParagraph"/>
        <w:numPr>
          <w:ilvl w:val="0"/>
          <w:numId w:val="2"/>
        </w:numPr>
        <w:spacing w:after="60" w:before="0"/>
      </w:pPr>
      <w:r>
        <w:rPr>
          <w:rFonts w:ascii="Arial" w:cs="Arial" w:eastAsia="Arial" w:hAnsi="Arial"/>
          <w:b w:val="false"/>
          <w:bCs w:val="false"/>
          <w:color w:val="333333"/>
          <w:sz w:val="20"/>
          <w:szCs w:val="20"/>
        </w:rPr>
        <w:t xml:space="preserve">Data sources: NIRD 2023 · Census 2020 · CDC SVI 2022 · USDA RUCC 2023</w:t>
      </w:r>
    </w:p>
    <w:p>
      <w:pPr>
        <w:spacing w:after="60" w:before="220"/>
      </w:pPr>
      <w:r>
        <w:rPr>
          <w:rFonts w:ascii="Arial" w:cs="Arial" w:eastAsia="Arial" w:hAnsi="Arial"/>
          <w:b/>
          <w:bCs/>
          <w:caps w:val="false"/>
          <w:color w:val="1D6A72"/>
          <w:sz w:val="22"/>
          <w:szCs w:val="22"/>
        </w:rPr>
        <w:t xml:space="preserve">IMPACT</w:t>
      </w:r>
    </w:p>
    <w:p>
      <w:pPr>
        <w:pStyle w:val="ListParagraph"/>
        <w:numPr>
          <w:ilvl w:val="0"/>
          <w:numId w:val="2"/>
        </w:numPr>
        <w:spacing w:after="60" w:before="0"/>
      </w:pPr>
      <w:r>
        <w:rPr>
          <w:rFonts w:ascii="Arial" w:cs="Arial" w:eastAsia="Arial" w:hAnsi="Arial"/>
          <w:b w:val="false"/>
          <w:bCs w:val="false"/>
          <w:color w:val="333333"/>
          <w:sz w:val="20"/>
          <w:szCs w:val="20"/>
        </w:rPr>
        <w:t xml:space="preserve">A data-driven blueprint for equitable burn care allocation</w:t>
      </w:r>
    </w:p>
    <w:p>
      <w:pPr>
        <w:pStyle w:val="ListParagraph"/>
        <w:numPr>
          <w:ilvl w:val="0"/>
          <w:numId w:val="2"/>
        </w:numPr>
        <w:spacing w:after="60" w:before="0"/>
      </w:pPr>
      <w:r>
        <w:rPr>
          <w:rFonts w:ascii="Arial" w:cs="Arial" w:eastAsia="Arial" w:hAnsi="Arial"/>
          <w:b w:val="false"/>
          <w:bCs w:val="false"/>
          <w:color w:val="333333"/>
          <w:sz w:val="20"/>
          <w:szCs w:val="20"/>
        </w:rPr>
        <w:t xml:space="preserve">Actionable telemedicine targets ranked by clinical need</w:t>
      </w:r>
    </w:p>
    <w:p>
      <w:pPr>
        <w:pStyle w:val="ListParagraph"/>
        <w:numPr>
          <w:ilvl w:val="0"/>
          <w:numId w:val="2"/>
        </w:numPr>
        <w:spacing w:after="60" w:before="0"/>
      </w:pPr>
      <w:r>
        <w:rPr>
          <w:rFonts w:ascii="Arial" w:cs="Arial" w:eastAsia="Arial" w:hAnsi="Arial"/>
          <w:b w:val="false"/>
          <w:bCs w:val="false"/>
          <w:color w:val="333333"/>
          <w:sz w:val="20"/>
          <w:szCs w:val="20"/>
        </w:rPr>
        <w:t xml:space="preserve">County-level precision that unmasks state-level averages</w:t>
      </w:r>
    </w:p>
    <w:p>
      <w:pPr>
        <w:pStyle w:val="ListParagraph"/>
        <w:numPr>
          <w:ilvl w:val="0"/>
          <w:numId w:val="2"/>
        </w:numPr>
        <w:spacing w:after="60" w:before="0"/>
      </w:pPr>
      <w:r>
        <w:rPr>
          <w:rFonts w:ascii="Arial" w:cs="Arial" w:eastAsia="Arial" w:hAnsi="Arial"/>
          <w:b w:val="false"/>
          <w:bCs w:val="false"/>
          <w:color w:val="333333"/>
          <w:sz w:val="20"/>
          <w:szCs w:val="20"/>
        </w:rPr>
        <w:t xml:space="preserve">Open-source infrastructure for replication across acute care domains</w:t>
      </w:r>
    </w:p>
    <w:sectPr>
      <w:headerReference w:type="default" r:id="rId7"/>
      <w:footerReference w:type="default" r:id="rId8"/>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CCCC" w:sz="8" w:space="1"/>
      </w:pBdr>
      <w:spacing w:after="80" w:before="0"/>
    </w:pPr>
  </w:p>
  <w:p>
    <w:pPr>
      <w:spacing w:after="0" w:before="60"/>
    </w:pPr>
    <w:r>
      <w:rPr>
        <w:rFonts w:ascii="Arial" w:cs="Arial" w:eastAsia="Arial" w:hAnsi="Arial"/>
        <w:color w:val="888888"/>
        <w:sz w:val="16"/>
        <w:szCs w:val="16"/>
      </w:rPr>
      <w:t xml:space="preserve">Burn Care Equity Analysis  ·  Methods: Haversine distance, population-weighted averaging, weighted telemedicine scoring  ·  </w:t>
    </w:r>
    <w:r>
      <w:rPr>
        <w:rFonts w:ascii="Arial" w:cs="Arial" w:eastAsia="Arial" w:hAnsi="Arial"/>
        <w:color w:val="1D6A72"/>
        <w:sz w:val="16"/>
        <w:szCs w:val="16"/>
      </w:rPr>
      <w:t xml:space="preserve">fayfaymn.github.io/Burn-Care-Equity-Analysis-ROI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pPr>
    <w:r>
      <w:rPr>
        <w:rFonts w:ascii="Arial" w:cs="Arial" w:eastAsia="Arial" w:hAnsi="Arial"/>
        <w:b/>
        <w:bCs/>
        <w:color w:val="1A2B3C"/>
        <w:sz w:val="32"/>
        <w:szCs w:val="32"/>
      </w:rPr>
      <w:t xml:space="preserve">BURN CARE ACCESS IN AMERICA: A DATA-DRIVEN EQUITY ANALYSIS</w:t>
    </w:r>
  </w:p>
  <w:p>
    <w:pPr>
      <w:pBdr>
        <w:bottom w:val="single" w:color="1D6A72" w:sz="8" w:space="1"/>
      </w:pBdr>
      <w:spacing w:after="80" w:before="0"/>
    </w:pPr>
  </w:p>
  <w:p>
    <w:pPr>
      <w:spacing w:after="120" w:before="60"/>
    </w:pPr>
    <w:r>
      <w:rPr>
        <w:rFonts w:ascii="Arial" w:cs="Arial" w:eastAsia="Arial" w:hAnsi="Arial"/>
        <w:color w:val="666666"/>
        <w:sz w:val="18"/>
        <w:szCs w:val="18"/>
      </w:rPr>
      <w:t xml:space="preserve">Integrated Analysis of NIRD 2023 · US Census 2020 · CDC SVI 2022  |  3,221 Counties  |  635 Hospitals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2026-04-12T20:59:06.490Z</dcterms:created>
  <dcterms:modified xsi:type="dcterms:W3CDTF">2026-04-12T20:59:06.491Z</dcterms:modified>
</cp:coreProperties>
</file>

<file path=docProps/custom.xml><?xml version="1.0" encoding="utf-8"?>
<Properties xmlns="http://schemas.openxmlformats.org/officeDocument/2006/custom-properties" xmlns:vt="http://schemas.openxmlformats.org/officeDocument/2006/docPropsVTypes"/>
</file>