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280"/>
              <w:bottom w:type="dxa" w:w="200"/>
              <w:right w:type="dxa" w:w="280"/>
            </w:tcMar>
          </w:tcPr>
          <w:p>
            <w:pPr>
              <w:spacing w:after="80" w:before="0"/>
              <w:jc w:val="left"/>
            </w:pPr>
            <w:r>
              <w:rPr>
                <w:rFonts w:ascii="Arial" w:cs="Arial" w:eastAsia="Arial" w:hAnsi="Arial"/>
                <w:b/>
                <w:bCs/>
                <w:color w:val="A9C4E4"/>
                <w:sz w:val="18"/>
                <w:szCs w:val="18"/>
              </w:rPr>
              <w:t xml:space="preserve">POLICY BRIEF</w:t>
            </w:r>
          </w:p>
          <w:p>
            <w:pPr>
              <w:spacing w:after="80" w:before="0"/>
              <w:jc w:val="left"/>
            </w:pPr>
            <w:r>
              <w:rPr>
                <w:rFonts w:ascii="Arial" w:cs="Arial" w:eastAsia="Arial" w:hAnsi="Arial"/>
                <w:b/>
                <w:bCs/>
                <w:color w:val="FFFFFF"/>
                <w:sz w:val="40"/>
                <w:szCs w:val="40"/>
              </w:rPr>
              <w:t xml:space="preserve">Burn Care Equity in America:</w:t>
            </w:r>
          </w:p>
          <w:p>
            <w:pPr>
              <w:spacing w:after="100" w:before="0"/>
              <w:jc w:val="left"/>
            </w:pPr>
            <w:r>
              <w:rPr>
                <w:rFonts w:ascii="Arial" w:cs="Arial" w:eastAsia="Arial" w:hAnsi="Arial"/>
                <w:color w:val="D6E4F0"/>
                <w:sz w:val="30"/>
                <w:szCs w:val="30"/>
              </w:rPr>
              <w:t xml:space="preserve">Mapping the Referral Gap and a Telemedicine Path Forward</w:t>
            </w:r>
          </w:p>
          <w:p>
            <w:pPr>
              <w:spacing w:after="0" w:before="0"/>
              <w:jc w:val="left"/>
            </w:pPr>
            <w:r>
              <w:rPr>
                <w:rFonts w:ascii="Arial" w:cs="Arial" w:eastAsia="Arial" w:hAnsi="Arial"/>
                <w:color w:val="A9C4E4"/>
                <w:sz w:val="17"/>
                <w:szCs w:val="17"/>
              </w:rPr>
              <w:t xml:space="preserve">HeatMap Hackathon 2026 — Team 13 | ABA–BData National Injury Resource Database (NIRD 2023)</w:t>
            </w:r>
          </w:p>
        </w:tc>
      </w:tr>
    </w:tbl>
    <w:p>
      <w:pPr>
        <w:spacing w:after="120" w:before="0"/>
      </w:pPr>
      <w:r>
        <w:t xml:space="preserve"/>
      </w:r>
    </w:p>
    <w:p>
      <w:pPr>
        <w:pStyle w:val="Heading1"/>
        <w:pBdr>
          <w:bottom w:val="single" w:color="2E75B6" w:sz="6" w:space="4"/>
        </w:pBdr>
        <w:spacing w:after="120" w:before="240"/>
      </w:pPr>
      <w:r>
        <w:rPr>
          <w:rFonts w:ascii="Arial" w:cs="Arial" w:eastAsia="Arial" w:hAnsi="Arial"/>
          <w:b/>
          <w:bCs/>
          <w:color w:val="1F4E79"/>
          <w:sz w:val="26"/>
          <w:szCs w:val="26"/>
        </w:rPr>
        <w:t xml:space="preserve">Executive Summary</w:t>
      </w:r>
    </w:p>
    <w:p>
      <w:pPr>
        <w:spacing w:after="60" w:before="60"/>
        <w:jc w:val="both"/>
      </w:pPr>
      <w:r>
        <w:rPr>
          <w:rFonts w:ascii="Arial" w:cs="Arial" w:eastAsia="Arial" w:hAnsi="Arial"/>
          <w:color w:val="000000"/>
          <w:sz w:val="20"/>
          <w:szCs w:val="20"/>
        </w:rPr>
        <w:t xml:space="preserve">Every year, approximately 600,000 Americans sustain burn injuries requiring emergency care. Yet the odds of receiving specialist treatment depend less on the severity of the injury than on where the patient lives. This analysis — conducted by Team 13 at the 2026 HeatMap Hackathon using the National Injury Resource Database (NIRD 2023) — documents the structural inequities embedded in the U.S. burn care system and proposes a data-driven, near-term intervention pathway centered on telemedicine network deployment.</w:t>
      </w:r>
    </w:p>
    <w:p>
      <w:pPr>
        <w:spacing w:after="80" w:before="0"/>
      </w:pPr>
      <w:r>
        <w:t xml:space="preserve"/>
      </w:r>
    </w:p>
    <w:p>
      <w:pPr>
        <w:pStyle w:val="Heading1"/>
        <w:pBdr>
          <w:bottom w:val="single" w:color="2E75B6" w:sz="6" w:space="4"/>
        </w:pBdr>
        <w:spacing w:after="120" w:before="240"/>
      </w:pPr>
      <w:r>
        <w:rPr>
          <w:rFonts w:ascii="Arial" w:cs="Arial" w:eastAsia="Arial" w:hAnsi="Arial"/>
          <w:b/>
          <w:bCs/>
          <w:color w:val="1F4E79"/>
          <w:sz w:val="26"/>
          <w:szCs w:val="26"/>
        </w:rPr>
        <w:t xml:space="preserve">Key Findings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pPr>
              <w:spacing w:after="40" w:before="0"/>
              <w:jc w:val="center"/>
            </w:pPr>
            <w:r>
              <w:rPr>
                <w:rFonts w:ascii="Arial" w:cs="Arial" w:eastAsia="Arial" w:hAnsi="Arial"/>
                <w:b/>
                <w:bCs/>
                <w:color w:val="C00000"/>
                <w:sz w:val="48"/>
                <w:szCs w:val="48"/>
              </w:rPr>
              <w:t xml:space="preserve">498</w:t>
            </w:r>
          </w:p>
          <w:p>
            <w:pPr>
              <w:spacing w:after="0" w:before="0"/>
              <w:jc w:val="center"/>
            </w:pPr>
            <w:r>
              <w:rPr>
                <w:rFonts w:ascii="Arial" w:cs="Arial" w:eastAsia="Arial" w:hAnsi="Arial"/>
                <w:color w:val="595959"/>
                <w:sz w:val="16"/>
                <w:szCs w:val="16"/>
              </w:rPr>
              <w:t xml:space="preserve">Trauma centers lacking burn capability</w:t>
            </w:r>
          </w:p>
        </w:tc>
        <w:tc>
          <w:tcPr>
            <w:tcW w:type="dxa" w:w="234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pPr>
              <w:spacing w:after="40" w:before="0"/>
              <w:jc w:val="center"/>
            </w:pPr>
            <w:r>
              <w:rPr>
                <w:rFonts w:ascii="Arial" w:cs="Arial" w:eastAsia="Arial" w:hAnsi="Arial"/>
                <w:b/>
                <w:bCs/>
                <w:color w:val="C55A11"/>
                <w:sz w:val="48"/>
                <w:szCs w:val="48"/>
              </w:rPr>
              <w:t xml:space="preserve">66%</w:t>
            </w:r>
          </w:p>
          <w:p>
            <w:pPr>
              <w:spacing w:after="0" w:before="0"/>
              <w:jc w:val="center"/>
            </w:pPr>
            <w:r>
              <w:rPr>
                <w:rFonts w:ascii="Arial" w:cs="Arial" w:eastAsia="Arial" w:hAnsi="Arial"/>
                <w:color w:val="595959"/>
                <w:sz w:val="16"/>
                <w:szCs w:val="16"/>
              </w:rPr>
              <w:t xml:space="preserve">Under-referral rate (Huang et al., 2021)</w:t>
            </w:r>
          </w:p>
        </w:tc>
        <w:tc>
          <w:tcPr>
            <w:tcW w:type="dxa" w:w="234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pPr>
              <w:spacing w:after="40" w:before="0"/>
              <w:jc w:val="center"/>
            </w:pPr>
            <w:r>
              <w:rPr>
                <w:rFonts w:ascii="Arial" w:cs="Arial" w:eastAsia="Arial" w:hAnsi="Arial"/>
                <w:b/>
                <w:bCs/>
                <w:color w:val="2E75B6"/>
                <w:sz w:val="48"/>
                <w:szCs w:val="48"/>
              </w:rPr>
              <w:t xml:space="preserve">3,221</w:t>
            </w:r>
          </w:p>
          <w:p>
            <w:pPr>
              <w:spacing w:after="0" w:before="0"/>
              <w:jc w:val="center"/>
            </w:pPr>
            <w:r>
              <w:rPr>
                <w:rFonts w:ascii="Arial" w:cs="Arial" w:eastAsia="Arial" w:hAnsi="Arial"/>
                <w:color w:val="595959"/>
                <w:sz w:val="16"/>
                <w:szCs w:val="16"/>
              </w:rPr>
              <w:t xml:space="preserve">Counties analyzed with pop-weighted distance</w:t>
            </w:r>
          </w:p>
        </w:tc>
        <w:tc>
          <w:tcPr>
            <w:tcW w:type="dxa" w:w="234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pPr>
              <w:spacing w:after="40" w:before="0"/>
              <w:jc w:val="center"/>
            </w:pPr>
            <w:r>
              <w:rPr>
                <w:rFonts w:ascii="Arial" w:cs="Arial" w:eastAsia="Arial" w:hAnsi="Arial"/>
                <w:b/>
                <w:bCs/>
                <w:color w:val="375623"/>
                <w:sz w:val="48"/>
                <w:szCs w:val="48"/>
              </w:rPr>
              <w:t xml:space="preserve">6.9</w:t>
            </w:r>
          </w:p>
          <w:p>
            <w:pPr>
              <w:spacing w:after="0" w:before="0"/>
              <w:jc w:val="center"/>
            </w:pPr>
            <w:r>
              <w:rPr>
                <w:rFonts w:ascii="Arial" w:cs="Arial" w:eastAsia="Arial" w:hAnsi="Arial"/>
                <w:color w:val="595959"/>
                <w:sz w:val="16"/>
                <w:szCs w:val="16"/>
              </w:rPr>
              <w:t xml:space="preserve">Excess hospital days per under-referred patient</w:t>
            </w:r>
          </w:p>
        </w:tc>
      </w:tr>
    </w:tbl>
    <w:p>
      <w:pPr>
        <w:spacing w:after="120" w:before="0"/>
      </w:pPr>
      <w:r>
        <w:t xml:space="preserve"/>
      </w:r>
    </w:p>
    <w:p>
      <w:pPr>
        <w:pStyle w:val="Heading1"/>
        <w:pBdr>
          <w:bottom w:val="single" w:color="2E75B6" w:sz="6" w:space="4"/>
        </w:pBdr>
        <w:spacing w:after="120" w:before="240"/>
      </w:pPr>
      <w:r>
        <w:rPr>
          <w:rFonts w:ascii="Arial" w:cs="Arial" w:eastAsia="Arial" w:hAnsi="Arial"/>
          <w:b/>
          <w:bCs/>
          <w:color w:val="1F4E79"/>
          <w:sz w:val="26"/>
          <w:szCs w:val="26"/>
        </w:rPr>
        <w:t xml:space="preserve">The Equity Problem</w:t>
      </w:r>
    </w:p>
    <w:p>
      <w:pPr>
        <w:pStyle w:val="Heading2"/>
        <w:spacing w:after="80" w:before="180"/>
      </w:pPr>
      <w:r>
        <w:rPr>
          <w:rFonts w:ascii="Arial" w:cs="Arial" w:eastAsia="Arial" w:hAnsi="Arial"/>
          <w:b/>
          <w:bCs/>
          <w:color w:val="2E75B6"/>
          <w:sz w:val="22"/>
          <w:szCs w:val="22"/>
        </w:rPr>
        <w:t xml:space="preserve">1. Geographic Access Is Deeply Unequal</w:t>
      </w:r>
    </w:p>
    <w:p>
      <w:pPr>
        <w:spacing w:after="60" w:before="60"/>
        <w:jc w:val="both"/>
      </w:pPr>
      <w:r>
        <w:rPr>
          <w:rFonts w:ascii="Arial" w:cs="Arial" w:eastAsia="Arial" w:hAnsi="Arial"/>
          <w:color w:val="000000"/>
          <w:sz w:val="20"/>
          <w:szCs w:val="20"/>
        </w:rPr>
        <w:t xml:space="preserve">Seven states have zero adult burn centers. Using population-weighted Haversine distances across 3,221 county centroids (U.S. Census 2020), the analysis identifies the states carrying the greatest distance burden: Alaska, North Dakota, Montana, South Dakota, Idaho, Wyoming, and Puerto Rico. Critically, the analysis separates proximity to any burn center from proximity to an ABA-verified center — the nationally recognized quality standard. This distinction exposes cases such as Hawaii, which has a burn center (0 miles) but is 2,385 miles from the nearest ABA-verified facility.</w:t>
      </w:r>
    </w:p>
    <w:p>
      <w:pPr>
        <w:spacing w:after="60" w:before="0"/>
      </w:pPr>
      <w:r>
        <w:t xml:space="preserve"/>
      </w:r>
    </w:p>
    <w:p>
      <w:pPr>
        <w:pStyle w:val="Heading2"/>
        <w:spacing w:after="80" w:before="180"/>
      </w:pPr>
      <w:r>
        <w:rPr>
          <w:rFonts w:ascii="Arial" w:cs="Arial" w:eastAsia="Arial" w:hAnsi="Arial"/>
          <w:b/>
          <w:bCs/>
          <w:color w:val="2E75B6"/>
          <w:sz w:val="22"/>
          <w:szCs w:val="22"/>
        </w:rPr>
        <w:t xml:space="preserve">2. Quality Is as Inequitable as Access</w:t>
      </w:r>
    </w:p>
    <w:p>
      <w:pPr>
        <w:spacing w:after="60" w:before="60"/>
        <w:jc w:val="both"/>
      </w:pPr>
      <w:r>
        <w:rPr>
          <w:rFonts w:ascii="Arial" w:cs="Arial" w:eastAsia="Arial" w:hAnsi="Arial"/>
          <w:color w:val="000000"/>
          <w:sz w:val="20"/>
          <w:szCs w:val="20"/>
        </w:rPr>
        <w:t xml:space="preserve">ABA verification rates vary dramatically across states. The Equity Quadrant analysis plots burn center density against verification rate for every state. A clearly identifiable cluster of states falls into the "Danger Zone" — low access and low quality simultaneously. These states face a double penalty: patients cannot easily reach a burn center, and the centers that exist do not meet national standards.</w:t>
      </w:r>
    </w:p>
    <w:p>
      <w:pPr>
        <w:spacing w:after="60" w:before="0"/>
      </w:pPr>
      <w:r>
        <w:t xml:space="preserve"/>
      </w:r>
    </w:p>
    <w:p>
      <w:pPr>
        <w:pStyle w:val="Heading2"/>
        <w:spacing w:after="80" w:before="180"/>
      </w:pPr>
      <w:r>
        <w:rPr>
          <w:rFonts w:ascii="Arial" w:cs="Arial" w:eastAsia="Arial" w:hAnsi="Arial"/>
          <w:b/>
          <w:bCs/>
          <w:color w:val="2E75B6"/>
          <w:sz w:val="22"/>
          <w:szCs w:val="22"/>
        </w:rPr>
        <w:t xml:space="preserve">3. The Referral System Is the Broken Link</w:t>
      </w:r>
    </w:p>
    <w:p>
      <w:pPr>
        <w:spacing w:after="60" w:before="60"/>
        <w:jc w:val="both"/>
      </w:pPr>
      <w:r>
        <w:rPr>
          <w:rFonts w:ascii="Arial" w:cs="Arial" w:eastAsia="Arial" w:hAnsi="Arial"/>
          <w:color w:val="000000"/>
          <w:sz w:val="20"/>
          <w:szCs w:val="20"/>
        </w:rPr>
        <w:t xml:space="preserve">Huang et al. (2021) found that 66% of patients meeting ABA referral criteria are treated at non-burn facilities. Applied to the NIRD dataset, this translates to the majority of patients who need specialist burn care never receiving it. Murray et al. (2019) quantifies the consequence: delayed referral adds an average of 6.9 excess hospital days per patient (17.7 vs. 10.8 days). At a conservative ABA benchmark cost of $3,500 per day, this under-referral generates substantial and avoidable healthcare expenditure at the state and national level.</w:t>
      </w:r>
    </w:p>
    <w:p>
      <w:pPr>
        <w:spacing w:after="60" w:before="0"/>
      </w:pPr>
      <w:r>
        <w:t xml:space="preserve"/>
      </w:r>
    </w:p>
    <w:p>
      <w:pPr>
        <w:pStyle w:val="Heading2"/>
        <w:spacing w:after="80" w:before="180"/>
      </w:pPr>
      <w:r>
        <w:rPr>
          <w:rFonts w:ascii="Arial" w:cs="Arial" w:eastAsia="Arial" w:hAnsi="Arial"/>
          <w:b/>
          <w:bCs/>
          <w:color w:val="2E75B6"/>
          <w:sz w:val="22"/>
          <w:szCs w:val="22"/>
        </w:rPr>
        <w:t xml:space="preserve">4. Socioeconomic Vulnerability Compounds Geographic Disadvantage</w:t>
      </w:r>
    </w:p>
    <w:p>
      <w:pPr>
        <w:spacing w:after="60" w:before="60"/>
        <w:jc w:val="both"/>
      </w:pPr>
      <w:r>
        <w:rPr>
          <w:rFonts w:ascii="Arial" w:cs="Arial" w:eastAsia="Arial" w:hAnsi="Arial"/>
          <w:color w:val="000000"/>
          <w:sz w:val="20"/>
          <w:szCs w:val="20"/>
        </w:rPr>
        <w:t xml:space="preserve">Integration of the CDC/ATSDR Social Vulnerability Index (SVI 2022) reveals that states with the lowest burn center density also tend to have higher poverty rates, greater proportions of households without vehicles, larger disability populations, and higher minority representation. These are not coincidental patterns — they reflect structural underinvestment in healthcare infrastructure in the communities least equipped to compensate for it.</w:t>
      </w:r>
    </w:p>
    <w:p>
      <w:pPr>
        <w:spacing w:after="60" w:before="0"/>
      </w:pPr>
      <w:r>
        <w:t xml:space="preserve"/>
      </w:r>
    </w:p>
    <w:p>
      <w:pPr>
        <w:pStyle w:val="Heading2"/>
        <w:spacing w:after="80" w:before="180"/>
      </w:pPr>
      <w:r>
        <w:rPr>
          <w:rFonts w:ascii="Arial" w:cs="Arial" w:eastAsia="Arial" w:hAnsi="Arial"/>
          <w:b/>
          <w:bCs/>
          <w:color w:val="2E75B6"/>
          <w:sz w:val="22"/>
          <w:szCs w:val="22"/>
        </w:rPr>
        <w:t xml:space="preserve">5. Children Face a Separate, Untracked Gap</w:t>
      </w:r>
    </w:p>
    <w:p>
      <w:pPr>
        <w:spacing w:after="60" w:before="60"/>
        <w:jc w:val="both"/>
      </w:pPr>
      <w:r>
        <w:rPr>
          <w:rFonts w:ascii="Arial" w:cs="Arial" w:eastAsia="Arial" w:hAnsi="Arial"/>
          <w:color w:val="000000"/>
          <w:sz w:val="20"/>
          <w:szCs w:val="20"/>
        </w:rPr>
        <w:t xml:space="preserve">A substantial number of states have adult burn centers but zero dedicated pediatric burn centers. Because pediatric burn care — fluid resuscitation ratios, wound surface area calculations, developmental and psychological support — is clinically distinct from adult care, adult facility counts mask a pediatric desert that current policy frameworks do not systematically track.</w:t>
      </w:r>
    </w:p>
    <w:p>
      <w:pPr>
        <w:spacing w:after="120" w:before="0"/>
      </w:pPr>
      <w:r>
        <w:t xml:space="preserve"/>
      </w:r>
    </w:p>
    <w:p>
      <w:pPr>
        <w:pStyle w:val="Heading1"/>
        <w:pBdr>
          <w:bottom w:val="single" w:color="2E75B6" w:sz="6" w:space="4"/>
        </w:pBdr>
        <w:spacing w:after="120" w:before="240"/>
      </w:pPr>
      <w:r>
        <w:rPr>
          <w:rFonts w:ascii="Arial" w:cs="Arial" w:eastAsia="Arial" w:hAnsi="Arial"/>
          <w:b/>
          <w:bCs/>
          <w:color w:val="1F4E79"/>
          <w:sz w:val="26"/>
          <w:szCs w:val="26"/>
        </w:rPr>
        <w:t xml:space="preserve">Composite Burn Care Vulnerability Index</w:t>
      </w:r>
    </w:p>
    <w:p>
      <w:pPr>
        <w:spacing w:after="60" w:before="60"/>
        <w:jc w:val="both"/>
      </w:pPr>
      <w:r>
        <w:rPr>
          <w:rFonts w:ascii="Arial" w:cs="Arial" w:eastAsia="Arial" w:hAnsi="Arial"/>
          <w:color w:val="000000"/>
          <w:sz w:val="20"/>
          <w:szCs w:val="20"/>
        </w:rPr>
        <w:t xml:space="preserve">To enable prioritized, evidence-based resource allocation, the analysis constructs a weighted Composite Vulnerability Index (CVI) for all 50 states. The index combines four normalized pillars:</w:t>
      </w:r>
    </w:p>
    <w:p>
      <w:pPr>
        <w:pStyle w:val="ListParagraph"/>
        <w:numPr>
          <w:ilvl w:val="0"/>
          <w:numId w:val="2"/>
        </w:numPr>
        <w:spacing w:after="40" w:before="40"/>
      </w:pPr>
      <w:r>
        <w:rPr>
          <w:rFonts w:ascii="Arial" w:cs="Arial" w:eastAsia="Arial" w:hAnsi="Arial"/>
          <w:color w:val="000000"/>
          <w:sz w:val="20"/>
          <w:szCs w:val="20"/>
        </w:rPr>
        <w:t xml:space="preserve">Access (35%): Burn centers per million residents</w:t>
      </w:r>
    </w:p>
    <w:p>
      <w:pPr>
        <w:pStyle w:val="ListParagraph"/>
        <w:numPr>
          <w:ilvl w:val="0"/>
          <w:numId w:val="2"/>
        </w:numPr>
        <w:spacing w:after="40" w:before="40"/>
      </w:pPr>
      <w:r>
        <w:rPr>
          <w:rFonts w:ascii="Arial" w:cs="Arial" w:eastAsia="Arial" w:hAnsi="Arial"/>
          <w:color w:val="000000"/>
          <w:sz w:val="20"/>
          <w:szCs w:val="20"/>
        </w:rPr>
        <w:t xml:space="preserve">Quality (25%): Percentage of burn centers ABA-verified</w:t>
      </w:r>
    </w:p>
    <w:p>
      <w:pPr>
        <w:pStyle w:val="ListParagraph"/>
        <w:numPr>
          <w:ilvl w:val="0"/>
          <w:numId w:val="2"/>
        </w:numPr>
        <w:spacing w:after="40" w:before="40"/>
      </w:pPr>
      <w:r>
        <w:rPr>
          <w:rFonts w:ascii="Arial" w:cs="Arial" w:eastAsia="Arial" w:hAnsi="Arial"/>
          <w:color w:val="000000"/>
          <w:sz w:val="20"/>
          <w:szCs w:val="20"/>
        </w:rPr>
        <w:t xml:space="preserve">Capacity (25%): Dedicated burn beds per 100,000 residents</w:t>
      </w:r>
    </w:p>
    <w:p>
      <w:pPr>
        <w:pStyle w:val="ListParagraph"/>
        <w:numPr>
          <w:ilvl w:val="0"/>
          <w:numId w:val="2"/>
        </w:numPr>
        <w:spacing w:after="40" w:before="40"/>
      </w:pPr>
      <w:r>
        <w:rPr>
          <w:rFonts w:ascii="Arial" w:cs="Arial" w:eastAsia="Arial" w:hAnsi="Arial"/>
          <w:color w:val="000000"/>
          <w:sz w:val="20"/>
          <w:szCs w:val="20"/>
        </w:rPr>
        <w:t xml:space="preserve">Population Scale (15%): Total state population (impact multiplier)</w:t>
      </w:r>
    </w:p>
    <w:p>
      <w:pPr>
        <w:spacing w:after="60" w:before="0"/>
      </w:pPr>
      <w:r>
        <w:t xml:space="preserve"/>
      </w:r>
    </w:p>
    <w:p>
      <w:pPr>
        <w:spacing w:after="60" w:before="60"/>
        <w:jc w:val="both"/>
      </w:pPr>
      <w:r>
        <w:rPr>
          <w:rFonts w:ascii="Arial" w:cs="Arial" w:eastAsia="Arial" w:hAnsi="Arial"/>
          <w:color w:val="000000"/>
          <w:sz w:val="20"/>
          <w:szCs w:val="20"/>
        </w:rPr>
        <w:t xml:space="preserve">A sensitivity analysis across five weighting scenarios — including access-heavy, quality-heavy, capacity-heavy, and equal-weight configurations — confirms that the top-10 most vulnerable states remain within the top 15 across every scenario tested. This robustness finding is significant: policy recommendations derived from this index are not artifacts of modeling assumptions.</w:t>
      </w:r>
    </w:p>
    <w:p>
      <w:pPr>
        <w:spacing w:after="120" w:before="0"/>
      </w:pPr>
      <w:r>
        <w:t xml:space="preserve"/>
      </w:r>
    </w:p>
    <w:p>
      <w:pPr>
        <w:pStyle w:val="Heading1"/>
        <w:pBdr>
          <w:bottom w:val="single" w:color="2E75B6" w:sz="6" w:space="4"/>
        </w:pBdr>
        <w:spacing w:after="120" w:before="240"/>
      </w:pPr>
      <w:r>
        <w:rPr>
          <w:rFonts w:ascii="Arial" w:cs="Arial" w:eastAsia="Arial" w:hAnsi="Arial"/>
          <w:b/>
          <w:bCs/>
          <w:color w:val="1F4E79"/>
          <w:sz w:val="26"/>
          <w:szCs w:val="26"/>
        </w:rPr>
        <w:t xml:space="preserve">Policy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8900"/>
        <w:gridCol w:w="100"/>
      </w:tblGrid>
      <w:tr>
        <w:tc>
          <w:tcPr>
            <w:tcW w:type="dxa" w:w="360"/>
            <w:tcBorders>
              <w:top w:val="none" w:color="FFFFFF" w:sz="0"/>
              <w:left w:val="none" w:color="FFFFFF" w:sz="0"/>
              <w:bottom w:val="none" w:color="FFFFFF" w:sz="0"/>
              <w:right w:val="none" w:color="FFFFFF" w:sz="0"/>
            </w:tcBorders>
            <w:shd w:fill="2E75B6" w:val="clear"/>
            <w:tcMar>
              <w:top w:type="dxa" w:w="80"/>
              <w:left w:type="dxa" w:w="0"/>
              <w:bottom w:type="dxa" w:w="80"/>
              <w:right w:type="dxa" w:w="0"/>
            </w:tcMar>
          </w:tcPr>
          <w:p>
            <w:r>
              <w:t xml:space="preserve"/>
            </w:r>
          </w:p>
        </w:tc>
        <w:tc>
          <w:tcPr>
            <w:tcW w:type="dxa" w:w="8900"/>
            <w:tcBorders>
              <w:top w:val="none" w:color="FFFFFF" w:sz="0"/>
              <w:left w:val="none" w:color="FFFFFF" w:sz="0"/>
              <w:bottom w:val="none" w:color="FFFFFF" w:sz="0"/>
              <w:right w:val="none" w:color="FFFFFF" w:sz="0"/>
            </w:tcBorders>
            <w:shd w:fill="FFFFFF" w:val="clear"/>
            <w:tcMar>
              <w:top w:type="dxa" w:w="100"/>
              <w:left w:type="dxa" w:w="200"/>
              <w:bottom w:type="dxa" w:w="100"/>
              <w:right w:type="dxa" w:w="120"/>
            </w:tcMar>
          </w:tcPr>
          <w:p>
            <w:pPr>
              <w:spacing w:after="60" w:before="0"/>
            </w:pPr>
            <w:r>
              <w:rPr>
                <w:rFonts w:ascii="Arial" w:cs="Arial" w:eastAsia="Arial" w:hAnsi="Arial"/>
                <w:b/>
                <w:bCs/>
                <w:color w:val="2E75B6"/>
                <w:sz w:val="20"/>
                <w:szCs w:val="20"/>
              </w:rPr>
              <w:t xml:space="preserve">1. Activate Tele-Burn Hub Network</w:t>
            </w:r>
          </w:p>
          <w:p>
            <w:pPr>
              <w:spacing w:after="0" w:before="0"/>
            </w:pPr>
            <w:r>
              <w:rPr>
                <w:rFonts w:ascii="Arial" w:cs="Arial" w:eastAsia="Arial" w:hAnsi="Arial"/>
                <w:color w:val="000000"/>
                <w:sz w:val="19"/>
                <w:szCs w:val="19"/>
              </w:rPr>
              <w:t xml:space="preserve">Deploy telemedicine infrastructure at high-scoring trauma centers (score ≥5) lacking burn capability. Prioritize California, Texas, and Illinois — the states with the highest volume of qualifying candidate sites. Connect these spokes to ABA-verified burn centers as knowledge hubs.</w:t>
            </w:r>
          </w:p>
        </w:tc>
        <w:tc>
          <w:tcPr>
            <w:tcW w:type="dxa" w:w="100"/>
            <w:tcBorders>
              <w:top w:val="none" w:color="FFFFFF" w:sz="0"/>
              <w:left w:val="none" w:color="FFFFFF" w:sz="0"/>
              <w:bottom w:val="none" w:color="FFFFFF" w:sz="0"/>
              <w:right w:val="none" w:color="FFFFFF" w:sz="0"/>
            </w:tcBorders>
          </w:tcPr>
          <w:p>
            <w:r>
              <w:t xml:space="preserve"/>
            </w:r>
          </w:p>
        </w:tc>
      </w:tr>
      <w:tr>
        <w:tc>
          <w:tcPr>
            <w:tcW w:type="dxa" w:w="9360"/>
            <w:gridSpan w:val="3"/>
            <w:tcBorders>
              <w:top w:val="none" w:color="FFFFFF" w:sz="0"/>
              <w:left w:val="none" w:color="FFFFFF" w:sz="0"/>
              <w:bottom w:val="none" w:color="FFFFFF" w:sz="0"/>
              <w:right w:val="none" w:color="FFFFFF" w:sz="0"/>
            </w:tcBorders>
          </w:tcPr>
          <w:p>
            <w:pPr>
              <w:spacing w:after="60" w:before="0"/>
            </w:pPr>
            <w:r>
              <w:t xml:space="preserve"/>
            </w:r>
          </w:p>
        </w:tc>
      </w:tr>
      <w:tr>
        <w:tc>
          <w:tcPr>
            <w:tcW w:type="dxa" w:w="360"/>
            <w:tcBorders>
              <w:top w:val="none" w:color="FFFFFF" w:sz="0"/>
              <w:left w:val="none" w:color="FFFFFF" w:sz="0"/>
              <w:bottom w:val="none" w:color="FFFFFF" w:sz="0"/>
              <w:right w:val="none" w:color="FFFFFF" w:sz="0"/>
            </w:tcBorders>
            <w:shd w:fill="C55A11" w:val="clear"/>
            <w:tcMar>
              <w:top w:type="dxa" w:w="80"/>
              <w:left w:type="dxa" w:w="0"/>
              <w:bottom w:type="dxa" w:w="80"/>
              <w:right w:type="dxa" w:w="0"/>
            </w:tcMar>
          </w:tcPr>
          <w:p>
            <w:r>
              <w:t xml:space="preserve"/>
            </w:r>
          </w:p>
        </w:tc>
        <w:tc>
          <w:tcPr>
            <w:tcW w:type="dxa" w:w="8900"/>
            <w:tcBorders>
              <w:top w:val="none" w:color="FFFFFF" w:sz="0"/>
              <w:left w:val="none" w:color="FFFFFF" w:sz="0"/>
              <w:bottom w:val="none" w:color="FFFFFF" w:sz="0"/>
              <w:right w:val="none" w:color="FFFFFF" w:sz="0"/>
            </w:tcBorders>
            <w:shd w:fill="FFFFFF" w:val="clear"/>
            <w:tcMar>
              <w:top w:type="dxa" w:w="100"/>
              <w:left w:type="dxa" w:w="200"/>
              <w:bottom w:type="dxa" w:w="100"/>
              <w:right w:type="dxa" w:w="120"/>
            </w:tcMar>
          </w:tcPr>
          <w:p>
            <w:pPr>
              <w:spacing w:after="60" w:before="0"/>
            </w:pPr>
            <w:r>
              <w:rPr>
                <w:rFonts w:ascii="Arial" w:cs="Arial" w:eastAsia="Arial" w:hAnsi="Arial"/>
                <w:b/>
                <w:bCs/>
                <w:color w:val="C55A11"/>
                <w:sz w:val="20"/>
                <w:szCs w:val="20"/>
              </w:rPr>
              <w:t xml:space="preserve">2. Expand ABA Verification</w:t>
            </w:r>
          </w:p>
          <w:p>
            <w:pPr>
              <w:spacing w:after="0" w:before="0"/>
            </w:pPr>
            <w:r>
              <w:rPr>
                <w:rFonts w:ascii="Arial" w:cs="Arial" w:eastAsia="Arial" w:hAnsi="Arial"/>
                <w:color w:val="000000"/>
                <w:sz w:val="19"/>
                <w:szCs w:val="19"/>
              </w:rPr>
              <w:t xml:space="preserve">Physical proximity to a burn center is insufficient without quality assurance. ABA verification is the nationally recognized quality standard. Federal and state policy should create incentives for existing centers to pursue ABA verification, with targeted support for rural and underserved states.</w:t>
            </w:r>
          </w:p>
        </w:tc>
        <w:tc>
          <w:tcPr>
            <w:tcW w:type="dxa" w:w="100"/>
            <w:tcBorders>
              <w:top w:val="none" w:color="FFFFFF" w:sz="0"/>
              <w:left w:val="none" w:color="FFFFFF" w:sz="0"/>
              <w:bottom w:val="none" w:color="FFFFFF" w:sz="0"/>
              <w:right w:val="none" w:color="FFFFFF" w:sz="0"/>
            </w:tcBorders>
          </w:tcPr>
          <w:p>
            <w:r>
              <w:t xml:space="preserve"/>
            </w:r>
          </w:p>
        </w:tc>
      </w:tr>
      <w:tr>
        <w:tc>
          <w:tcPr>
            <w:tcW w:type="dxa" w:w="9360"/>
            <w:gridSpan w:val="3"/>
            <w:tcBorders>
              <w:top w:val="none" w:color="FFFFFF" w:sz="0"/>
              <w:left w:val="none" w:color="FFFFFF" w:sz="0"/>
              <w:bottom w:val="none" w:color="FFFFFF" w:sz="0"/>
              <w:right w:val="none" w:color="FFFFFF" w:sz="0"/>
            </w:tcBorders>
          </w:tcPr>
          <w:p>
            <w:pPr>
              <w:spacing w:after="60" w:before="0"/>
            </w:pPr>
            <w:r>
              <w:t xml:space="preserve"/>
            </w:r>
          </w:p>
        </w:tc>
      </w:tr>
      <w:tr>
        <w:tc>
          <w:tcPr>
            <w:tcW w:type="dxa" w:w="360"/>
            <w:tcBorders>
              <w:top w:val="none" w:color="FFFFFF" w:sz="0"/>
              <w:left w:val="none" w:color="FFFFFF" w:sz="0"/>
              <w:bottom w:val="none" w:color="FFFFFF" w:sz="0"/>
              <w:right w:val="none" w:color="FFFFFF" w:sz="0"/>
            </w:tcBorders>
            <w:shd w:fill="375623" w:val="clear"/>
            <w:tcMar>
              <w:top w:type="dxa" w:w="80"/>
              <w:left w:type="dxa" w:w="0"/>
              <w:bottom w:type="dxa" w:w="80"/>
              <w:right w:type="dxa" w:w="0"/>
            </w:tcMar>
          </w:tcPr>
          <w:p>
            <w:r>
              <w:t xml:space="preserve"/>
            </w:r>
          </w:p>
        </w:tc>
        <w:tc>
          <w:tcPr>
            <w:tcW w:type="dxa" w:w="8900"/>
            <w:tcBorders>
              <w:top w:val="none" w:color="FFFFFF" w:sz="0"/>
              <w:left w:val="none" w:color="FFFFFF" w:sz="0"/>
              <w:bottom w:val="none" w:color="FFFFFF" w:sz="0"/>
              <w:right w:val="none" w:color="FFFFFF" w:sz="0"/>
            </w:tcBorders>
            <w:shd w:fill="FFFFFF" w:val="clear"/>
            <w:tcMar>
              <w:top w:type="dxa" w:w="100"/>
              <w:left w:type="dxa" w:w="200"/>
              <w:bottom w:type="dxa" w:w="100"/>
              <w:right w:type="dxa" w:w="120"/>
            </w:tcMar>
          </w:tcPr>
          <w:p>
            <w:pPr>
              <w:spacing w:after="60" w:before="0"/>
            </w:pPr>
            <w:r>
              <w:rPr>
                <w:rFonts w:ascii="Arial" w:cs="Arial" w:eastAsia="Arial" w:hAnsi="Arial"/>
                <w:b/>
                <w:bCs/>
                <w:color w:val="375623"/>
                <w:sz w:val="20"/>
                <w:szCs w:val="20"/>
              </w:rPr>
              <w:t xml:space="preserve">3. Establish a Dedicated Pediatric Track</w:t>
            </w:r>
          </w:p>
          <w:p>
            <w:pPr>
              <w:spacing w:after="0" w:before="0"/>
            </w:pPr>
            <w:r>
              <w:rPr>
                <w:rFonts w:ascii="Arial" w:cs="Arial" w:eastAsia="Arial" w:hAnsi="Arial"/>
                <w:color w:val="000000"/>
                <w:sz w:val="19"/>
                <w:szCs w:val="19"/>
              </w:rPr>
              <w:t xml:space="preserve">Pediatric burn care requires distinct clinical protocols. States that appear adequate on adult metrics may have zero pediatric burn coverage. Policy must track adult and pediatric access separately and fund pediatric-specific capacity in identified gap states.</w:t>
            </w:r>
          </w:p>
        </w:tc>
        <w:tc>
          <w:tcPr>
            <w:tcW w:type="dxa" w:w="100"/>
            <w:tcBorders>
              <w:top w:val="none" w:color="FFFFFF" w:sz="0"/>
              <w:left w:val="none" w:color="FFFFFF" w:sz="0"/>
              <w:bottom w:val="none" w:color="FFFFFF" w:sz="0"/>
              <w:right w:val="none" w:color="FFFFFF" w:sz="0"/>
            </w:tcBorders>
          </w:tcPr>
          <w:p>
            <w:r>
              <w:t xml:space="preserve"/>
            </w:r>
          </w:p>
        </w:tc>
      </w:tr>
      <w:tr>
        <w:tc>
          <w:tcPr>
            <w:tcW w:type="dxa" w:w="9360"/>
            <w:gridSpan w:val="3"/>
            <w:tcBorders>
              <w:top w:val="none" w:color="FFFFFF" w:sz="0"/>
              <w:left w:val="none" w:color="FFFFFF" w:sz="0"/>
              <w:bottom w:val="none" w:color="FFFFFF" w:sz="0"/>
              <w:right w:val="none" w:color="FFFFFF" w:sz="0"/>
            </w:tcBorders>
          </w:tcPr>
          <w:p>
            <w:pPr>
              <w:spacing w:after="60" w:before="0"/>
            </w:pPr>
            <w:r>
              <w:t xml:space="preserve"/>
            </w:r>
          </w:p>
        </w:tc>
      </w:tr>
      <w:tr>
        <w:tc>
          <w:tcPr>
            <w:tcW w:type="dxa" w:w="360"/>
            <w:tcBorders>
              <w:top w:val="none" w:color="FFFFFF" w:sz="0"/>
              <w:left w:val="none" w:color="FFFFFF" w:sz="0"/>
              <w:bottom w:val="none" w:color="FFFFFF" w:sz="0"/>
              <w:right w:val="none" w:color="FFFFFF" w:sz="0"/>
            </w:tcBorders>
            <w:shd w:fill="C00000" w:val="clear"/>
            <w:tcMar>
              <w:top w:type="dxa" w:w="80"/>
              <w:left w:type="dxa" w:w="0"/>
              <w:bottom w:type="dxa" w:w="80"/>
              <w:right w:type="dxa" w:w="0"/>
            </w:tcMar>
          </w:tcPr>
          <w:p>
            <w:r>
              <w:t xml:space="preserve"/>
            </w:r>
          </w:p>
        </w:tc>
        <w:tc>
          <w:tcPr>
            <w:tcW w:type="dxa" w:w="8900"/>
            <w:tcBorders>
              <w:top w:val="none" w:color="FFFFFF" w:sz="0"/>
              <w:left w:val="none" w:color="FFFFFF" w:sz="0"/>
              <w:bottom w:val="none" w:color="FFFFFF" w:sz="0"/>
              <w:right w:val="none" w:color="FFFFFF" w:sz="0"/>
            </w:tcBorders>
            <w:shd w:fill="FFFFFF" w:val="clear"/>
            <w:tcMar>
              <w:top w:type="dxa" w:w="100"/>
              <w:left w:type="dxa" w:w="200"/>
              <w:bottom w:type="dxa" w:w="100"/>
              <w:right w:type="dxa" w:w="120"/>
            </w:tcMar>
          </w:tcPr>
          <w:p>
            <w:pPr>
              <w:spacing w:after="60" w:before="0"/>
            </w:pPr>
            <w:r>
              <w:rPr>
                <w:rFonts w:ascii="Arial" w:cs="Arial" w:eastAsia="Arial" w:hAnsi="Arial"/>
                <w:b/>
                <w:bCs/>
                <w:color w:val="C00000"/>
                <w:sz w:val="20"/>
                <w:szCs w:val="20"/>
              </w:rPr>
              <w:t xml:space="preserve">4. Shift Resource Allocation to County Level</w:t>
            </w:r>
          </w:p>
          <w:p>
            <w:pPr>
              <w:spacing w:after="0" w:before="0"/>
            </w:pPr>
            <w:r>
              <w:rPr>
                <w:rFonts w:ascii="Arial" w:cs="Arial" w:eastAsia="Arial" w:hAnsi="Arial"/>
                <w:color w:val="000000"/>
                <w:sz w:val="19"/>
                <w:szCs w:val="19"/>
              </w:rPr>
              <w:t xml:space="preserve">State-level averages mask severe county-level deserts. Resource allocation for new centers, telemedicine investments, and transport infrastructure should be driven by population-weighted county distance data, not state-level facility counts.</w:t>
            </w:r>
          </w:p>
        </w:tc>
        <w:tc>
          <w:tcPr>
            <w:tcW w:type="dxa" w:w="100"/>
            <w:tcBorders>
              <w:top w:val="none" w:color="FFFFFF" w:sz="0"/>
              <w:left w:val="none" w:color="FFFFFF" w:sz="0"/>
              <w:bottom w:val="none" w:color="FFFFFF" w:sz="0"/>
              <w:right w:val="none" w:color="FFFFFF" w:sz="0"/>
            </w:tcBorders>
          </w:tcPr>
          <w:p>
            <w:r>
              <w:t xml:space="preserve"/>
            </w:r>
          </w:p>
        </w:tc>
      </w:tr>
      <w:tr>
        <w:tc>
          <w:tcPr>
            <w:tcW w:type="dxa" w:w="9360"/>
            <w:gridSpan w:val="3"/>
            <w:tcBorders>
              <w:top w:val="none" w:color="FFFFFF" w:sz="0"/>
              <w:left w:val="none" w:color="FFFFFF" w:sz="0"/>
              <w:bottom w:val="none" w:color="FFFFFF" w:sz="0"/>
              <w:right w:val="none" w:color="FFFFFF" w:sz="0"/>
            </w:tcBorders>
          </w:tcPr>
          <w:p>
            <w:pPr>
              <w:spacing w:after="60" w:before="0"/>
            </w:pPr>
            <w:r>
              <w:t xml:space="preserve"/>
            </w:r>
          </w:p>
        </w:tc>
      </w:tr>
    </w:tbl>
    <w:p>
      <w:pPr>
        <w:spacing w:after="60" w:before="0"/>
      </w:pPr>
      <w:r>
        <w:t xml:space="preserve"/>
      </w:r>
    </w:p>
    <w:p>
      <w:pPr>
        <w:pStyle w:val="Heading1"/>
        <w:pBdr>
          <w:bottom w:val="single" w:color="2E75B6" w:sz="6" w:space="4"/>
        </w:pBdr>
        <w:spacing w:after="120" w:before="240"/>
      </w:pPr>
      <w:r>
        <w:rPr>
          <w:rFonts w:ascii="Arial" w:cs="Arial" w:eastAsia="Arial" w:hAnsi="Arial"/>
          <w:b/>
          <w:bCs/>
          <w:color w:val="1F4E79"/>
          <w:sz w:val="26"/>
          <w:szCs w:val="26"/>
        </w:rPr>
        <w:t xml:space="preserve">Data Sources &amp;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Source</w:t>
            </w:r>
          </w:p>
        </w:tc>
        <w:tc>
          <w:tcPr>
            <w:tcW w:type="dxa" w:w="6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Application</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NIRD 2023 (BData / ABA)</w:t>
            </w:r>
          </w:p>
        </w:tc>
        <w:tc>
          <w:tcPr>
            <w:tcW w:type="dxa" w:w="6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635 U.S. hospitals; burn center, trauma level, ABA verification, bed capacity</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U.S. Census Bureau 2020</w:t>
            </w:r>
          </w:p>
        </w:tc>
        <w:tc>
          <w:tcPr>
            <w:tcW w:type="dxa" w:w="6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3,221 county population-weighted centroids; Haversine distance calculation</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CDC/ATSDR SVI 2022</w:t>
            </w:r>
          </w:p>
        </w:tc>
        <w:tc>
          <w:tcPr>
            <w:tcW w:type="dxa" w:w="6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County-level poverty, vehicle access, disability, minority status, limited English</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USDA RUCC 2023</w:t>
            </w:r>
          </w:p>
        </w:tc>
        <w:tc>
          <w:tcPr>
            <w:tcW w:type="dxa" w:w="6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Rural-urban classification for 3,235 counties; state-level median aggregation</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Huang et al. (2021)</w:t>
            </w:r>
          </w:p>
        </w:tc>
        <w:tc>
          <w:tcPr>
            <w:tcW w:type="dxa" w:w="6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66% under-referral rate benchmark (Illinois statewide study)</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Murray et al. (2019)</w:t>
            </w:r>
          </w:p>
        </w:tc>
        <w:tc>
          <w:tcPr>
            <w:tcW w:type="dxa" w:w="6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6.9 excess LOS days attributable to delayed burn referral</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Ivanko et al. (2024)</w:t>
            </w:r>
          </w:p>
        </w:tc>
        <w:tc>
          <w:tcPr>
            <w:tcW w:type="dxa" w:w="6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~600,000 annual U.S. burn injuries requiring emergency care</w:t>
            </w:r>
          </w:p>
        </w:tc>
      </w:tr>
    </w:tbl>
    <w:p>
      <w:pPr>
        <w:spacing w:after="100" w:before="0"/>
      </w:pPr>
      <w:r>
        <w:t xml:space="preserve"/>
      </w:r>
    </w:p>
    <w:p>
      <w:pPr>
        <w:pBdr>
          <w:top w:val="single" w:color="2E75B6" w:sz="4" w:space="4"/>
        </w:pBdr>
        <w:spacing w:after="0" w:before="120"/>
        <w:jc w:val="center"/>
      </w:pPr>
      <w:r>
        <w:rPr>
          <w:rFonts w:ascii="Arial" w:cs="Arial" w:eastAsia="Arial" w:hAnsi="Arial"/>
          <w:color w:val="595959"/>
          <w:sz w:val="16"/>
          <w:szCs w:val="16"/>
        </w:rPr>
        <w:t xml:space="preserve">HeatMap Hackathon 2026 — 1st Place | Team 13: Emmanuel Fle Chea · Josh Spitzer-Resnick · Shreya Pramanik · Feifei Li · Lance Killian McDonald</w:t>
      </w:r>
    </w:p>
    <w:p>
      <w:pPr>
        <w:spacing w:after="0" w:before="40"/>
        <w:jc w:val="center"/>
      </w:pPr>
      <w:r>
        <w:rPr>
          <w:rFonts w:ascii="Arial" w:cs="Arial" w:eastAsia="Arial" w:hAnsi="Arial"/>
          <w:i/>
          <w:iCs/>
          <w:color w:val="595959"/>
          <w:sz w:val="16"/>
          <w:szCs w:val="16"/>
        </w:rPr>
        <w:t xml:space="preserve">Hosted by BData Inc., American Burn Association, HealthcareMN, University of Minnesota</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26"/>
      <w:szCs w:val="26"/>
    </w:rPr>
  </w:style>
  <w:style w:type="paragraph" w:styleId="Heading2">
    <w:name w:val="Heading 2"/>
    <w:basedOn w:val="Normal"/>
    <w:next w:val="Normal"/>
    <w:qFormat/>
    <w:pPr>
      <w:spacing w:after="80" w:before="18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2026-04-13T00:36:51.623Z</dcterms:created>
  <dcterms:modified xsi:type="dcterms:W3CDTF">2026-04-13T00:36:51.624Z</dcterms:modified>
</cp:coreProperties>
</file>

<file path=docProps/custom.xml><?xml version="1.0" encoding="utf-8"?>
<Properties xmlns="http://schemas.openxmlformats.org/officeDocument/2006/custom-properties" xmlns:vt="http://schemas.openxmlformats.org/officeDocument/2006/docPropsVTypes"/>
</file>