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20"/>
              <w:left w:type="dxa" w:w="300"/>
              <w:bottom w:type="dxa" w:w="220"/>
              <w:right w:type="dxa" w:w="300"/>
            </w:tcMar>
          </w:tcPr>
          <w:p>
            <w:pPr>
              <w:spacing w:after="60" w:before="0"/>
            </w:pPr>
            <w:r>
              <w:rPr>
                <w:rFonts w:ascii="Arial" w:cs="Arial" w:eastAsia="Arial" w:hAnsi="Arial"/>
                <w:b/>
                <w:bCs/>
                <w:color w:val="A9C4E4"/>
                <w:sz w:val="16"/>
                <w:szCs w:val="16"/>
              </w:rPr>
              <w:t xml:space="preserve">HACKATHON SOLUTION OVERVIEW  ·  HeatMap Hackathon 2026  ·  Team 13</w:t>
            </w:r>
          </w:p>
          <w:p>
            <w:pPr>
              <w:spacing w:after="60" w:before="0"/>
            </w:pPr>
            <w:r>
              <w:rPr>
                <w:rFonts w:ascii="Arial" w:cs="Arial" w:eastAsia="Arial" w:hAnsi="Arial"/>
                <w:b/>
                <w:bCs/>
                <w:color w:val="FFFFFF"/>
                <w:sz w:val="38"/>
                <w:szCs w:val="38"/>
              </w:rPr>
              <w:t xml:space="preserve">Burn Care Equity &amp; ROI Analysis</w:t>
            </w:r>
          </w:p>
          <w:p>
            <w:pPr>
              <w:spacing w:after="0" w:before="0"/>
            </w:pPr>
            <w:r>
              <w:rPr>
                <w:rFonts w:ascii="Arial" w:cs="Arial" w:eastAsia="Arial" w:hAnsi="Arial"/>
                <w:color w:val="D6E4F0"/>
                <w:sz w:val="19"/>
                <w:szCs w:val="19"/>
              </w:rPr>
              <w:t xml:space="preserve">Mapping the Referral Gap · Quantifying the Human Cost · Deploying a Telemedicine Fix</w:t>
            </w:r>
          </w:p>
        </w:tc>
      </w:tr>
    </w:tbl>
    <w:p>
      <w:pPr>
        <w:spacing w:after="120" w:before="0"/>
      </w:pPr>
      <w:r>
        <w:t xml:space="preserve"/>
      </w:r>
    </w:p>
    <w:p>
      <w:pPr>
        <w:pBdr>
          <w:bottom w:val="single" w:color="2E75B6" w:sz="4" w:space="3"/>
        </w:pBdr>
        <w:spacing w:after="60" w:before="160"/>
      </w:pPr>
      <w:r>
        <w:rPr>
          <w:rFonts w:ascii="Arial" w:cs="Arial" w:eastAsia="Arial" w:hAnsi="Arial"/>
          <w:b/>
          <w:bCs/>
          <w:color w:val="1F4E79"/>
          <w:sz w:val="19"/>
          <w:szCs w:val="19"/>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0"/>
              <w:jc w:val="center"/>
            </w:pPr>
            <w:r>
              <w:rPr>
                <w:rFonts w:ascii="Arial" w:cs="Arial" w:eastAsia="Arial" w:hAnsi="Arial"/>
                <w:b/>
                <w:bCs/>
                <w:color w:val="C00000"/>
                <w:sz w:val="40"/>
                <w:szCs w:val="40"/>
              </w:rPr>
              <w:t xml:space="preserve">498</w:t>
            </w:r>
          </w:p>
          <w:p>
            <w:pPr>
              <w:spacing w:after="0" w:before="0"/>
              <w:jc w:val="center"/>
            </w:pPr>
            <w:r>
              <w:rPr>
                <w:rFonts w:ascii="Arial" w:cs="Arial" w:eastAsia="Arial" w:hAnsi="Arial"/>
                <w:color w:val="595959"/>
                <w:sz w:val="15"/>
                <w:szCs w:val="15"/>
              </w:rPr>
              <w:t xml:space="preserve">Trauma centers without burn capability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0"/>
              <w:jc w:val="center"/>
            </w:pPr>
            <w:r>
              <w:rPr>
                <w:rFonts w:ascii="Arial" w:cs="Arial" w:eastAsia="Arial" w:hAnsi="Arial"/>
                <w:b/>
                <w:bCs/>
                <w:color w:val="C55A11"/>
                <w:sz w:val="40"/>
                <w:szCs w:val="40"/>
              </w:rPr>
              <w:t xml:space="preserve">66%</w:t>
            </w:r>
          </w:p>
          <w:p>
            <w:pPr>
              <w:spacing w:after="0" w:before="0"/>
              <w:jc w:val="center"/>
            </w:pPr>
            <w:r>
              <w:rPr>
                <w:rFonts w:ascii="Arial" w:cs="Arial" w:eastAsia="Arial" w:hAnsi="Arial"/>
                <w:color w:val="595959"/>
                <w:sz w:val="15"/>
                <w:szCs w:val="15"/>
              </w:rPr>
              <w:t xml:space="preserve">Under-referral rate  (Huang et al. 2021)</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0"/>
              <w:jc w:val="center"/>
            </w:pPr>
            <w:r>
              <w:rPr>
                <w:rFonts w:ascii="Arial" w:cs="Arial" w:eastAsia="Arial" w:hAnsi="Arial"/>
                <w:b/>
                <w:bCs/>
                <w:color w:val="2E75B6"/>
                <w:sz w:val="40"/>
                <w:szCs w:val="40"/>
              </w:rPr>
              <w:t xml:space="preserve">3,221</w:t>
            </w:r>
          </w:p>
          <w:p>
            <w:pPr>
              <w:spacing w:after="0" w:before="0"/>
              <w:jc w:val="center"/>
            </w:pPr>
            <w:r>
              <w:rPr>
                <w:rFonts w:ascii="Arial" w:cs="Arial" w:eastAsia="Arial" w:hAnsi="Arial"/>
                <w:color w:val="595959"/>
                <w:sz w:val="15"/>
                <w:szCs w:val="15"/>
              </w:rPr>
              <w:t xml:space="preserve">Counties analyzed via pop-weighted distance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0"/>
              <w:jc w:val="center"/>
            </w:pPr>
            <w:r>
              <w:rPr>
                <w:rFonts w:ascii="Arial" w:cs="Arial" w:eastAsia="Arial" w:hAnsi="Arial"/>
                <w:b/>
                <w:bCs/>
                <w:color w:val="375623"/>
                <w:sz w:val="40"/>
                <w:szCs w:val="40"/>
              </w:rPr>
              <w:t xml:space="preserve">6.9 days</w:t>
            </w:r>
          </w:p>
          <w:p>
            <w:pPr>
              <w:spacing w:after="0" w:before="0"/>
              <w:jc w:val="center"/>
            </w:pPr>
            <w:r>
              <w:rPr>
                <w:rFonts w:ascii="Arial" w:cs="Arial" w:eastAsia="Arial" w:hAnsi="Arial"/>
                <w:color w:val="595959"/>
                <w:sz w:val="15"/>
                <w:szCs w:val="15"/>
              </w:rPr>
              <w:t xml:space="preserve">Excess LOS per under-referred patient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160"/>
            </w:tcMar>
          </w:tcPr>
          <w:p>
            <w:pPr>
              <w:pBdr>
                <w:bottom w:val="single" w:color="2E75B6" w:sz="4" w:space="3"/>
              </w:pBdr>
              <w:spacing w:after="60" w:before="160"/>
            </w:pPr>
            <w:r>
              <w:rPr>
                <w:rFonts w:ascii="Arial" w:cs="Arial" w:eastAsia="Arial" w:hAnsi="Arial"/>
                <w:b/>
                <w:bCs/>
                <w:color w:val="1F4E79"/>
                <w:sz w:val="19"/>
                <w:szCs w:val="19"/>
              </w:rPr>
              <w:t xml:space="preserve">THE PROBLEM</w:t>
            </w:r>
          </w:p>
          <w:p>
            <w:pPr>
              <w:spacing w:after="0" w:before="80"/>
              <w:jc w:val="both"/>
            </w:pPr>
            <w:r>
              <w:rPr>
                <w:rFonts w:ascii="Arial" w:cs="Arial" w:eastAsia="Arial" w:hAnsi="Arial"/>
                <w:b w:val="false"/>
                <w:bCs w:val="false"/>
                <w:i w:val="false"/>
                <w:iCs w:val="false"/>
                <w:color w:val="000000"/>
                <w:sz w:val="18"/>
                <w:szCs w:val="18"/>
              </w:rPr>
              <w:t xml:space="preserve">Burn care is highly specialized, yet access is determined by geography, not clinical need. Seven states have zero adult burn centers. Of the trauma centers that do exist nationally, the majority lack any burn capability — meaning the patients most likely to need specialist transfer are seen by facilities least equipped to provide it.</w:t>
            </w:r>
          </w:p>
          <w:p>
            <w:pPr>
              <w:pBdr>
                <w:bottom w:val="single" w:color="2E75B6" w:sz="4" w:space="3"/>
              </w:pBdr>
              <w:spacing w:after="60" w:before="160"/>
            </w:pPr>
            <w:r>
              <w:rPr>
                <w:rFonts w:ascii="Arial" w:cs="Arial" w:eastAsia="Arial" w:hAnsi="Arial"/>
                <w:b/>
                <w:bCs/>
                <w:color w:val="1F4E79"/>
                <w:sz w:val="19"/>
                <w:szCs w:val="19"/>
              </w:rPr>
              <w:t xml:space="preserve">OUR APPROACH</w:t>
            </w:r>
          </w:p>
          <w:p>
            <w:pPr>
              <w:spacing w:after="60" w:before="80"/>
              <w:jc w:val="both"/>
            </w:pPr>
            <w:r>
              <w:rPr>
                <w:rFonts w:ascii="Arial" w:cs="Arial" w:eastAsia="Arial" w:hAnsi="Arial"/>
                <w:b w:val="false"/>
                <w:bCs w:val="false"/>
                <w:i w:val="false"/>
                <w:iCs w:val="false"/>
                <w:color w:val="000000"/>
                <w:sz w:val="18"/>
                <w:szCs w:val="18"/>
              </w:rPr>
              <w:t xml:space="preserve">Team 13 built a multi-layer analytical engine using the NIRD 2023 database (635 hospitals, 50 states) integrated with Census 2020 county centroids, CDC SVI 2022, and USDA RUCC 2023 to answer three questions:</w:t>
            </w:r>
          </w:p>
          <w:p>
            <w:pPr>
              <w:pStyle w:val="ListParagraph"/>
              <w:numPr>
                <w:ilvl w:val="0"/>
                <w:numId w:val="2"/>
              </w:numPr>
              <w:spacing w:after="30" w:before="30"/>
            </w:pPr>
            <w:r>
              <w:rPr>
                <w:rFonts w:ascii="Arial" w:cs="Arial" w:eastAsia="Arial" w:hAnsi="Arial"/>
                <w:b/>
                <w:bCs/>
                <w:color w:val="000000"/>
                <w:sz w:val="18"/>
                <w:szCs w:val="18"/>
              </w:rPr>
              <w:t xml:space="preserve">Where is care missing? </w:t>
            </w:r>
            <w:r>
              <w:rPr>
                <w:rFonts w:ascii="Arial" w:cs="Arial" w:eastAsia="Arial" w:hAnsi="Arial"/>
                <w:color w:val="000000"/>
                <w:sz w:val="18"/>
                <w:szCs w:val="18"/>
              </w:rPr>
              <w:t xml:space="preserve">State and county-level burn center density, ABA verification rates, and population-weighted distance burdens.</w:t>
            </w:r>
          </w:p>
          <w:p>
            <w:pPr>
              <w:pStyle w:val="ListParagraph"/>
              <w:numPr>
                <w:ilvl w:val="0"/>
                <w:numId w:val="2"/>
              </w:numPr>
              <w:spacing w:after="30" w:before="30"/>
            </w:pPr>
            <w:r>
              <w:rPr>
                <w:rFonts w:ascii="Arial" w:cs="Arial" w:eastAsia="Arial" w:hAnsi="Arial"/>
                <w:b/>
                <w:bCs/>
                <w:color w:val="000000"/>
                <w:sz w:val="18"/>
                <w:szCs w:val="18"/>
              </w:rPr>
              <w:t xml:space="preserve">Who is most affected? </w:t>
            </w:r>
            <w:r>
              <w:rPr>
                <w:rFonts w:ascii="Arial" w:cs="Arial" w:eastAsia="Arial" w:hAnsi="Arial"/>
                <w:color w:val="000000"/>
                <w:sz w:val="18"/>
                <w:szCs w:val="18"/>
              </w:rPr>
              <w:t xml:space="preserve">Social Vulnerability Index integration reveals that low-density states also carry higher poverty, disability, and minority burdens.</w:t>
            </w:r>
          </w:p>
          <w:p>
            <w:pPr>
              <w:pStyle w:val="ListParagraph"/>
              <w:numPr>
                <w:ilvl w:val="0"/>
                <w:numId w:val="2"/>
              </w:numPr>
              <w:spacing w:after="30" w:before="30"/>
            </w:pPr>
            <w:r>
              <w:rPr>
                <w:rFonts w:ascii="Arial" w:cs="Arial" w:eastAsia="Arial" w:hAnsi="Arial"/>
                <w:b/>
                <w:bCs/>
                <w:color w:val="000000"/>
                <w:sz w:val="18"/>
                <w:szCs w:val="18"/>
              </w:rPr>
              <w:t xml:space="preserve">What is the fix? </w:t>
            </w:r>
            <w:r>
              <w:rPr>
                <w:rFonts w:ascii="Arial" w:cs="Arial" w:eastAsia="Arial" w:hAnsi="Arial"/>
                <w:color w:val="000000"/>
                <w:sz w:val="18"/>
                <w:szCs w:val="18"/>
              </w:rPr>
              <w:t xml:space="preserve">A scored telemedicine hub model identifies the highest-impact trauma sites to activate as burn care spokes.</w:t>
            </w:r>
          </w:p>
          <w:p>
            <w:pPr>
              <w:pBdr>
                <w:bottom w:val="single" w:color="2E75B6" w:sz="4" w:space="3"/>
              </w:pBdr>
              <w:spacing w:after="60" w:before="160"/>
            </w:pPr>
            <w:r>
              <w:rPr>
                <w:rFonts w:ascii="Arial" w:cs="Arial" w:eastAsia="Arial" w:hAnsi="Arial"/>
                <w:b/>
                <w:bCs/>
                <w:color w:val="1F4E79"/>
                <w:sz w:val="19"/>
                <w:szCs w:val="19"/>
              </w:rPr>
              <w:t xml:space="preserve">EQUITY FINDINGS</w:t>
            </w:r>
          </w:p>
          <w:p>
            <w:pPr>
              <w:pStyle w:val="ListParagraph"/>
              <w:numPr>
                <w:ilvl w:val="0"/>
                <w:numId w:val="2"/>
              </w:numPr>
              <w:spacing w:after="30" w:before="30"/>
            </w:pPr>
            <w:r>
              <w:rPr>
                <w:rFonts w:ascii="Arial" w:cs="Arial" w:eastAsia="Arial" w:hAnsi="Arial"/>
                <w:b/>
                <w:bCs/>
                <w:color w:val="000000"/>
                <w:sz w:val="18"/>
                <w:szCs w:val="18"/>
              </w:rPr>
              <w:t xml:space="preserve">Access + Quality gap: </w:t>
            </w:r>
            <w:r>
              <w:rPr>
                <w:rFonts w:ascii="Arial" w:cs="Arial" w:eastAsia="Arial" w:hAnsi="Arial"/>
                <w:color w:val="000000"/>
                <w:sz w:val="18"/>
                <w:szCs w:val="18"/>
              </w:rPr>
              <w:t xml:space="preserve">Many states have burn centers but none that are ABA-verified. The equity quadrant plots both dimensions simultaneously, identifying a clear 'Danger Zone' cluster.</w:t>
            </w:r>
          </w:p>
          <w:p>
            <w:pPr>
              <w:pStyle w:val="ListParagraph"/>
              <w:numPr>
                <w:ilvl w:val="0"/>
                <w:numId w:val="2"/>
              </w:numPr>
              <w:spacing w:after="30" w:before="30"/>
            </w:pPr>
            <w:r>
              <w:rPr>
                <w:rFonts w:ascii="Arial" w:cs="Arial" w:eastAsia="Arial" w:hAnsi="Arial"/>
                <w:b/>
                <w:bCs/>
                <w:color w:val="000000"/>
                <w:sz w:val="18"/>
                <w:szCs w:val="18"/>
              </w:rPr>
              <w:t xml:space="preserve">Pediatric desert: </w:t>
            </w:r>
            <w:r>
              <w:rPr>
                <w:rFonts w:ascii="Arial" w:cs="Arial" w:eastAsia="Arial" w:hAnsi="Arial"/>
                <w:color w:val="000000"/>
                <w:sz w:val="18"/>
                <w:szCs w:val="18"/>
              </w:rPr>
              <w:t xml:space="preserve">A significant number of states have adult burn centers but zero pediatric coverage — an independent gap invisible in standard reporting.</w:t>
            </w:r>
          </w:p>
          <w:p>
            <w:pPr>
              <w:pStyle w:val="ListParagraph"/>
              <w:numPr>
                <w:ilvl w:val="0"/>
                <w:numId w:val="2"/>
              </w:numPr>
              <w:spacing w:after="30" w:before="30"/>
            </w:pPr>
            <w:r>
              <w:rPr>
                <w:rFonts w:ascii="Arial" w:cs="Arial" w:eastAsia="Arial" w:hAnsi="Arial"/>
                <w:b/>
                <w:bCs/>
                <w:color w:val="000000"/>
                <w:sz w:val="18"/>
                <w:szCs w:val="18"/>
              </w:rPr>
              <w:t xml:space="preserve">The Hawaii Paradox: </w:t>
            </w:r>
            <w:r>
              <w:rPr>
                <w:rFonts w:ascii="Arial" w:cs="Arial" w:eastAsia="Arial" w:hAnsi="Arial"/>
                <w:color w:val="000000"/>
                <w:sz w:val="18"/>
                <w:szCs w:val="18"/>
              </w:rPr>
              <w:t xml:space="preserve">0 miles to any burn center; 2,385 miles to the nearest ABA-verified center — proximity and quality are not the same thing.</w:t>
            </w:r>
          </w:p>
        </w:tc>
        <w:tc>
          <w:tcPr>
            <w:tcW w:type="dxa" w:w="4560"/>
            <w:tcBorders>
              <w:top w:val="none" w:color="FFFFFF" w:sz="0"/>
              <w:left w:val="none" w:color="FFFFFF" w:sz="0"/>
              <w:bottom w:val="none" w:color="FFFFFF" w:sz="0"/>
              <w:right w:val="none" w:color="FFFFFF" w:sz="0"/>
            </w:tcBorders>
            <w:tcMar>
              <w:top w:type="dxa" w:w="0"/>
              <w:left w:type="dxa" w:w="160"/>
              <w:bottom w:type="dxa" w:w="0"/>
              <w:right w:type="dxa" w:w="0"/>
            </w:tcMar>
          </w:tcPr>
          <w:p>
            <w:pPr>
              <w:pBdr>
                <w:bottom w:val="single" w:color="2E75B6" w:sz="4" w:space="3"/>
              </w:pBdr>
              <w:spacing w:after="60" w:before="160"/>
            </w:pPr>
            <w:r>
              <w:rPr>
                <w:rFonts w:ascii="Arial" w:cs="Arial" w:eastAsia="Arial" w:hAnsi="Arial"/>
                <w:b/>
                <w:bCs/>
                <w:color w:val="1F4E79"/>
                <w:sz w:val="19"/>
                <w:szCs w:val="19"/>
              </w:rPr>
              <w:t xml:space="preserve">THE SOLUTION: TELE-BURN HUB NETWORK</w:t>
            </w:r>
          </w:p>
          <w:p>
            <w:pPr>
              <w:spacing w:after="60" w:before="80"/>
              <w:jc w:val="both"/>
            </w:pPr>
            <w:r>
              <w:rPr>
                <w:rFonts w:ascii="Arial" w:cs="Arial" w:eastAsia="Arial" w:hAnsi="Arial"/>
                <w:b w:val="false"/>
                <w:bCs w:val="false"/>
                <w:i w:val="false"/>
                <w:iCs w:val="false"/>
                <w:color w:val="000000"/>
                <w:sz w:val="18"/>
                <w:szCs w:val="18"/>
              </w:rPr>
              <w:t xml:space="preserve">We engineered a weighted opportunity scoring model to rank every non-burn trauma center as a telemedicine spoke candidate:</w:t>
            </w:r>
          </w:p>
          <w:p>
            <w:pPr>
              <w:pStyle w:val="ListParagraph"/>
              <w:numPr>
                <w:ilvl w:val="0"/>
                <w:numId w:val="2"/>
              </w:numPr>
              <w:spacing w:after="30" w:before="30"/>
            </w:pPr>
            <w:r>
              <w:rPr>
                <w:rFonts w:ascii="Arial" w:cs="Arial" w:eastAsia="Arial" w:hAnsi="Arial"/>
                <w:b/>
                <w:bCs/>
                <w:color w:val="000000"/>
                <w:sz w:val="18"/>
                <w:szCs w:val="18"/>
              </w:rPr>
              <w:t xml:space="preserve">+3 pts: </w:t>
            </w:r>
            <w:r>
              <w:rPr>
                <w:rFonts w:ascii="Arial" w:cs="Arial" w:eastAsia="Arial" w:hAnsi="Arial"/>
                <w:color w:val="000000"/>
                <w:sz w:val="18"/>
                <w:szCs w:val="18"/>
              </w:rPr>
              <w:t xml:space="preserve">Trauma center with no burn capability</w:t>
            </w:r>
          </w:p>
          <w:p>
            <w:pPr>
              <w:pStyle w:val="ListParagraph"/>
              <w:numPr>
                <w:ilvl w:val="0"/>
                <w:numId w:val="2"/>
              </w:numPr>
              <w:spacing w:after="30" w:before="30"/>
            </w:pPr>
            <w:r>
              <w:rPr>
                <w:rFonts w:ascii="Arial" w:cs="Arial" w:eastAsia="Arial" w:hAnsi="Arial"/>
                <w:b/>
                <w:bCs/>
                <w:color w:val="000000"/>
                <w:sz w:val="18"/>
                <w:szCs w:val="18"/>
              </w:rPr>
              <w:t xml:space="preserve">+2 pts: </w:t>
            </w:r>
            <w:r>
              <w:rPr>
                <w:rFonts w:ascii="Arial" w:cs="Arial" w:eastAsia="Arial" w:hAnsi="Arial"/>
                <w:color w:val="000000"/>
                <w:sz w:val="18"/>
                <w:szCs w:val="18"/>
              </w:rPr>
              <w:t xml:space="preserve">Level 1 trauma designation</w:t>
            </w:r>
          </w:p>
          <w:p>
            <w:pPr>
              <w:pStyle w:val="ListParagraph"/>
              <w:numPr>
                <w:ilvl w:val="0"/>
                <w:numId w:val="2"/>
              </w:numPr>
              <w:spacing w:after="30" w:before="30"/>
            </w:pPr>
            <w:r>
              <w:rPr>
                <w:rFonts w:ascii="Arial" w:cs="Arial" w:eastAsia="Arial" w:hAnsi="Arial"/>
                <w:b/>
                <w:bCs/>
                <w:color w:val="000000"/>
                <w:sz w:val="18"/>
                <w:szCs w:val="18"/>
              </w:rPr>
              <w:t xml:space="preserve">+1.5 pts: </w:t>
            </w:r>
            <w:r>
              <w:rPr>
                <w:rFonts w:ascii="Arial" w:cs="Arial" w:eastAsia="Arial" w:hAnsi="Arial"/>
                <w:color w:val="000000"/>
                <w:sz w:val="18"/>
                <w:szCs w:val="18"/>
              </w:rPr>
              <w:t xml:space="preserve">Level 2 trauma designation</w:t>
            </w:r>
          </w:p>
          <w:p>
            <w:pPr>
              <w:pStyle w:val="ListParagraph"/>
              <w:numPr>
                <w:ilvl w:val="0"/>
                <w:numId w:val="2"/>
              </w:numPr>
              <w:spacing w:after="30" w:before="30"/>
            </w:pPr>
            <w:r>
              <w:rPr>
                <w:rFonts w:ascii="Arial" w:cs="Arial" w:eastAsia="Arial" w:hAnsi="Arial"/>
                <w:b/>
                <w:bCs/>
                <w:color w:val="000000"/>
                <w:sz w:val="18"/>
                <w:szCs w:val="18"/>
              </w:rPr>
              <w:t xml:space="preserve">+0.5–1 pt: </w:t>
            </w:r>
            <w:r>
              <w:rPr>
                <w:rFonts w:ascii="Arial" w:cs="Arial" w:eastAsia="Arial" w:hAnsi="Arial"/>
                <w:color w:val="000000"/>
                <w:sz w:val="18"/>
                <w:szCs w:val="18"/>
              </w:rPr>
              <w:t xml:space="preserve">Bed size (quartile-weighted)</w:t>
            </w:r>
          </w:p>
          <w:p>
            <w:pPr>
              <w:spacing w:after="60" w:before="0"/>
            </w:pPr>
            <w:r>
              <w:t xml:space="preserve"/>
            </w:r>
          </w:p>
          <w:p>
            <w:pPr>
              <w:spacing w:after="0" w:before="0"/>
              <w:jc w:val="both"/>
            </w:pPr>
            <w:r>
              <w:rPr>
                <w:rFonts w:ascii="Arial" w:cs="Arial" w:eastAsia="Arial" w:hAnsi="Arial"/>
                <w:b w:val="false"/>
                <w:bCs w:val="false"/>
                <w:i w:val="false"/>
                <w:iCs w:val="false"/>
                <w:color w:val="000000"/>
                <w:sz w:val="18"/>
                <w:szCs w:val="18"/>
              </w:rPr>
              <w:t xml:space="preserve">High-priority hub candidates (score ≥ 5) are concentrated in California, Texas, and Illinois — the three states with the highest volume of qualifying sites. Connecting these spokes to ABA-verified burn centers via telemedicine delivers specialist expertise to burn desert regions without requiring new physical infrastructure.</w:t>
            </w:r>
          </w:p>
          <w:p>
            <w:pPr>
              <w:pBdr>
                <w:bottom w:val="single" w:color="2E75B6" w:sz="4" w:space="3"/>
              </w:pBdr>
              <w:spacing w:after="60" w:before="160"/>
            </w:pPr>
            <w:r>
              <w:rPr>
                <w:rFonts w:ascii="Arial" w:cs="Arial" w:eastAsia="Arial" w:hAnsi="Arial"/>
                <w:b/>
                <w:bCs/>
                <w:color w:val="1F4E79"/>
                <w:sz w:val="19"/>
                <w:szCs w:val="19"/>
              </w:rPr>
              <w:t xml:space="preserve">ECONOMIC IMPACT</w:t>
            </w:r>
          </w:p>
          <w:p>
            <w:pPr>
              <w:spacing w:after="60" w:before="80"/>
              <w:jc w:val="both"/>
            </w:pPr>
            <w:r>
              <w:rPr>
                <w:rFonts w:ascii="Arial" w:cs="Arial" w:eastAsia="Arial" w:hAnsi="Arial"/>
                <w:b w:val="false"/>
                <w:bCs w:val="false"/>
                <w:i w:val="false"/>
                <w:iCs w:val="false"/>
                <w:color w:val="000000"/>
                <w:sz w:val="18"/>
                <w:szCs w:val="18"/>
              </w:rPr>
              <w:t xml:space="preserve">Using Huang et al. (2021), Murray et al. (2019), and Ivanko et al. (2024), the model projects state-level avoidable hospitalization costs from burn under-referral:</w:t>
            </w:r>
          </w:p>
          <w:p>
            <w:pPr>
              <w:pStyle w:val="ListParagraph"/>
              <w:numPr>
                <w:ilvl w:val="0"/>
                <w:numId w:val="2"/>
              </w:numPr>
              <w:spacing w:after="30" w:before="30"/>
            </w:pPr>
            <w:r>
              <w:rPr>
                <w:rFonts w:ascii="Arial" w:cs="Arial" w:eastAsia="Arial" w:hAnsi="Arial"/>
                <w:b/>
                <w:bCs/>
                <w:color w:val="000000"/>
                <w:sz w:val="18"/>
                <w:szCs w:val="18"/>
              </w:rPr>
              <w:t xml:space="preserve">66% </w:t>
            </w:r>
            <w:r>
              <w:rPr>
                <w:rFonts w:ascii="Arial" w:cs="Arial" w:eastAsia="Arial" w:hAnsi="Arial"/>
                <w:color w:val="000000"/>
                <w:sz w:val="18"/>
                <w:szCs w:val="18"/>
              </w:rPr>
              <w:t xml:space="preserve">of specialist-requiring patients never reach a burn center</w:t>
            </w:r>
          </w:p>
          <w:p>
            <w:pPr>
              <w:pStyle w:val="ListParagraph"/>
              <w:numPr>
                <w:ilvl w:val="0"/>
                <w:numId w:val="2"/>
              </w:numPr>
              <w:spacing w:after="30" w:before="30"/>
            </w:pPr>
            <w:r>
              <w:rPr>
                <w:rFonts w:ascii="Arial" w:cs="Arial" w:eastAsia="Arial" w:hAnsi="Arial"/>
                <w:b/>
                <w:bCs/>
                <w:color w:val="000000"/>
                <w:sz w:val="18"/>
                <w:szCs w:val="18"/>
              </w:rPr>
              <w:t xml:space="preserve">6.9 excess </w:t>
            </w:r>
            <w:r>
              <w:rPr>
                <w:rFonts w:ascii="Arial" w:cs="Arial" w:eastAsia="Arial" w:hAnsi="Arial"/>
                <w:color w:val="000000"/>
                <w:sz w:val="18"/>
                <w:szCs w:val="18"/>
              </w:rPr>
              <w:t xml:space="preserve">hospital days per under-referred patient</w:t>
            </w:r>
          </w:p>
          <w:p>
            <w:pPr>
              <w:pStyle w:val="ListParagraph"/>
              <w:numPr>
                <w:ilvl w:val="0"/>
                <w:numId w:val="2"/>
              </w:numPr>
              <w:spacing w:after="30" w:before="30"/>
            </w:pPr>
            <w:r>
              <w:rPr>
                <w:rFonts w:ascii="Arial" w:cs="Arial" w:eastAsia="Arial" w:hAnsi="Arial"/>
                <w:b/>
                <w:bCs/>
                <w:color w:val="000000"/>
                <w:sz w:val="18"/>
                <w:szCs w:val="18"/>
              </w:rPr>
              <w:t xml:space="preserve">$3,500/day </w:t>
            </w:r>
            <w:r>
              <w:rPr>
                <w:rFonts w:ascii="Arial" w:cs="Arial" w:eastAsia="Arial" w:hAnsi="Arial"/>
                <w:color w:val="000000"/>
                <w:sz w:val="18"/>
                <w:szCs w:val="18"/>
              </w:rPr>
              <w:t xml:space="preserve">conservative ABA cost benchmark</w:t>
            </w:r>
          </w:p>
          <w:p>
            <w:pPr>
              <w:pStyle w:val="ListParagraph"/>
              <w:numPr>
                <w:ilvl w:val="0"/>
                <w:numId w:val="2"/>
              </w:numPr>
              <w:spacing w:after="30" w:before="30"/>
            </w:pPr>
            <w:r>
              <w:rPr>
                <w:rFonts w:ascii="Arial" w:cs="Arial" w:eastAsia="Arial" w:hAnsi="Arial"/>
                <w:b/>
                <w:bCs/>
                <w:color w:val="000000"/>
                <w:sz w:val="18"/>
                <w:szCs w:val="18"/>
              </w:rPr>
              <w:t xml:space="preserve">90% penalty </w:t>
            </w:r>
            <w:r>
              <w:rPr>
                <w:rFonts w:ascii="Arial" w:cs="Arial" w:eastAsia="Arial" w:hAnsi="Arial"/>
                <w:color w:val="000000"/>
                <w:sz w:val="18"/>
                <w:szCs w:val="18"/>
              </w:rPr>
              <w:t xml:space="preserve">applied to zero-burn-center states</w:t>
            </w:r>
          </w:p>
          <w:p>
            <w:pPr>
              <w:spacing w:after="60" w:before="0"/>
            </w:pPr>
            <w:r>
              <w:t xml:space="preserve"/>
            </w:r>
          </w:p>
          <w:p>
            <w:pPr>
              <w:spacing w:after="0" w:before="0"/>
              <w:jc w:val="both"/>
            </w:pPr>
            <w:r>
              <w:rPr>
                <w:rFonts w:ascii="Arial" w:cs="Arial" w:eastAsia="Arial" w:hAnsi="Arial"/>
                <w:b w:val="false"/>
                <w:bCs w:val="false"/>
                <w:i w:val="false"/>
                <w:iCs w:val="false"/>
                <w:color w:val="000000"/>
                <w:sz w:val="18"/>
                <w:szCs w:val="18"/>
              </w:rPr>
              <w:t xml:space="preserve">State-by-state avoidable cost projections are computed at runtime from the NIRD + Census dataset, giving policymakers a directly actionable financial case for telemedicine investment.</w:t>
            </w:r>
          </w:p>
          <w:p>
            <w:pPr>
              <w:pBdr>
                <w:bottom w:val="single" w:color="2E75B6" w:sz="4" w:space="3"/>
              </w:pBdr>
              <w:spacing w:after="60" w:before="160"/>
            </w:pPr>
            <w:r>
              <w:rPr>
                <w:rFonts w:ascii="Arial" w:cs="Arial" w:eastAsia="Arial" w:hAnsi="Arial"/>
                <w:b/>
                <w:bCs/>
                <w:color w:val="1F4E79"/>
                <w:sz w:val="19"/>
                <w:szCs w:val="19"/>
              </w:rPr>
              <w:t xml:space="preserve">COMPOSITE VULNERABILITY INDEX</w:t>
            </w:r>
          </w:p>
          <w:p>
            <w:pPr>
              <w:spacing w:after="0" w:before="80"/>
              <w:jc w:val="both"/>
            </w:pPr>
            <w:r>
              <w:rPr>
                <w:rFonts w:ascii="Arial" w:cs="Arial" w:eastAsia="Arial" w:hAnsi="Arial"/>
                <w:b w:val="false"/>
                <w:bCs w:val="false"/>
                <w:i w:val="false"/>
                <w:iCs w:val="false"/>
                <w:color w:val="000000"/>
                <w:sz w:val="18"/>
                <w:szCs w:val="18"/>
              </w:rPr>
              <w:t xml:space="preserve">A four-pillar weighted index — Access (35%), Quality (25%), Capacity (25%), Population (15%) — ranks all 50 states by burn care vulnerability. Sensitivity analysis across five weighting scenarios confirms the top-10 states remain in the top 15 regardless of assumptions, giving policymakers a robust, defensible prioritization framework.</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300"/>
              <w:bottom w:type="dxa" w:w="120"/>
              <w:right w:type="dxa" w:w="300"/>
            </w:tcMar>
          </w:tcPr>
          <w:p>
            <w:pPr>
              <w:spacing w:after="40" w:before="0"/>
              <w:jc w:val="center"/>
            </w:pPr>
            <w:r>
              <w:rPr>
                <w:rFonts w:ascii="Arial" w:cs="Arial" w:eastAsia="Arial" w:hAnsi="Arial"/>
                <w:b/>
                <w:bCs/>
                <w:color w:val="1F4E79"/>
                <w:sz w:val="17"/>
                <w:szCs w:val="17"/>
              </w:rPr>
              <w:t xml:space="preserve">Tech Stack: </w:t>
            </w:r>
            <w:r>
              <w:rPr>
                <w:rFonts w:ascii="Arial" w:cs="Arial" w:eastAsia="Arial" w:hAnsi="Arial"/>
                <w:color w:val="595959"/>
                <w:sz w:val="17"/>
                <w:szCs w:val="17"/>
              </w:rPr>
              <w:t xml:space="preserve">Python · Pandas · NumPy · Plotly · Folium · NIRD 2023 · Census 2020 · CDC SVI 2022 · USDA RUCC 2023</w:t>
            </w:r>
          </w:p>
          <w:p>
            <w:pPr>
              <w:spacing w:after="0" w:before="0"/>
              <w:jc w:val="center"/>
            </w:pPr>
            <w:r>
              <w:rPr>
                <w:rFonts w:ascii="Arial" w:cs="Arial" w:eastAsia="Arial" w:hAnsi="Arial"/>
                <w:b/>
                <w:bCs/>
                <w:color w:val="1F4E79"/>
                <w:sz w:val="17"/>
                <w:szCs w:val="17"/>
              </w:rPr>
              <w:t xml:space="preserve">🥇 1st Place Winner  ·  Team 13: Emmanuel Fle Chea · Josh Spitzer-Resnick · Shreya Pramanik · Feifei Li · Lance Killian McDonald</w:t>
            </w:r>
          </w:p>
        </w:tc>
      </w:tr>
    </w:tbl>
    <w:sectPr>
      <w:pgSz w:w="12240" w:h="15840" w:orient="portrait"/>
      <w:pgMar w:top="580" w:right="900" w:bottom="5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160"/>
      <w:outlineLvl w:val="0"/>
    </w:pPr>
    <w:rPr>
      <w:rFonts w:ascii="Arial" w:cs="Arial" w:eastAsia="Arial" w:hAnsi="Arial"/>
      <w:b/>
      <w:bCs/>
      <w:color w:val="1F4E7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2026-04-13T00:43:00.038Z</dcterms:created>
  <dcterms:modified xsi:type="dcterms:W3CDTF">2026-04-13T00:43:00.040Z</dcterms:modified>
</cp:coreProperties>
</file>

<file path=docProps/custom.xml><?xml version="1.0" encoding="utf-8"?>
<Properties xmlns="http://schemas.openxmlformats.org/officeDocument/2006/custom-properties" xmlns:vt="http://schemas.openxmlformats.org/officeDocument/2006/docPropsVTypes"/>
</file>