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3609"/>
        <w:gridCol w:w="1350"/>
        <w:gridCol w:w="3042"/>
      </w:tblGrid>
      <w:tr w:rsidR="00524D50" w:rsidRPr="00394F34" w14:paraId="2D7796E3" w14:textId="77777777" w:rsidTr="00B507BD">
        <w:tc>
          <w:tcPr>
            <w:tcW w:w="981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641B49" w14:textId="77777777" w:rsidR="00524D50" w:rsidRPr="00394F34" w:rsidRDefault="00524D50" w:rsidP="00B507BD">
            <w:pPr>
              <w:jc w:val="center"/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>Firearms &amp; Toolmarks Examination Report</w:t>
            </w:r>
          </w:p>
        </w:tc>
      </w:tr>
      <w:tr w:rsidR="00524D50" w:rsidRPr="00394F34" w14:paraId="0D0DDF6B" w14:textId="77777777" w:rsidTr="00B507BD">
        <w:trPr>
          <w:trHeight w:val="361"/>
        </w:trPr>
        <w:tc>
          <w:tcPr>
            <w:tcW w:w="1809" w:type="dxa"/>
            <w:tcBorders>
              <w:top w:val="single" w:sz="4" w:space="0" w:color="auto"/>
            </w:tcBorders>
            <w:vAlign w:val="center"/>
          </w:tcPr>
          <w:p w14:paraId="5FE4545C" w14:textId="77777777" w:rsidR="00524D50" w:rsidRPr="00394F34" w:rsidRDefault="00524D50" w:rsidP="00B507BD">
            <w:pPr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>Agency Case#</w:t>
            </w:r>
          </w:p>
        </w:tc>
        <w:tc>
          <w:tcPr>
            <w:tcW w:w="3609" w:type="dxa"/>
            <w:tcBorders>
              <w:top w:val="single" w:sz="4" w:space="0" w:color="auto"/>
            </w:tcBorders>
            <w:vAlign w:val="center"/>
          </w:tcPr>
          <w:p w14:paraId="55853BB7" w14:textId="7E782873" w:rsidR="00524D50" w:rsidRPr="00394F34" w:rsidRDefault="00524D50" w:rsidP="00B507BD">
            <w:pPr>
              <w:rPr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350C3B4" w14:textId="77777777" w:rsidR="00524D50" w:rsidRPr="00394F34" w:rsidRDefault="00524D50" w:rsidP="00B507BD">
            <w:pPr>
              <w:rPr>
                <w:b/>
                <w:szCs w:val="22"/>
              </w:rPr>
            </w:pPr>
            <w:r w:rsidRPr="00394F34">
              <w:rPr>
                <w:b/>
                <w:szCs w:val="22"/>
              </w:rPr>
              <w:t xml:space="preserve">Attention to </w:t>
            </w:r>
          </w:p>
        </w:tc>
        <w:tc>
          <w:tcPr>
            <w:tcW w:w="3042" w:type="dxa"/>
            <w:tcBorders>
              <w:top w:val="single" w:sz="4" w:space="0" w:color="auto"/>
            </w:tcBorders>
            <w:vAlign w:val="center"/>
          </w:tcPr>
          <w:p w14:paraId="7C70C3A1" w14:textId="62B4B870" w:rsidR="00524D50" w:rsidRPr="00394F34" w:rsidRDefault="00524D50" w:rsidP="00B507BD">
            <w:pPr>
              <w:rPr>
                <w:szCs w:val="22"/>
              </w:rPr>
            </w:pPr>
          </w:p>
        </w:tc>
      </w:tr>
    </w:tbl>
    <w:p w14:paraId="6840BCF2" w14:textId="77777777" w:rsidR="00524D50" w:rsidRPr="00AC433E" w:rsidRDefault="00524D50" w:rsidP="00524D50">
      <w:pPr>
        <w:jc w:val="both"/>
        <w:rPr>
          <w:b/>
          <w:bCs/>
          <w:sz w:val="12"/>
          <w:szCs w:val="12"/>
          <w:u w:val="single"/>
        </w:rPr>
      </w:pPr>
    </w:p>
    <w:p w14:paraId="169D8F25" w14:textId="77777777" w:rsidR="00524D50" w:rsidRPr="00394F34" w:rsidRDefault="00524D50" w:rsidP="00524D50">
      <w:pPr>
        <w:jc w:val="both"/>
        <w:rPr>
          <w:b/>
          <w:bCs/>
          <w:szCs w:val="22"/>
          <w:u w:val="single"/>
        </w:rPr>
      </w:pPr>
      <w:r w:rsidRPr="00394F34">
        <w:rPr>
          <w:b/>
          <w:bCs/>
          <w:szCs w:val="22"/>
          <w:u w:val="single"/>
        </w:rPr>
        <w:t>Description of Evidence Item(s) as Received</w:t>
      </w:r>
    </w:p>
    <w:p w14:paraId="35894241" w14:textId="7886AD3D" w:rsidR="00524D50" w:rsidRDefault="00524D50" w:rsidP="00524D50">
      <w:pPr>
        <w:jc w:val="both"/>
        <w:rPr>
          <w:bCs/>
          <w:szCs w:val="22"/>
        </w:rPr>
      </w:pPr>
      <w:r w:rsidRPr="00394F34">
        <w:rPr>
          <w:bCs/>
          <w:szCs w:val="22"/>
        </w:rPr>
        <w:t xml:space="preserve">Following sealed </w:t>
      </w:r>
      <w:r>
        <w:rPr>
          <w:bCs/>
          <w:szCs w:val="22"/>
        </w:rPr>
        <w:t xml:space="preserve">evidence </w:t>
      </w:r>
      <w:r w:rsidRPr="00394F34">
        <w:rPr>
          <w:bCs/>
          <w:szCs w:val="22"/>
        </w:rPr>
        <w:t>w</w:t>
      </w:r>
      <w:r>
        <w:rPr>
          <w:bCs/>
          <w:szCs w:val="22"/>
        </w:rPr>
        <w:t>as</w:t>
      </w:r>
    </w:p>
    <w:p w14:paraId="6DBF79D9" w14:textId="77777777" w:rsidR="00524D50" w:rsidRPr="00AC433E" w:rsidRDefault="00524D50" w:rsidP="00524D50">
      <w:pPr>
        <w:jc w:val="both"/>
        <w:rPr>
          <w:bCs/>
          <w:sz w:val="14"/>
          <w:szCs w:val="14"/>
        </w:rPr>
      </w:pPr>
    </w:p>
    <w:tbl>
      <w:tblPr>
        <w:tblW w:w="9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5"/>
        <w:gridCol w:w="1874"/>
        <w:gridCol w:w="1955"/>
        <w:gridCol w:w="5161"/>
      </w:tblGrid>
      <w:tr w:rsidR="00524D50" w:rsidRPr="00394F34" w14:paraId="32A6640D" w14:textId="77777777" w:rsidTr="003454FD">
        <w:tc>
          <w:tcPr>
            <w:tcW w:w="815" w:type="dxa"/>
            <w:shd w:val="clear" w:color="auto" w:fill="auto"/>
          </w:tcPr>
          <w:p w14:paraId="65B2698C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Parcel #</w:t>
            </w:r>
          </w:p>
        </w:tc>
        <w:tc>
          <w:tcPr>
            <w:tcW w:w="1874" w:type="dxa"/>
            <w:shd w:val="clear" w:color="auto" w:fill="auto"/>
          </w:tcPr>
          <w:p w14:paraId="08881979" w14:textId="77777777" w:rsidR="00524D50" w:rsidRPr="00394F34" w:rsidRDefault="00524D50" w:rsidP="00B507BD">
            <w:pPr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Submitter &amp; Submission Date</w:t>
            </w:r>
          </w:p>
        </w:tc>
        <w:tc>
          <w:tcPr>
            <w:tcW w:w="1955" w:type="dxa"/>
            <w:shd w:val="clear" w:color="auto" w:fill="auto"/>
          </w:tcPr>
          <w:p w14:paraId="6845E2DD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FIR &amp;</w:t>
            </w:r>
          </w:p>
          <w:p w14:paraId="5C1D230E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 xml:space="preserve"> PS</w:t>
            </w:r>
          </w:p>
        </w:tc>
        <w:tc>
          <w:tcPr>
            <w:tcW w:w="5161" w:type="dxa"/>
            <w:shd w:val="clear" w:color="auto" w:fill="auto"/>
          </w:tcPr>
          <w:p w14:paraId="64D6CA11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Evidence Details</w:t>
            </w:r>
          </w:p>
          <w:p w14:paraId="1F12E34B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b/>
                <w:bCs/>
                <w:szCs w:val="22"/>
              </w:rPr>
              <w:t>Item #</w:t>
            </w:r>
          </w:p>
        </w:tc>
      </w:tr>
    </w:tbl>
    <w:p w14:paraId="6EE801A8" w14:textId="77777777" w:rsidR="00524D50" w:rsidRPr="001C1A46" w:rsidRDefault="00524D50" w:rsidP="00524D50">
      <w:pPr>
        <w:jc w:val="both"/>
        <w:rPr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2553"/>
        <w:gridCol w:w="4656"/>
      </w:tblGrid>
      <w:tr w:rsidR="00524D50" w:rsidRPr="00394F34" w14:paraId="2FDC67AB" w14:textId="77777777" w:rsidTr="00B507BD">
        <w:tc>
          <w:tcPr>
            <w:tcW w:w="2065" w:type="dxa"/>
            <w:shd w:val="clear" w:color="auto" w:fill="auto"/>
          </w:tcPr>
          <w:p w14:paraId="55948FC7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rFonts w:eastAsia="Calibri"/>
                <w:b/>
                <w:szCs w:val="22"/>
              </w:rPr>
              <w:t>Analysis Start Date</w:t>
            </w:r>
          </w:p>
        </w:tc>
        <w:tc>
          <w:tcPr>
            <w:tcW w:w="2700" w:type="dxa"/>
            <w:shd w:val="clear" w:color="auto" w:fill="auto"/>
          </w:tcPr>
          <w:p w14:paraId="3F5CA7F9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>
              <w:rPr>
                <w:rFonts w:eastAsia="Calibri"/>
                <w:b/>
                <w:szCs w:val="22"/>
              </w:rPr>
              <w:t xml:space="preserve">Analysis </w:t>
            </w:r>
            <w:r w:rsidRPr="00394F34">
              <w:rPr>
                <w:rFonts w:eastAsia="Calibri"/>
                <w:b/>
                <w:szCs w:val="22"/>
              </w:rPr>
              <w:t>Completion Date</w:t>
            </w:r>
          </w:p>
        </w:tc>
        <w:tc>
          <w:tcPr>
            <w:tcW w:w="5040" w:type="dxa"/>
            <w:shd w:val="clear" w:color="auto" w:fill="auto"/>
          </w:tcPr>
          <w:p w14:paraId="60A4DDC3" w14:textId="77777777" w:rsidR="00524D50" w:rsidRPr="00394F34" w:rsidRDefault="00524D50" w:rsidP="00B507BD">
            <w:pPr>
              <w:jc w:val="both"/>
              <w:rPr>
                <w:b/>
                <w:bCs/>
                <w:szCs w:val="22"/>
              </w:rPr>
            </w:pPr>
            <w:r w:rsidRPr="00394F34">
              <w:rPr>
                <w:rFonts w:eastAsia="Calibri"/>
                <w:b/>
                <w:szCs w:val="22"/>
              </w:rPr>
              <w:t>Examination Method/ Tests Performed</w:t>
            </w:r>
          </w:p>
        </w:tc>
      </w:tr>
      <w:tr w:rsidR="00524D50" w:rsidRPr="00394F34" w14:paraId="1D64C4CB" w14:textId="77777777" w:rsidTr="00B507BD">
        <w:tc>
          <w:tcPr>
            <w:tcW w:w="2065" w:type="dxa"/>
            <w:shd w:val="clear" w:color="auto" w:fill="auto"/>
            <w:vAlign w:val="center"/>
          </w:tcPr>
          <w:p w14:paraId="3581DF31" w14:textId="77777777" w:rsidR="00524D50" w:rsidRPr="00E2457C" w:rsidRDefault="00524D50" w:rsidP="00B507BD">
            <w:pPr>
              <w:rPr>
                <w:bCs/>
                <w:szCs w:val="22"/>
                <w:lang w:val="en-PK"/>
              </w:rPr>
            </w:pPr>
            <w:r>
              <w:rPr>
                <w:bCs/>
                <w:szCs w:val="22"/>
                <w:lang w:val="en-PK"/>
              </w:rPr>
              <w:t>10.02.2022</w:t>
            </w:r>
          </w:p>
        </w:tc>
        <w:tc>
          <w:tcPr>
            <w:tcW w:w="2700" w:type="dxa"/>
            <w:shd w:val="clear" w:color="auto" w:fill="auto"/>
            <w:vAlign w:val="center"/>
          </w:tcPr>
          <w:p w14:paraId="525C2CFF" w14:textId="77777777" w:rsidR="00524D50" w:rsidRPr="00394F34" w:rsidRDefault="00524D50" w:rsidP="00B507BD">
            <w:pPr>
              <w:rPr>
                <w:bCs/>
                <w:szCs w:val="22"/>
              </w:rPr>
            </w:pPr>
          </w:p>
        </w:tc>
        <w:tc>
          <w:tcPr>
            <w:tcW w:w="5040" w:type="dxa"/>
            <w:shd w:val="clear" w:color="auto" w:fill="auto"/>
            <w:vAlign w:val="center"/>
          </w:tcPr>
          <w:p w14:paraId="35371671" w14:textId="77777777" w:rsidR="00524D50" w:rsidRPr="00394F34" w:rsidRDefault="00524D50" w:rsidP="00B507BD">
            <w:pPr>
              <w:rPr>
                <w:bCs/>
                <w:szCs w:val="22"/>
              </w:rPr>
            </w:pPr>
            <w:r w:rsidRPr="00394F34">
              <w:rPr>
                <w:rFonts w:eastAsia="Calibri"/>
                <w:szCs w:val="22"/>
              </w:rPr>
              <w:t>Physical Examination, Test Firing and Comparison Microscopy</w:t>
            </w:r>
          </w:p>
        </w:tc>
      </w:tr>
    </w:tbl>
    <w:p w14:paraId="3DDE6E1F" w14:textId="77777777" w:rsidR="00524D50" w:rsidRPr="001C1A46" w:rsidRDefault="00524D50" w:rsidP="00524D50">
      <w:pPr>
        <w:jc w:val="both"/>
        <w:rPr>
          <w:bCs/>
          <w:sz w:val="20"/>
          <w:szCs w:val="20"/>
        </w:rPr>
      </w:pPr>
    </w:p>
    <w:p w14:paraId="193374F4" w14:textId="77777777" w:rsidR="00524D50" w:rsidRPr="00990D8A" w:rsidRDefault="00524D50" w:rsidP="00524D50">
      <w:pPr>
        <w:rPr>
          <w:rFonts w:eastAsia="Calibri"/>
          <w:b/>
          <w:szCs w:val="22"/>
          <w:u w:val="single"/>
        </w:rPr>
      </w:pPr>
      <w:r w:rsidRPr="00990D8A">
        <w:rPr>
          <w:rFonts w:eastAsia="Calibri"/>
          <w:b/>
          <w:szCs w:val="22"/>
          <w:u w:val="single"/>
        </w:rPr>
        <w:t>Details of Results and Conclusions Based on Test(s) Performed:</w:t>
      </w:r>
    </w:p>
    <w:p w14:paraId="661A7860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 was examined and found to be in mechanical operating condition. </w:t>
      </w:r>
    </w:p>
    <w:p w14:paraId="2088DC82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were identified as having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3D8034B4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differences in individual characteristics, 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could not have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7A72B02F" w14:textId="77777777" w:rsidR="00524D50" w:rsidRPr="009E7C1D" w:rsidRDefault="00524D50" w:rsidP="00524D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9E7C1D">
        <w:rPr>
          <w:rFonts w:asciiTheme="majorBidi" w:hAnsiTheme="majorBidi" w:cstheme="majorBidi"/>
        </w:rPr>
        <w:t xml:space="preserve">Because of the lack of sufficient suitable corresponding microscopic markings, it was not possible to identify or eliminate the items </w:t>
      </w:r>
      <w:r w:rsidRPr="000355E6">
        <w:rPr>
          <w:rFonts w:asciiTheme="majorBidi" w:hAnsiTheme="majorBidi" w:cstheme="majorBidi"/>
          <w:noProof/>
        </w:rPr>
        <w:t>C1-C7</w:t>
      </w:r>
      <w:r w:rsidRPr="009E7C1D">
        <w:rPr>
          <w:rFonts w:asciiTheme="majorBidi" w:hAnsiTheme="majorBidi" w:cstheme="majorBidi"/>
        </w:rPr>
        <w:t xml:space="preserve"> cartridge cases as having been fired in the item </w:t>
      </w:r>
      <w:r w:rsidRPr="000355E6">
        <w:rPr>
          <w:rFonts w:asciiTheme="majorBidi" w:hAnsiTheme="majorBidi" w:cstheme="majorBidi"/>
          <w:noProof/>
        </w:rPr>
        <w:t>P1</w:t>
      </w:r>
      <w:r w:rsidRPr="009E7C1D">
        <w:rPr>
          <w:rFonts w:asciiTheme="majorBidi" w:hAnsiTheme="majorBidi" w:cstheme="majorBidi"/>
        </w:rPr>
        <w:t xml:space="preserve"> pistol.</w:t>
      </w:r>
    </w:p>
    <w:p w14:paraId="1CDDF044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b/>
          <w:i/>
          <w:sz w:val="6"/>
          <w:szCs w:val="6"/>
        </w:rPr>
      </w:pPr>
    </w:p>
    <w:p w14:paraId="0957177B" w14:textId="77777777" w:rsidR="00524D50" w:rsidRPr="003E0564" w:rsidRDefault="00524D50" w:rsidP="00524D50">
      <w:pPr>
        <w:autoSpaceDE w:val="0"/>
        <w:autoSpaceDN w:val="0"/>
        <w:adjustRightInd w:val="0"/>
        <w:jc w:val="both"/>
        <w:rPr>
          <w:b/>
          <w:i/>
          <w:szCs w:val="22"/>
        </w:rPr>
      </w:pPr>
      <w:r w:rsidRPr="00990D8A">
        <w:rPr>
          <w:b/>
          <w:i/>
          <w:szCs w:val="22"/>
        </w:rPr>
        <w:t xml:space="preserve">Note: The results in this report relate only to the item(s) as received and tested. Each received item is marked with case number, item number and duly signed. </w:t>
      </w:r>
    </w:p>
    <w:p w14:paraId="6D2C74B1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b/>
          <w:sz w:val="8"/>
          <w:szCs w:val="8"/>
          <w:u w:val="single"/>
        </w:rPr>
      </w:pPr>
    </w:p>
    <w:p w14:paraId="5D858E2E" w14:textId="77777777" w:rsidR="00524D50" w:rsidRPr="00394F34" w:rsidRDefault="00524D50" w:rsidP="00524D50">
      <w:pPr>
        <w:autoSpaceDE w:val="0"/>
        <w:autoSpaceDN w:val="0"/>
        <w:adjustRightInd w:val="0"/>
        <w:jc w:val="both"/>
        <w:rPr>
          <w:b/>
          <w:i/>
          <w:szCs w:val="22"/>
        </w:rPr>
      </w:pPr>
      <w:r w:rsidRPr="00394F34">
        <w:rPr>
          <w:b/>
          <w:szCs w:val="22"/>
          <w:u w:val="single"/>
        </w:rPr>
        <w:t>Disposition of Evidence:</w:t>
      </w:r>
    </w:p>
    <w:p w14:paraId="67AC597E" w14:textId="77777777" w:rsidR="00524D50" w:rsidRDefault="00524D50" w:rsidP="00524D50">
      <w:pPr>
        <w:autoSpaceDE w:val="0"/>
        <w:autoSpaceDN w:val="0"/>
        <w:adjustRightInd w:val="0"/>
        <w:jc w:val="both"/>
        <w:rPr>
          <w:szCs w:val="22"/>
        </w:rPr>
      </w:pPr>
      <w:r w:rsidRPr="00394F34">
        <w:rPr>
          <w:szCs w:val="22"/>
        </w:rPr>
        <w:t>The case property/ evidence may be received by the responsible official of your office on submitting authorization letter/docket within 15 days after the receipt of this report.  Ammunition components should be maintained for possible future examinations.</w:t>
      </w:r>
    </w:p>
    <w:p w14:paraId="59F22E5C" w14:textId="77777777" w:rsidR="00524D50" w:rsidRPr="001C1A46" w:rsidRDefault="00524D50" w:rsidP="00524D50">
      <w:pPr>
        <w:autoSpaceDE w:val="0"/>
        <w:autoSpaceDN w:val="0"/>
        <w:adjustRightInd w:val="0"/>
        <w:jc w:val="both"/>
        <w:rPr>
          <w:sz w:val="8"/>
          <w:szCs w:val="8"/>
        </w:rPr>
      </w:pPr>
    </w:p>
    <w:p w14:paraId="28786B37" w14:textId="76037A4F" w:rsidR="00D62972" w:rsidRPr="00524D50" w:rsidRDefault="00524D50" w:rsidP="00524D50">
      <w:pPr>
        <w:ind w:left="2880" w:firstLine="720"/>
        <w:rPr>
          <w:b/>
          <w:szCs w:val="22"/>
        </w:rPr>
      </w:pPr>
      <w:r w:rsidRPr="00394F34">
        <w:rPr>
          <w:b/>
          <w:szCs w:val="22"/>
        </w:rPr>
        <w:t>X</w:t>
      </w:r>
      <w:proofErr w:type="gramStart"/>
      <w:r w:rsidRPr="00394F34">
        <w:rPr>
          <w:b/>
          <w:szCs w:val="22"/>
        </w:rPr>
        <w:t>…..</w:t>
      </w:r>
      <w:proofErr w:type="gramEnd"/>
      <w:r w:rsidRPr="00394F34">
        <w:rPr>
          <w:b/>
          <w:szCs w:val="22"/>
        </w:rPr>
        <w:t>End of Report…..X</w:t>
      </w:r>
    </w:p>
    <w:sectPr w:rsidR="00D62972" w:rsidRPr="00524D50" w:rsidSect="009D2710">
      <w:footerReference w:type="default" r:id="rId8"/>
      <w:footerReference w:type="first" r:id="rId9"/>
      <w:pgSz w:w="11906" w:h="16838"/>
      <w:pgMar w:top="1440" w:right="1274" w:bottom="1440" w:left="1440" w:header="567" w:footer="17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B3B7A" w14:textId="77777777" w:rsidR="004D6AEF" w:rsidRDefault="004D6AEF" w:rsidP="00E47A65">
      <w:r>
        <w:separator/>
      </w:r>
    </w:p>
  </w:endnote>
  <w:endnote w:type="continuationSeparator" w:id="0">
    <w:p w14:paraId="0097D644" w14:textId="77777777" w:rsidR="004D6AEF" w:rsidRDefault="004D6AEF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Cs w:val="22"/>
      </w:rPr>
    </w:pPr>
    <w:r w:rsidRPr="00130165">
      <w:rPr>
        <w:b/>
        <w:szCs w:val="22"/>
      </w:rPr>
      <w:t xml:space="preserve">  </w:t>
    </w:r>
    <w:r w:rsidR="00B17989"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 w:rsidR="0028111F">
      <w:rPr>
        <w:b/>
        <w:szCs w:val="22"/>
        <w:lang w:val="en-PK"/>
      </w:rPr>
      <w:t xml:space="preserve"> </w:t>
    </w:r>
    <w:r w:rsidR="007940CA"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A3FB4" w14:textId="77777777" w:rsidR="005C5312" w:rsidRPr="00130165" w:rsidRDefault="005C5312" w:rsidP="005C5312">
    <w:pPr>
      <w:ind w:left="-284"/>
      <w:jc w:val="both"/>
      <w:rPr>
        <w:szCs w:val="22"/>
      </w:rPr>
    </w:pPr>
    <w:r w:rsidRPr="00130165">
      <w:rPr>
        <w:szCs w:val="22"/>
      </w:rPr>
      <w:t>Analyzed by: __</w:t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</w:r>
    <w:r w:rsidRPr="00130165">
      <w:rPr>
        <w:szCs w:val="22"/>
      </w:rPr>
      <w:softHyphen/>
      <w:t xml:space="preserve">_______________ Date: </w:t>
    </w:r>
    <w:r>
      <w:rPr>
        <w:szCs w:val="22"/>
        <w:u w:val="single"/>
        <w:lang w:val="en-PK"/>
      </w:rPr>
      <w:t xml:space="preserve">                    </w:t>
    </w:r>
    <w:r w:rsidRPr="00130165">
      <w:rPr>
        <w:szCs w:val="22"/>
      </w:rPr>
      <w:t xml:space="preserve"> Reviewed by: __________________ </w:t>
    </w:r>
    <w:proofErr w:type="gramStart"/>
    <w:r w:rsidRPr="00130165">
      <w:rPr>
        <w:szCs w:val="22"/>
      </w:rPr>
      <w:t>Date:</w:t>
    </w:r>
    <w:r>
      <w:rPr>
        <w:szCs w:val="22"/>
        <w:lang w:val="en-PK"/>
      </w:rPr>
      <w:t>_</w:t>
    </w:r>
    <w:proofErr w:type="gramEnd"/>
    <w:r>
      <w:rPr>
        <w:szCs w:val="22"/>
        <w:lang w:val="en-PK"/>
      </w:rPr>
      <w:t>__________</w:t>
    </w:r>
    <w:r w:rsidRPr="00130165">
      <w:rPr>
        <w:szCs w:val="22"/>
      </w:rPr>
      <w:t xml:space="preserve">   </w:t>
    </w:r>
  </w:p>
  <w:p w14:paraId="122AD8C6" w14:textId="77777777" w:rsidR="005C5312" w:rsidRPr="00130165" w:rsidRDefault="005C5312" w:rsidP="005C5312">
    <w:pPr>
      <w:rPr>
        <w:szCs w:val="22"/>
      </w:rPr>
    </w:pPr>
    <w:r w:rsidRPr="00130165">
      <w:rPr>
        <w:b/>
        <w:szCs w:val="22"/>
      </w:rPr>
      <w:t xml:space="preserve">  </w:t>
    </w:r>
    <w:r>
      <w:rPr>
        <w:b/>
        <w:szCs w:val="22"/>
        <w:lang w:val="en-PK"/>
      </w:rPr>
      <w:t xml:space="preserve">             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10</w:t>
    </w:r>
    <w:r w:rsidRPr="00130165">
      <w:rPr>
        <w:b/>
        <w:szCs w:val="22"/>
      </w:rPr>
      <w:t xml:space="preserve">-FS </w:t>
    </w:r>
    <w:r w:rsidRPr="00130165">
      <w:rPr>
        <w:b/>
        <w:szCs w:val="22"/>
      </w:rPr>
      <w:tab/>
    </w:r>
    <w:r w:rsidRPr="00130165">
      <w:rPr>
        <w:b/>
        <w:szCs w:val="22"/>
      </w:rPr>
      <w:tab/>
    </w:r>
    <w:r w:rsidRPr="00130165">
      <w:rPr>
        <w:b/>
        <w:szCs w:val="22"/>
      </w:rPr>
      <w:tab/>
      <w:t xml:space="preserve">                            </w:t>
    </w:r>
    <w:r>
      <w:rPr>
        <w:b/>
        <w:szCs w:val="22"/>
        <w:lang w:val="en-PK"/>
      </w:rPr>
      <w:t xml:space="preserve"> </w:t>
    </w:r>
    <w:r>
      <w:rPr>
        <w:b/>
        <w:szCs w:val="22"/>
      </w:rPr>
      <w:t xml:space="preserve">        </w:t>
    </w:r>
    <w:r w:rsidRPr="00130165">
      <w:rPr>
        <w:b/>
        <w:szCs w:val="22"/>
      </w:rPr>
      <w:t>FTM-</w:t>
    </w:r>
    <w:r>
      <w:rPr>
        <w:b/>
        <w:szCs w:val="22"/>
        <w:lang w:val="en-PK"/>
      </w:rPr>
      <w:t>3</w:t>
    </w:r>
    <w:r>
      <w:rPr>
        <w:b/>
        <w:szCs w:val="22"/>
      </w:rPr>
      <w:t>8</w:t>
    </w:r>
    <w:r w:rsidRPr="00130165">
      <w:rPr>
        <w:b/>
        <w:szCs w:val="22"/>
      </w:rPr>
      <w:t xml:space="preserve">-FS </w:t>
    </w:r>
  </w:p>
  <w:p w14:paraId="10CAEB7D" w14:textId="77777777" w:rsidR="005C5312" w:rsidRPr="00130165" w:rsidRDefault="005C5312" w:rsidP="005C5312">
    <w:pPr>
      <w:pStyle w:val="Heading1"/>
      <w:spacing w:line="360" w:lineRule="auto"/>
      <w:jc w:val="left"/>
      <w:rPr>
        <w:rFonts w:ascii="Times New Roman" w:hAnsi="Times New Roman"/>
        <w:szCs w:val="22"/>
        <w:u w:val="none"/>
      </w:rPr>
    </w:pPr>
    <w:r w:rsidRPr="00130165">
      <w:rPr>
        <w:rFonts w:ascii="Times New Roman" w:hAnsi="Times New Roman"/>
        <w:szCs w:val="22"/>
        <w:u w:val="none"/>
      </w:rPr>
      <w:t xml:space="preserve">       </w:t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</w:r>
    <w:r w:rsidRPr="00130165">
      <w:rPr>
        <w:rFonts w:ascii="Times New Roman" w:hAnsi="Times New Roman"/>
        <w:szCs w:val="22"/>
        <w:u w:val="none"/>
      </w:rPr>
      <w:tab/>
      <w:t xml:space="preserve">       </w:t>
    </w:r>
  </w:p>
  <w:p w14:paraId="53B8DFCB" w14:textId="77777777" w:rsidR="005C5312" w:rsidRPr="00130165" w:rsidRDefault="005C5312" w:rsidP="005C5312">
    <w:pPr>
      <w:pStyle w:val="Footer"/>
      <w:spacing w:line="360" w:lineRule="auto"/>
      <w:ind w:left="-284"/>
      <w:rPr>
        <w:szCs w:val="22"/>
      </w:rPr>
    </w:pPr>
    <w:r w:rsidRPr="00130165">
      <w:rPr>
        <w:szCs w:val="22"/>
      </w:rPr>
      <w:t xml:space="preserve">Date of Dispatch: ____________                                                                     </w:t>
    </w:r>
  </w:p>
  <w:p w14:paraId="766E503A" w14:textId="77777777" w:rsidR="005C5312" w:rsidRPr="00BE3079" w:rsidRDefault="005C5312" w:rsidP="005C5312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</w:p>
  <w:p w14:paraId="1781B99B" w14:textId="77777777" w:rsidR="005C5312" w:rsidRDefault="005C5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A71C4" w14:textId="77777777" w:rsidR="004D6AEF" w:rsidRDefault="004D6AEF" w:rsidP="00E47A65">
      <w:r>
        <w:separator/>
      </w:r>
    </w:p>
  </w:footnote>
  <w:footnote w:type="continuationSeparator" w:id="0">
    <w:p w14:paraId="0B788855" w14:textId="77777777" w:rsidR="004D6AEF" w:rsidRDefault="004D6AEF" w:rsidP="00E47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67586BA8"/>
    <w:multiLevelType w:val="hybridMultilevel"/>
    <w:tmpl w:val="F96E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16077"/>
    <w:rsid w:val="00043E76"/>
    <w:rsid w:val="0007140E"/>
    <w:rsid w:val="000E7919"/>
    <w:rsid w:val="001524B8"/>
    <w:rsid w:val="0016271A"/>
    <w:rsid w:val="00170715"/>
    <w:rsid w:val="0028111F"/>
    <w:rsid w:val="003454FD"/>
    <w:rsid w:val="00383F0F"/>
    <w:rsid w:val="003A5975"/>
    <w:rsid w:val="003D7503"/>
    <w:rsid w:val="00406934"/>
    <w:rsid w:val="0047422C"/>
    <w:rsid w:val="004D61CB"/>
    <w:rsid w:val="004D6AEF"/>
    <w:rsid w:val="00524D50"/>
    <w:rsid w:val="00574207"/>
    <w:rsid w:val="005909F8"/>
    <w:rsid w:val="005B77CB"/>
    <w:rsid w:val="005C5312"/>
    <w:rsid w:val="00601662"/>
    <w:rsid w:val="00687E32"/>
    <w:rsid w:val="007454C1"/>
    <w:rsid w:val="007829C1"/>
    <w:rsid w:val="007940CA"/>
    <w:rsid w:val="00867E22"/>
    <w:rsid w:val="00871F19"/>
    <w:rsid w:val="008903EE"/>
    <w:rsid w:val="008C3C71"/>
    <w:rsid w:val="009005E8"/>
    <w:rsid w:val="009429D9"/>
    <w:rsid w:val="009837D6"/>
    <w:rsid w:val="009C75CB"/>
    <w:rsid w:val="009D2710"/>
    <w:rsid w:val="00A523AA"/>
    <w:rsid w:val="00AC6510"/>
    <w:rsid w:val="00B17989"/>
    <w:rsid w:val="00B7403E"/>
    <w:rsid w:val="00BB2049"/>
    <w:rsid w:val="00BE0A52"/>
    <w:rsid w:val="00C0650D"/>
    <w:rsid w:val="00D02D8F"/>
    <w:rsid w:val="00D14BCC"/>
    <w:rsid w:val="00D269B8"/>
    <w:rsid w:val="00D62972"/>
    <w:rsid w:val="00E47A65"/>
    <w:rsid w:val="00E72A91"/>
    <w:rsid w:val="00E73802"/>
    <w:rsid w:val="00F649A9"/>
    <w:rsid w:val="00F70743"/>
    <w:rsid w:val="00F768AE"/>
    <w:rsid w:val="00F96F0B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D8F"/>
    <w:pPr>
      <w:spacing w:before="40" w:after="4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D02D8F"/>
    <w:rPr>
      <w:rFonts w:eastAsiaTheme="minorHAnsi" w:cstheme="minorBidi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24D50"/>
    <w:pPr>
      <w:spacing w:before="0" w:after="200" w:line="276" w:lineRule="auto"/>
      <w:ind w:left="720"/>
      <w:contextualSpacing/>
    </w:pPr>
    <w:rPr>
      <w:rFonts w:ascii="Calibri" w:eastAsia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37</cp:revision>
  <dcterms:created xsi:type="dcterms:W3CDTF">2021-08-22T17:08:00Z</dcterms:created>
  <dcterms:modified xsi:type="dcterms:W3CDTF">2022-05-26T13:41:00Z</dcterms:modified>
</cp:coreProperties>
</file>