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8"/>
        </w:rPr>
        <w:t>FONCTIONNEMENT DE LA PLATEFORME</w:t>
      </w:r>
    </w:p>
    <w:p>
      <w:pPr>
        <w:spacing w:after="0"/>
        <w:jc w:val="center"/>
      </w:pPr>
      <w:r>
        <w:rPr>
          <w:b/>
          <w:sz w:val="28"/>
        </w:rPr>
        <w:t>RAAGA, PARTICIPATION POPULAIRE</w:t>
      </w:r>
    </w:p>
    <w:p>
      <w:pPr>
        <w:spacing w:after="360"/>
        <w:jc w:val="center"/>
      </w:pPr>
      <w:r>
        <w:rPr>
          <w:i/>
        </w:rPr>
        <w:t>Marché moderne de l’Arrondissement N°1, Ouagadougou, octobre 2026</w:t>
      </w:r>
    </w:p>
    <w:p>
      <w:pPr>
        <w:pStyle w:val="Heading1"/>
      </w:pPr>
      <w:r>
        <w:t>OBJET DE LA PLATEFORME</w:t>
      </w:r>
    </w:p>
    <w:p>
      <w:r>
        <w:t>Raaga est la plateforme en ligne du marché moderne de l’Arrondissement N°1 de Ouagadougou. Elle permet à tout citoyen de réserver une boutique du futur marché, de payer les sommes dues et de suivre son dossier jusqu’à l’attribution, sans se déplacer et selon des règles identiques pour tous.</w:t>
      </w:r>
    </w:p>
    <w:p>
      <w:r>
        <w:t>Le marché compte 802 boutiques réparties sur quatre niveaux : 160 au rez-de-chaussée et 214 à chacun des trois étages. Il comprend aussi un pôle boucherie-poissonnerie, des parkings et des services partagés.</w:t>
      </w:r>
    </w:p>
    <w:p>
      <w:r>
        <w:t>La plateforme réunit deux démarches strictement séparées.</w:t>
      </w:r>
    </w:p>
    <w:tbl>
      <w:tblPr>
        <w:tblStyle w:val="TableGrid"/>
        <w:tblW w:type="auto" w:w="0"/>
        <w:jc w:val="center"/>
        <w:tblLook w:firstColumn="1" w:firstRow="1" w:lastColumn="0" w:lastRow="0" w:noHBand="0" w:noVBand="1" w:val="04A0"/>
      </w:tblPr>
      <w:tblGrid>
        <w:gridCol w:w="3024"/>
        <w:gridCol w:w="3024"/>
        <w:gridCol w:w="3024"/>
      </w:tblGrid>
      <w:tr>
        <w:trPr>
          <w:tblHeader w:val="true"/>
          <w:cantSplit w:val="true"/>
        </w:trPr>
        <w:tc>
          <w:tcPr>
            <w:tcW w:type="dxa" w:w="2268"/>
            <w:shd w:val="clear" w:color="auto" w:fill="D9D9D9"/>
          </w:tcPr>
          <w:p>
            <w:pPr>
              <w:spacing w:line="240" w:lineRule="auto" w:after="60"/>
              <w:jc w:val="left"/>
            </w:pPr>
            <w:r/>
            <w:r>
              <w:rPr>
                <w:rFonts w:ascii="Times New Roman" w:hAnsi="Times New Roman"/>
                <w:b/>
                <w:sz w:val="24"/>
              </w:rPr>
              <w:t>Démarche</w:t>
            </w:r>
          </w:p>
        </w:tc>
        <w:tc>
          <w:tcPr>
            <w:tcW w:type="dxa" w:w="4252"/>
            <w:shd w:val="clear" w:color="auto" w:fill="D9D9D9"/>
          </w:tcPr>
          <w:p>
            <w:pPr>
              <w:spacing w:line="240" w:lineRule="auto" w:after="60"/>
              <w:jc w:val="left"/>
            </w:pPr>
            <w:r/>
            <w:r>
              <w:rPr>
                <w:rFonts w:ascii="Times New Roman" w:hAnsi="Times New Roman"/>
                <w:b/>
                <w:sz w:val="24"/>
              </w:rPr>
              <w:t>Objet</w:t>
            </w:r>
          </w:p>
        </w:tc>
        <w:tc>
          <w:tcPr>
            <w:tcW w:type="dxa" w:w="2551"/>
            <w:shd w:val="clear" w:color="auto" w:fill="D9D9D9"/>
          </w:tcPr>
          <w:p>
            <w:pPr>
              <w:spacing w:line="240" w:lineRule="auto" w:after="60"/>
              <w:jc w:val="left"/>
            </w:pPr>
            <w:r/>
            <w:r>
              <w:rPr>
                <w:rFonts w:ascii="Times New Roman" w:hAnsi="Times New Roman"/>
                <w:b/>
                <w:sz w:val="24"/>
              </w:rPr>
              <w:t>Situation</w:t>
            </w:r>
          </w:p>
        </w:tc>
      </w:tr>
      <w:tr>
        <w:trPr>
          <w:cantSplit w:val="true"/>
        </w:trPr>
        <w:tc>
          <w:tcPr>
            <w:tcW w:type="dxa" w:w="2268"/>
          </w:tcPr>
          <w:p>
            <w:pPr>
              <w:spacing w:line="240" w:lineRule="auto" w:after="60"/>
              <w:jc w:val="left"/>
            </w:pPr>
            <w:r/>
            <w:r>
              <w:rPr>
                <w:rFonts w:ascii="Times New Roman" w:hAnsi="Times New Roman"/>
                <w:b/>
                <w:sz w:val="24"/>
              </w:rPr>
              <w:t>Obtenir une boutique</w:t>
            </w:r>
          </w:p>
        </w:tc>
        <w:tc>
          <w:tcPr>
            <w:tcW w:type="dxa" w:w="4252"/>
          </w:tcPr>
          <w:p>
            <w:pPr>
              <w:spacing w:line="240" w:lineRule="auto" w:after="60"/>
              <w:jc w:val="left"/>
            </w:pPr>
            <w:r/>
            <w:r>
              <w:rPr>
                <w:rFonts w:ascii="Times New Roman" w:hAnsi="Times New Roman"/>
                <w:b w:val="0"/>
                <w:sz w:val="24"/>
              </w:rPr>
              <w:t>Réserver un emplacement, payer la caution puis l’avance, recevoir sa carte d’accès.</w:t>
            </w:r>
          </w:p>
        </w:tc>
        <w:tc>
          <w:tcPr>
            <w:tcW w:type="dxa" w:w="2551"/>
          </w:tcPr>
          <w:p>
            <w:pPr>
              <w:spacing w:line="240" w:lineRule="auto" w:after="60"/>
              <w:jc w:val="left"/>
            </w:pPr>
            <w:r/>
            <w:r>
              <w:rPr>
                <w:rFonts w:ascii="Times New Roman" w:hAnsi="Times New Roman"/>
                <w:b w:val="0"/>
                <w:sz w:val="24"/>
              </w:rPr>
              <w:t>Phase 1, ouverte en premier.</w:t>
            </w:r>
          </w:p>
        </w:tc>
      </w:tr>
      <w:tr>
        <w:trPr>
          <w:cantSplit w:val="true"/>
        </w:trPr>
        <w:tc>
          <w:tcPr>
            <w:tcW w:type="dxa" w:w="2268"/>
          </w:tcPr>
          <w:p>
            <w:pPr>
              <w:spacing w:line="240" w:lineRule="auto" w:after="60"/>
              <w:jc w:val="left"/>
            </w:pPr>
            <w:r/>
            <w:r>
              <w:rPr>
                <w:rFonts w:ascii="Times New Roman" w:hAnsi="Times New Roman"/>
                <w:b/>
                <w:sz w:val="24"/>
              </w:rPr>
              <w:t>Investir dans Raaga</w:t>
            </w:r>
          </w:p>
        </w:tc>
        <w:tc>
          <w:tcPr>
            <w:tcW w:type="dxa" w:w="4252"/>
          </w:tcPr>
          <w:p>
            <w:pPr>
              <w:spacing w:line="240" w:lineRule="auto" w:after="60"/>
              <w:jc w:val="left"/>
            </w:pPr>
            <w:r/>
            <w:r>
              <w:rPr>
                <w:rFonts w:ascii="Times New Roman" w:hAnsi="Times New Roman"/>
                <w:b w:val="0"/>
                <w:sz w:val="24"/>
              </w:rPr>
              <w:t>Acheter des actions du marché, recevoir une attestation et une part des dividendes.</w:t>
            </w:r>
          </w:p>
        </w:tc>
        <w:tc>
          <w:tcPr>
            <w:tcW w:type="dxa" w:w="2551"/>
          </w:tcPr>
          <w:p>
            <w:pPr>
              <w:spacing w:line="240" w:lineRule="auto" w:after="60"/>
              <w:jc w:val="left"/>
            </w:pPr>
            <w:r/>
            <w:r>
              <w:rPr>
                <w:rFonts w:ascii="Times New Roman" w:hAnsi="Times New Roman"/>
                <w:b w:val="0"/>
                <w:sz w:val="24"/>
              </w:rPr>
              <w:t>Ouverture sur décision des autorités.</w:t>
            </w:r>
          </w:p>
        </w:tc>
      </w:tr>
    </w:tbl>
    <w:p>
      <w:pPr>
        <w:spacing w:after="0"/>
      </w:pPr>
    </w:p>
    <w:p>
      <w:r>
        <w:t>Les deux démarches ne se mélangent jamais. Réserver une boutique ne fait pas du citoyen un actionnaire, et acheter des actions ne donne aucune priorité pour obtenir une boutique. Les fonds de location et les fonds d’investissement sont versés sur des comptes bancaires distincts.</w:t>
      </w:r>
    </w:p>
    <w:p>
      <w:pPr>
        <w:pStyle w:val="Heading1"/>
      </w:pPr>
      <w:r>
        <w:t>LES ACTEURS</w:t>
      </w:r>
    </w:p>
    <w:p>
      <w:r>
        <w:t>La plateforme distingue le public, qui utilise le site, et les agents, qui travaillent dans un espace réservé appelé back-office. Chaque agent ne dispose que des droits de son rôle.</w:t>
      </w:r>
    </w:p>
    <w:tbl>
      <w:tblPr>
        <w:tblStyle w:val="TableGrid"/>
        <w:tblW w:type="auto" w:w="0"/>
        <w:jc w:val="center"/>
        <w:tblLook w:firstColumn="1" w:firstRow="1" w:lastColumn="0" w:lastRow="0" w:noHBand="0" w:noVBand="1" w:val="04A0"/>
      </w:tblPr>
      <w:tblGrid>
        <w:gridCol w:w="4536"/>
        <w:gridCol w:w="4536"/>
      </w:tblGrid>
      <w:tr>
        <w:trPr>
          <w:tblHeader w:val="true"/>
          <w:cantSplit w:val="true"/>
        </w:trPr>
        <w:tc>
          <w:tcPr>
            <w:tcW w:type="dxa" w:w="2551"/>
            <w:shd w:val="clear" w:color="auto" w:fill="D9D9D9"/>
          </w:tcPr>
          <w:p>
            <w:pPr>
              <w:spacing w:line="240" w:lineRule="auto" w:after="60"/>
              <w:jc w:val="left"/>
            </w:pPr>
            <w:r/>
            <w:r>
              <w:rPr>
                <w:rFonts w:ascii="Times New Roman" w:hAnsi="Times New Roman"/>
                <w:b/>
                <w:sz w:val="24"/>
              </w:rPr>
              <w:t>Acteur</w:t>
            </w:r>
          </w:p>
        </w:tc>
        <w:tc>
          <w:tcPr>
            <w:tcW w:type="dxa" w:w="6520"/>
            <w:shd w:val="clear" w:color="auto" w:fill="D9D9D9"/>
          </w:tcPr>
          <w:p>
            <w:pPr>
              <w:spacing w:line="240" w:lineRule="auto" w:after="60"/>
              <w:jc w:val="left"/>
            </w:pPr>
            <w:r/>
            <w:r>
              <w:rPr>
                <w:rFonts w:ascii="Times New Roman" w:hAnsi="Times New Roman"/>
                <w:b/>
                <w:sz w:val="24"/>
              </w:rPr>
              <w:t>Rôle</w:t>
            </w:r>
          </w:p>
        </w:tc>
      </w:tr>
      <w:tr>
        <w:trPr>
          <w:cantSplit w:val="true"/>
        </w:trPr>
        <w:tc>
          <w:tcPr>
            <w:tcW w:type="dxa" w:w="2551"/>
          </w:tcPr>
          <w:p>
            <w:pPr>
              <w:spacing w:line="240" w:lineRule="auto" w:after="60"/>
              <w:jc w:val="left"/>
            </w:pPr>
            <w:r/>
            <w:r>
              <w:rPr>
                <w:rFonts w:ascii="Times New Roman" w:hAnsi="Times New Roman"/>
                <w:b/>
                <w:sz w:val="24"/>
              </w:rPr>
              <w:t>Citoyen</w:t>
            </w:r>
          </w:p>
        </w:tc>
        <w:tc>
          <w:tcPr>
            <w:tcW w:type="dxa" w:w="6520"/>
          </w:tcPr>
          <w:p>
            <w:pPr>
              <w:spacing w:line="240" w:lineRule="auto" w:after="60"/>
              <w:jc w:val="left"/>
            </w:pPr>
            <w:r/>
            <w:r>
              <w:rPr>
                <w:rFonts w:ascii="Times New Roman" w:hAnsi="Times New Roman"/>
                <w:b w:val="0"/>
                <w:sz w:val="24"/>
              </w:rPr>
              <w:t>Crée son compte, fait vérifier son identité, réserve une boutique, paie et suit son dossier.</w:t>
            </w:r>
          </w:p>
        </w:tc>
      </w:tr>
      <w:tr>
        <w:trPr>
          <w:cantSplit w:val="true"/>
        </w:trPr>
        <w:tc>
          <w:tcPr>
            <w:tcW w:type="dxa" w:w="2551"/>
          </w:tcPr>
          <w:p>
            <w:pPr>
              <w:spacing w:line="240" w:lineRule="auto" w:after="60"/>
              <w:jc w:val="left"/>
            </w:pPr>
            <w:r/>
            <w:r>
              <w:rPr>
                <w:rFonts w:ascii="Times New Roman" w:hAnsi="Times New Roman"/>
                <w:b/>
                <w:sz w:val="24"/>
              </w:rPr>
              <w:t>Régulateur</w:t>
            </w:r>
          </w:p>
        </w:tc>
        <w:tc>
          <w:tcPr>
            <w:tcW w:type="dxa" w:w="6520"/>
          </w:tcPr>
          <w:p>
            <w:pPr>
              <w:spacing w:line="240" w:lineRule="auto" w:after="60"/>
              <w:jc w:val="left"/>
            </w:pPr>
            <w:r/>
            <w:r>
              <w:rPr>
                <w:rFonts w:ascii="Times New Roman" w:hAnsi="Times New Roman"/>
                <w:b w:val="0"/>
                <w:sz w:val="24"/>
              </w:rPr>
              <w:t>Saisit et soumet les paramètres : campagnes, grilles tarifaires, délais, tranches d’actions. Ne confirme jamais.</w:t>
            </w:r>
          </w:p>
        </w:tc>
      </w:tr>
      <w:tr>
        <w:trPr>
          <w:cantSplit w:val="true"/>
        </w:trPr>
        <w:tc>
          <w:tcPr>
            <w:tcW w:type="dxa" w:w="2551"/>
          </w:tcPr>
          <w:p>
            <w:pPr>
              <w:spacing w:line="240" w:lineRule="auto" w:after="60"/>
              <w:jc w:val="left"/>
            </w:pPr>
            <w:r/>
            <w:r>
              <w:rPr>
                <w:rFonts w:ascii="Times New Roman" w:hAnsi="Times New Roman"/>
                <w:b/>
                <w:sz w:val="24"/>
              </w:rPr>
              <w:t>Validateur</w:t>
            </w:r>
          </w:p>
        </w:tc>
        <w:tc>
          <w:tcPr>
            <w:tcW w:type="dxa" w:w="6520"/>
          </w:tcPr>
          <w:p>
            <w:pPr>
              <w:spacing w:line="240" w:lineRule="auto" w:after="60"/>
              <w:jc w:val="left"/>
            </w:pPr>
            <w:r/>
            <w:r>
              <w:rPr>
                <w:rFonts w:ascii="Times New Roman" w:hAnsi="Times New Roman"/>
                <w:b w:val="0"/>
                <w:sz w:val="24"/>
              </w:rPr>
              <w:t>Confirme ou rejette les paramètres, ouvre et clôture les campagnes, attribue les boutiques. Ne saisit jamais.</w:t>
            </w:r>
          </w:p>
        </w:tc>
      </w:tr>
      <w:tr>
        <w:trPr>
          <w:cantSplit w:val="true"/>
        </w:trPr>
        <w:tc>
          <w:tcPr>
            <w:tcW w:type="dxa" w:w="2551"/>
          </w:tcPr>
          <w:p>
            <w:pPr>
              <w:spacing w:line="240" w:lineRule="auto" w:after="60"/>
              <w:jc w:val="left"/>
            </w:pPr>
            <w:r/>
            <w:r>
              <w:rPr>
                <w:rFonts w:ascii="Times New Roman" w:hAnsi="Times New Roman"/>
                <w:b/>
                <w:sz w:val="24"/>
              </w:rPr>
              <w:t>Gestionnaire des sites</w:t>
            </w:r>
          </w:p>
        </w:tc>
        <w:tc>
          <w:tcPr>
            <w:tcW w:type="dxa" w:w="6520"/>
          </w:tcPr>
          <w:p>
            <w:pPr>
              <w:spacing w:line="240" w:lineRule="auto" w:after="60"/>
              <w:jc w:val="left"/>
            </w:pPr>
            <w:r/>
            <w:r>
              <w:rPr>
                <w:rFonts w:ascii="Times New Roman" w:hAnsi="Times New Roman"/>
                <w:b w:val="0"/>
                <w:sz w:val="24"/>
              </w:rPr>
              <w:t>Enregistre les sites du marché et leurs boutiques, puis les soumet au validateur. Ne voit aucun montant.</w:t>
            </w:r>
          </w:p>
        </w:tc>
      </w:tr>
      <w:tr>
        <w:trPr>
          <w:cantSplit w:val="true"/>
        </w:trPr>
        <w:tc>
          <w:tcPr>
            <w:tcW w:type="dxa" w:w="2551"/>
          </w:tcPr>
          <w:p>
            <w:pPr>
              <w:spacing w:line="240" w:lineRule="auto" w:after="60"/>
              <w:jc w:val="left"/>
            </w:pPr>
            <w:r/>
            <w:r>
              <w:rPr>
                <w:rFonts w:ascii="Times New Roman" w:hAnsi="Times New Roman"/>
                <w:b/>
                <w:sz w:val="24"/>
              </w:rPr>
              <w:t>Contrôleur des paiements</w:t>
            </w:r>
          </w:p>
        </w:tc>
        <w:tc>
          <w:tcPr>
            <w:tcW w:type="dxa" w:w="6520"/>
          </w:tcPr>
          <w:p>
            <w:pPr>
              <w:spacing w:line="240" w:lineRule="auto" w:after="60"/>
              <w:jc w:val="left"/>
            </w:pPr>
            <w:r/>
            <w:r>
              <w:rPr>
                <w:rFonts w:ascii="Times New Roman" w:hAnsi="Times New Roman"/>
                <w:b w:val="0"/>
                <w:sz w:val="24"/>
              </w:rPr>
              <w:t>Vérifie les preuves de virement, enregistre les paiements reçus et suit les remboursements.</w:t>
            </w:r>
          </w:p>
        </w:tc>
      </w:tr>
      <w:tr>
        <w:trPr>
          <w:cantSplit w:val="true"/>
        </w:trPr>
        <w:tc>
          <w:tcPr>
            <w:tcW w:type="dxa" w:w="2551"/>
          </w:tcPr>
          <w:p>
            <w:pPr>
              <w:spacing w:line="240" w:lineRule="auto" w:after="60"/>
              <w:jc w:val="left"/>
            </w:pPr>
            <w:r/>
            <w:r>
              <w:rPr>
                <w:rFonts w:ascii="Times New Roman" w:hAnsi="Times New Roman"/>
                <w:b/>
                <w:sz w:val="24"/>
              </w:rPr>
              <w:t>Administrateur</w:t>
            </w:r>
          </w:p>
        </w:tc>
        <w:tc>
          <w:tcPr>
            <w:tcW w:type="dxa" w:w="6520"/>
          </w:tcPr>
          <w:p>
            <w:pPr>
              <w:spacing w:line="240" w:lineRule="auto" w:after="60"/>
              <w:jc w:val="left"/>
            </w:pPr>
            <w:r/>
            <w:r>
              <w:rPr>
                <w:rFonts w:ascii="Times New Roman" w:hAnsi="Times New Roman"/>
                <w:b w:val="0"/>
                <w:sz w:val="24"/>
              </w:rPr>
              <w:t>Assiste les citoyens, gère les contenus du site et vérifie les pièces d’identité. Aucune décision financière.</w:t>
            </w:r>
          </w:p>
        </w:tc>
      </w:tr>
      <w:tr>
        <w:trPr>
          <w:cantSplit w:val="true"/>
        </w:trPr>
        <w:tc>
          <w:tcPr>
            <w:tcW w:type="dxa" w:w="2551"/>
          </w:tcPr>
          <w:p>
            <w:pPr>
              <w:spacing w:line="240" w:lineRule="auto" w:after="60"/>
              <w:jc w:val="left"/>
            </w:pPr>
            <w:r/>
            <w:r>
              <w:rPr>
                <w:rFonts w:ascii="Times New Roman" w:hAnsi="Times New Roman"/>
                <w:b/>
                <w:sz w:val="24"/>
              </w:rPr>
              <w:t>Super administrateur</w:t>
            </w:r>
          </w:p>
        </w:tc>
        <w:tc>
          <w:tcPr>
            <w:tcW w:type="dxa" w:w="6520"/>
          </w:tcPr>
          <w:p>
            <w:pPr>
              <w:spacing w:line="240" w:lineRule="auto" w:after="60"/>
              <w:jc w:val="left"/>
            </w:pPr>
            <w:r/>
            <w:r>
              <w:rPr>
                <w:rFonts w:ascii="Times New Roman" w:hAnsi="Times New Roman"/>
                <w:b w:val="0"/>
                <w:sz w:val="24"/>
              </w:rPr>
              <w:t>Gère les comptes des agents et la sécurité. Aucune décision financière.</w:t>
            </w:r>
          </w:p>
        </w:tc>
      </w:tr>
      <w:tr>
        <w:trPr>
          <w:cantSplit w:val="true"/>
        </w:trPr>
        <w:tc>
          <w:tcPr>
            <w:tcW w:type="dxa" w:w="2551"/>
          </w:tcPr>
          <w:p>
            <w:pPr>
              <w:spacing w:line="240" w:lineRule="auto" w:after="60"/>
              <w:jc w:val="left"/>
            </w:pPr>
            <w:r/>
            <w:r>
              <w:rPr>
                <w:rFonts w:ascii="Times New Roman" w:hAnsi="Times New Roman"/>
                <w:b/>
                <w:sz w:val="24"/>
              </w:rPr>
              <w:t>Agent de guichet</w:t>
            </w:r>
          </w:p>
        </w:tc>
        <w:tc>
          <w:tcPr>
            <w:tcW w:type="dxa" w:w="6520"/>
          </w:tcPr>
          <w:p>
            <w:pPr>
              <w:spacing w:line="240" w:lineRule="auto" w:after="60"/>
              <w:jc w:val="left"/>
            </w:pPr>
            <w:r/>
            <w:r>
              <w:rPr>
                <w:rFonts w:ascii="Times New Roman" w:hAnsi="Times New Roman"/>
                <w:b w:val="0"/>
                <w:sz w:val="24"/>
              </w:rPr>
              <w:t>Contrôle les cartes d’accès et imprime la carte d’un titulaire après vérification de sa pièce d’identité.</w:t>
            </w:r>
          </w:p>
        </w:tc>
      </w:tr>
      <w:tr>
        <w:trPr>
          <w:cantSplit w:val="true"/>
        </w:trPr>
        <w:tc>
          <w:tcPr>
            <w:tcW w:type="dxa" w:w="2551"/>
          </w:tcPr>
          <w:p>
            <w:pPr>
              <w:spacing w:line="240" w:lineRule="auto" w:after="60"/>
              <w:jc w:val="left"/>
            </w:pPr>
            <w:r/>
            <w:r>
              <w:rPr>
                <w:rFonts w:ascii="Times New Roman" w:hAnsi="Times New Roman"/>
                <w:b/>
                <w:sz w:val="24"/>
              </w:rPr>
              <w:t>Auditeur</w:t>
            </w:r>
          </w:p>
        </w:tc>
        <w:tc>
          <w:tcPr>
            <w:tcW w:type="dxa" w:w="6520"/>
          </w:tcPr>
          <w:p>
            <w:pPr>
              <w:spacing w:line="240" w:lineRule="auto" w:after="60"/>
              <w:jc w:val="left"/>
            </w:pPr>
            <w:r/>
            <w:r>
              <w:rPr>
                <w:rFonts w:ascii="Times New Roman" w:hAnsi="Times New Roman"/>
                <w:b w:val="0"/>
                <w:sz w:val="24"/>
              </w:rPr>
              <w:t>Consulte l’ensemble en lecture seule, journal des actions compris.</w:t>
            </w:r>
          </w:p>
        </w:tc>
      </w:tr>
    </w:tbl>
    <w:p>
      <w:pPr>
        <w:spacing w:after="0"/>
      </w:pPr>
    </w:p>
    <w:p>
      <w:r>
        <w:t>Le principe central est la séparation des pouvoirs : la personne qui saisit un paramètre n’est jamais celle qui le confirme.</w:t>
      </w:r>
    </w:p>
    <w:p>
      <w:pPr>
        <w:pStyle w:val="Heading1"/>
      </w:pPr>
      <w:r>
        <w:t>LE SITE PUBLIC</w:t>
      </w:r>
    </w:p>
    <w:p>
      <w:r>
        <w:t>Le site public est accessible sans compte. Il présente le projet et donne au citoyen toutes les informations utiles avant de s’engager. Il comprend :</w:t>
      </w:r>
    </w:p>
    <w:p>
      <w:pPr>
        <w:pStyle w:val="ListBullet"/>
      </w:pPr>
      <w:r>
        <w:t>l’accueil, qui présente le marché, la campagne en cours, le calendrier du projet et les tarifs par niveau ;</w:t>
      </w:r>
    </w:p>
    <w:p>
      <w:pPr>
        <w:pStyle w:val="ListBullet"/>
      </w:pPr>
      <w:r>
        <w:t>la page « Obtenir une boutique », avec le plan des boutiques et le détail de chaque emplacement ;</w:t>
      </w:r>
    </w:p>
    <w:p>
      <w:pPr>
        <w:pStyle w:val="ListBullet"/>
      </w:pPr>
      <w:r>
        <w:t>la partie « Investir », réservée à la démarche d’actionnariat ;</w:t>
      </w:r>
    </w:p>
    <w:p>
      <w:pPr>
        <w:pStyle w:val="ListBullet"/>
      </w:pPr>
      <w:r>
        <w:t>la page « Transparence », qui suit en direct l’avancement des réservations et du chantier ;</w:t>
      </w:r>
    </w:p>
    <w:p>
      <w:pPr>
        <w:pStyle w:val="ListBullet"/>
      </w:pPr>
      <w:r>
        <w:t>l’aide et les questions fréquentes, la liste des guichets agréés et un formulaire de contact ;</w:t>
      </w:r>
    </w:p>
    <w:p>
      <w:pPr>
        <w:pStyle w:val="ListBullet"/>
      </w:pPr>
      <w:r>
        <w:t>les mentions légales, la politique de protection des données et la déclaration d’accessibilité.</w:t>
      </w:r>
    </w:p>
    <w:p>
      <w:r>
        <w:t>Le site affiche partout un rappel contre la fraude : Raaga ne demande jamais de payer à une personne, ni de communiquer un code par téléphone.</w:t>
      </w:r>
    </w:p>
    <w:p>
      <w:pPr>
        <w:pStyle w:val="Heading1"/>
      </w:pPr>
      <w:r>
        <w:t>LE COMPTE DU CITOYEN</w:t>
      </w:r>
    </w:p>
    <w:p>
      <w:pPr>
        <w:pStyle w:val="Heading2"/>
      </w:pPr>
      <w:r>
        <w:t>Création du compte et connexion</w:t>
      </w:r>
    </w:p>
    <w:p>
      <w:r>
        <w:t>Le citoyen crée son compte avec son numéro de téléphone. Il se connecte ensuite en saisissant un code à usage unique reçu par SMS. Aucun mot de passe n’est demandé au public.</w:t>
      </w:r>
    </w:p>
    <w:p>
      <w:pPr>
        <w:pStyle w:val="Heading2"/>
      </w:pPr>
      <w:r>
        <w:t>Vérification de l’identité</w:t>
      </w:r>
    </w:p>
    <w:p>
      <w:r>
        <w:t>Le citoyen dépose ses pièces depuis son espace. Une personne physique fournit sa CNIB, sa carte d’identité biométrique AES ou son passeport, avec un selfie. Une entreprise fournit en plus son RCCM, son IFU et la pièce de son représentant légal. Un administrateur examine le dossier puis le valide, le refuse en indiquant le motif, ou demande une mise à jour.</w:t>
      </w:r>
    </w:p>
    <w:p>
      <w:r>
        <w:t>Le citoyen qui n’a pas encore fait vérifier son identité peut commencer une réservation. Il reçoit alors une alerte et dispose de 48 heures pour envoyer ou corriger son dossier. Sans dossier valide dans ce délai, la boutique passe au suivant de la liste d’attente.</w:t>
      </w:r>
    </w:p>
    <w:p>
      <w:pPr>
        <w:pStyle w:val="Heading2"/>
      </w:pPr>
      <w:r>
        <w:t>L’espace personnel</w:t>
      </w:r>
    </w:p>
    <w:p>
      <w:r>
        <w:t>L’espace personnel regroupe, par onglets, les boutiques du citoyen, ses actions le cas échéant, ses reçus et documents, son profil et l’état de la vérification de son identité. Le citoyen y retrouve aussi sa carte d’accès dès qu’une boutique lui est attribuée.</w:t>
      </w:r>
    </w:p>
    <w:p>
      <w:pPr>
        <w:pStyle w:val="Heading1"/>
      </w:pPr>
      <w:r>
        <w:t>LA RÉSERVATION D’UNE BOUTIQUE</w:t>
      </w:r>
    </w:p>
    <w:p>
      <w:pPr>
        <w:pStyle w:val="Heading2"/>
      </w:pPr>
      <w:r>
        <w:t>La campagne</w:t>
      </w:r>
    </w:p>
    <w:p>
      <w:r>
        <w:t>Les réservations se font dans le cadre d’une campagne, préparée par le régulateur et confirmée par le validateur. La campagne fixe la période d’ouverture, les boutiques concernées, la limite de boutiques par personne et le règlement. Un compte à rebours indique sur le site l’ouverture ou la clôture des réservations.</w:t>
      </w:r>
    </w:p>
    <w:p>
      <w:pPr>
        <w:pStyle w:val="Heading2"/>
      </w:pPr>
      <w:r>
        <w:t>Le plan des boutiques</w:t>
      </w:r>
    </w:p>
    <w:p>
      <w:r>
        <w:t>Le citoyen choisit le site, le type d’emplacement, le niveau et le bloc. Le plan affiche toutes les cases du bloc. Un clic sur une case ouvre la fiche de l’emplacement : niveau, bloc, type, surface, loyer mensuel, caution, avance et total à payer, ainsi que le nombre de personnes déjà inscrites.</w:t>
      </w:r>
    </w:p>
    <w:tbl>
      <w:tblPr>
        <w:tblStyle w:val="TableGrid"/>
        <w:tblW w:type="auto" w:w="0"/>
        <w:jc w:val="center"/>
        <w:tblLook w:firstColumn="1" w:firstRow="1" w:lastColumn="0" w:lastRow="0" w:noHBand="0" w:noVBand="1" w:val="04A0"/>
      </w:tblPr>
      <w:tblGrid>
        <w:gridCol w:w="4536"/>
        <w:gridCol w:w="4536"/>
      </w:tblGrid>
      <w:tr>
        <w:trPr>
          <w:tblHeader w:val="true"/>
          <w:cantSplit w:val="true"/>
        </w:trPr>
        <w:tc>
          <w:tcPr>
            <w:tcW w:type="dxa" w:w="2551"/>
            <w:shd w:val="clear" w:color="auto" w:fill="D9D9D9"/>
          </w:tcPr>
          <w:p>
            <w:pPr>
              <w:spacing w:line="240" w:lineRule="auto" w:after="60"/>
              <w:jc w:val="left"/>
            </w:pPr>
            <w:r/>
            <w:r>
              <w:rPr>
                <w:rFonts w:ascii="Times New Roman" w:hAnsi="Times New Roman"/>
                <w:b/>
                <w:sz w:val="24"/>
              </w:rPr>
              <w:t>Statut sur le plan</w:t>
            </w:r>
          </w:p>
        </w:tc>
        <w:tc>
          <w:tcPr>
            <w:tcW w:type="dxa" w:w="6520"/>
            <w:shd w:val="clear" w:color="auto" w:fill="D9D9D9"/>
          </w:tcPr>
          <w:p>
            <w:pPr>
              <w:spacing w:line="240" w:lineRule="auto" w:after="60"/>
              <w:jc w:val="left"/>
            </w:pPr>
            <w:r/>
            <w:r>
              <w:rPr>
                <w:rFonts w:ascii="Times New Roman" w:hAnsi="Times New Roman"/>
                <w:b/>
                <w:sz w:val="24"/>
              </w:rPr>
              <w:t>Signification</w:t>
            </w:r>
          </w:p>
        </w:tc>
      </w:tr>
      <w:tr>
        <w:trPr>
          <w:cantSplit w:val="true"/>
        </w:trPr>
        <w:tc>
          <w:tcPr>
            <w:tcW w:type="dxa" w:w="2551"/>
          </w:tcPr>
          <w:p>
            <w:pPr>
              <w:spacing w:line="240" w:lineRule="auto" w:after="60"/>
              <w:jc w:val="left"/>
            </w:pPr>
            <w:r/>
            <w:r>
              <w:rPr>
                <w:rFonts w:ascii="Times New Roman" w:hAnsi="Times New Roman"/>
                <w:b/>
                <w:sz w:val="24"/>
              </w:rPr>
              <w:t>Disponible</w:t>
            </w:r>
          </w:p>
        </w:tc>
        <w:tc>
          <w:tcPr>
            <w:tcW w:type="dxa" w:w="6520"/>
          </w:tcPr>
          <w:p>
            <w:pPr>
              <w:spacing w:line="240" w:lineRule="auto" w:after="60"/>
              <w:jc w:val="left"/>
            </w:pPr>
            <w:r/>
            <w:r>
              <w:rPr>
                <w:rFonts w:ascii="Times New Roman" w:hAnsi="Times New Roman"/>
                <w:b w:val="0"/>
                <w:sz w:val="24"/>
              </w:rPr>
              <w:t>La boutique peut être réservée.</w:t>
            </w:r>
          </w:p>
        </w:tc>
      </w:tr>
      <w:tr>
        <w:trPr>
          <w:cantSplit w:val="true"/>
        </w:trPr>
        <w:tc>
          <w:tcPr>
            <w:tcW w:type="dxa" w:w="2551"/>
          </w:tcPr>
          <w:p>
            <w:pPr>
              <w:spacing w:line="240" w:lineRule="auto" w:after="60"/>
              <w:jc w:val="left"/>
            </w:pPr>
            <w:r/>
            <w:r>
              <w:rPr>
                <w:rFonts w:ascii="Times New Roman" w:hAnsi="Times New Roman"/>
                <w:b/>
                <w:sz w:val="24"/>
              </w:rPr>
              <w:t>Pré-réservée</w:t>
            </w:r>
          </w:p>
        </w:tc>
        <w:tc>
          <w:tcPr>
            <w:tcW w:type="dxa" w:w="6520"/>
          </w:tcPr>
          <w:p>
            <w:pPr>
              <w:spacing w:line="240" w:lineRule="auto" w:after="60"/>
              <w:jc w:val="left"/>
            </w:pPr>
            <w:r/>
            <w:r>
              <w:rPr>
                <w:rFonts w:ascii="Times New Roman" w:hAnsi="Times New Roman"/>
                <w:b w:val="0"/>
                <w:sz w:val="24"/>
              </w:rPr>
              <w:t>Un citoyen a confirmé sa réservation et doit payer la caution.</w:t>
            </w:r>
          </w:p>
        </w:tc>
      </w:tr>
      <w:tr>
        <w:trPr>
          <w:cantSplit w:val="true"/>
        </w:trPr>
        <w:tc>
          <w:tcPr>
            <w:tcW w:type="dxa" w:w="2551"/>
          </w:tcPr>
          <w:p>
            <w:pPr>
              <w:spacing w:line="240" w:lineRule="auto" w:after="60"/>
              <w:jc w:val="left"/>
            </w:pPr>
            <w:r/>
            <w:r>
              <w:rPr>
                <w:rFonts w:ascii="Times New Roman" w:hAnsi="Times New Roman"/>
                <w:b/>
                <w:sz w:val="24"/>
              </w:rPr>
              <w:t>Réservée</w:t>
            </w:r>
          </w:p>
        </w:tc>
        <w:tc>
          <w:tcPr>
            <w:tcW w:type="dxa" w:w="6520"/>
          </w:tcPr>
          <w:p>
            <w:pPr>
              <w:spacing w:line="240" w:lineRule="auto" w:after="60"/>
              <w:jc w:val="left"/>
            </w:pPr>
            <w:r/>
            <w:r>
              <w:rPr>
                <w:rFonts w:ascii="Times New Roman" w:hAnsi="Times New Roman"/>
                <w:b w:val="0"/>
                <w:sz w:val="24"/>
              </w:rPr>
              <w:t>La caution est payée ; l’avance reste à payer.</w:t>
            </w:r>
          </w:p>
        </w:tc>
      </w:tr>
      <w:tr>
        <w:trPr>
          <w:cantSplit w:val="true"/>
        </w:trPr>
        <w:tc>
          <w:tcPr>
            <w:tcW w:type="dxa" w:w="2551"/>
          </w:tcPr>
          <w:p>
            <w:pPr>
              <w:spacing w:line="240" w:lineRule="auto" w:after="60"/>
              <w:jc w:val="left"/>
            </w:pPr>
            <w:r/>
            <w:r>
              <w:rPr>
                <w:rFonts w:ascii="Times New Roman" w:hAnsi="Times New Roman"/>
                <w:b/>
                <w:sz w:val="24"/>
              </w:rPr>
              <w:t>Attribuée</w:t>
            </w:r>
          </w:p>
        </w:tc>
        <w:tc>
          <w:tcPr>
            <w:tcW w:type="dxa" w:w="6520"/>
          </w:tcPr>
          <w:p>
            <w:pPr>
              <w:spacing w:line="240" w:lineRule="auto" w:after="60"/>
              <w:jc w:val="left"/>
            </w:pPr>
            <w:r/>
            <w:r>
              <w:rPr>
                <w:rFonts w:ascii="Times New Roman" w:hAnsi="Times New Roman"/>
                <w:b w:val="0"/>
                <w:sz w:val="24"/>
              </w:rPr>
              <w:t>L’avance est payée et le contrat signé : la boutique a un titulaire.</w:t>
            </w:r>
          </w:p>
        </w:tc>
      </w:tr>
      <w:tr>
        <w:trPr>
          <w:cantSplit w:val="true"/>
        </w:trPr>
        <w:tc>
          <w:tcPr>
            <w:tcW w:type="dxa" w:w="2551"/>
          </w:tcPr>
          <w:p>
            <w:pPr>
              <w:spacing w:line="240" w:lineRule="auto" w:after="60"/>
              <w:jc w:val="left"/>
            </w:pPr>
            <w:r/>
            <w:r>
              <w:rPr>
                <w:rFonts w:ascii="Times New Roman" w:hAnsi="Times New Roman"/>
                <w:b/>
                <w:sz w:val="24"/>
              </w:rPr>
              <w:t>Retirée</w:t>
            </w:r>
          </w:p>
        </w:tc>
        <w:tc>
          <w:tcPr>
            <w:tcW w:type="dxa" w:w="6520"/>
          </w:tcPr>
          <w:p>
            <w:pPr>
              <w:spacing w:line="240" w:lineRule="auto" w:after="60"/>
              <w:jc w:val="left"/>
            </w:pPr>
            <w:r/>
            <w:r>
              <w:rPr>
                <w:rFonts w:ascii="Times New Roman" w:hAnsi="Times New Roman"/>
                <w:b w:val="0"/>
                <w:sz w:val="24"/>
              </w:rPr>
              <w:t>La boutique n’est pas proposée.</w:t>
            </w:r>
          </w:p>
        </w:tc>
      </w:tr>
    </w:tbl>
    <w:p>
      <w:pPr>
        <w:spacing w:after="0"/>
      </w:pPr>
    </w:p>
    <w:p>
      <w:pPr>
        <w:pStyle w:val="Heading2"/>
      </w:pPr>
      <w:r>
        <w:t>Les étapes</w:t>
      </w:r>
    </w:p>
    <w:p>
      <w:pPr>
        <w:pStyle w:val="ListNumber"/>
      </w:pPr>
      <w:r>
        <w:t>Le citoyen choisit une boutique disponible sur le plan.</w:t>
      </w:r>
    </w:p>
    <w:p>
      <w:pPr>
        <w:pStyle w:val="ListNumber"/>
      </w:pPr>
      <w:r>
        <w:t>Il confirme avec sa pièce d’identité et accepte les engagements de la campagne. La boutique est pré-réservée à son nom.</w:t>
      </w:r>
    </w:p>
    <w:p>
      <w:pPr>
        <w:pStyle w:val="ListNumber"/>
      </w:pPr>
      <w:r>
        <w:t>Il paie la caution dans les 72 heures. La boutique est réservée.</w:t>
      </w:r>
    </w:p>
    <w:p>
      <w:pPr>
        <w:pStyle w:val="ListNumber"/>
      </w:pPr>
      <w:r>
        <w:t>Il paie l’avance dans les 30 jours, avant la signature du contrat. La boutique lui est attribuée.</w:t>
      </w:r>
    </w:p>
    <w:p>
      <w:pPr>
        <w:pStyle w:val="ListNumber"/>
      </w:pPr>
      <w:r>
        <w:t>Il reçoit ses reçus et sa carte d’accès personnelle, lue aux portiques du marché.</w:t>
      </w:r>
    </w:p>
    <w:p>
      <w:r>
        <w:t>La caution représente douze mois de loyer et reste remboursable selon le règlement de la campagne. L’avance va de douze à soixante mois de loyer selon l’étage et s’impute sur les premiers loyers. Le loyer suit la grille tarifaire du site, confirmée avant l’ouverture.</w:t>
      </w:r>
    </w:p>
    <w:p>
      <w:pPr>
        <w:pStyle w:val="Heading2"/>
      </w:pPr>
      <w:r>
        <w:t>Les règles d’attribution</w:t>
      </w:r>
    </w:p>
    <w:p>
      <w:pPr>
        <w:pStyle w:val="ListBullet"/>
      </w:pPr>
      <w:r>
        <w:t>premier arrivé, premier servi : aucune priorité et aucun tirage au sort ;</w:t>
      </w:r>
    </w:p>
    <w:p>
      <w:pPr>
        <w:pStyle w:val="ListBullet"/>
      </w:pPr>
      <w:r>
        <w:t>une limite de boutiques par personne, contrôlée sur le numéro de la pièce d’identité ;</w:t>
      </w:r>
    </w:p>
    <w:p>
      <w:pPr>
        <w:pStyle w:val="ListBullet"/>
      </w:pPr>
      <w:r>
        <w:t>des délais appliqués automatiquement par la plateforme, sans intervention d’un agent ;</w:t>
      </w:r>
    </w:p>
    <w:p>
      <w:pPr>
        <w:pStyle w:val="ListBullet"/>
      </w:pPr>
      <w:r>
        <w:t>une boutique non payée dans le délai est libérée et proposée au suivant.</w:t>
      </w:r>
    </w:p>
    <w:p>
      <w:pPr>
        <w:pStyle w:val="Heading2"/>
      </w:pPr>
      <w:r>
        <w:t>Les listes d’attente</w:t>
      </w:r>
    </w:p>
    <w:p>
      <w:r>
        <w:t>Un citoyen peut s’inscrire sur une boutique déjà pré-réservée ou réservée. Les inscrits sont classés par ordre d’arrivée. Si le titulaire ne paie pas dans le délai, la boutique passe automatiquement au premier inscrit, qui est prévenu par SMS et dispose à son tour du délai de paiement. Lorsqu’une liste est épuisée, la plateforme relance les citoyens qui avaient manifesté leur intérêt.</w:t>
      </w:r>
    </w:p>
    <w:p>
      <w:pPr>
        <w:pStyle w:val="Heading1"/>
      </w:pPr>
      <w:r>
        <w:t>LES PAIEMENTS</w:t>
      </w:r>
    </w:p>
    <w:p>
      <w:r>
        <w:t>La plateforme indique toujours le montant exact à payer et la date limite. Chaque paiement accepté donne un reçu officiel, téléchargeable dans l’espace personnel.</w:t>
      </w:r>
    </w:p>
    <w:tbl>
      <w:tblPr>
        <w:tblStyle w:val="TableGrid"/>
        <w:tblW w:type="auto" w:w="0"/>
        <w:jc w:val="center"/>
        <w:tblLook w:firstColumn="1" w:firstRow="1" w:lastColumn="0" w:lastRow="0" w:noHBand="0" w:noVBand="1" w:val="04A0"/>
      </w:tblPr>
      <w:tblGrid>
        <w:gridCol w:w="4536"/>
        <w:gridCol w:w="4536"/>
      </w:tblGrid>
      <w:tr>
        <w:trPr>
          <w:tblHeader w:val="true"/>
          <w:cantSplit w:val="true"/>
        </w:trPr>
        <w:tc>
          <w:tcPr>
            <w:tcW w:type="dxa" w:w="2551"/>
            <w:shd w:val="clear" w:color="auto" w:fill="D9D9D9"/>
          </w:tcPr>
          <w:p>
            <w:pPr>
              <w:spacing w:line="240" w:lineRule="auto" w:after="60"/>
              <w:jc w:val="left"/>
            </w:pPr>
            <w:r/>
            <w:r>
              <w:rPr>
                <w:rFonts w:ascii="Times New Roman" w:hAnsi="Times New Roman"/>
                <w:b/>
                <w:sz w:val="24"/>
              </w:rPr>
              <w:t>Moyen de paiement</w:t>
            </w:r>
          </w:p>
        </w:tc>
        <w:tc>
          <w:tcPr>
            <w:tcW w:type="dxa" w:w="6520"/>
            <w:shd w:val="clear" w:color="auto" w:fill="D9D9D9"/>
          </w:tcPr>
          <w:p>
            <w:pPr>
              <w:spacing w:line="240" w:lineRule="auto" w:after="60"/>
              <w:jc w:val="left"/>
            </w:pPr>
            <w:r/>
            <w:r>
              <w:rPr>
                <w:rFonts w:ascii="Times New Roman" w:hAnsi="Times New Roman"/>
                <w:b/>
                <w:sz w:val="24"/>
              </w:rPr>
              <w:t>Fonctionnement</w:t>
            </w:r>
          </w:p>
        </w:tc>
      </w:tr>
      <w:tr>
        <w:trPr>
          <w:cantSplit w:val="true"/>
        </w:trPr>
        <w:tc>
          <w:tcPr>
            <w:tcW w:type="dxa" w:w="2551"/>
          </w:tcPr>
          <w:p>
            <w:pPr>
              <w:spacing w:line="240" w:lineRule="auto" w:after="60"/>
              <w:jc w:val="left"/>
            </w:pPr>
            <w:r/>
            <w:r>
              <w:rPr>
                <w:rFonts w:ascii="Times New Roman" w:hAnsi="Times New Roman"/>
                <w:b/>
                <w:sz w:val="24"/>
              </w:rPr>
              <w:t>Virement bancaire</w:t>
            </w:r>
          </w:p>
        </w:tc>
        <w:tc>
          <w:tcPr>
            <w:tcW w:type="dxa" w:w="6520"/>
          </w:tcPr>
          <w:p>
            <w:pPr>
              <w:spacing w:line="240" w:lineRule="auto" w:after="60"/>
              <w:jc w:val="left"/>
            </w:pPr>
            <w:r/>
            <w:r>
              <w:rPr>
                <w:rFonts w:ascii="Times New Roman" w:hAnsi="Times New Roman"/>
                <w:b w:val="0"/>
                <w:sz w:val="24"/>
              </w:rPr>
              <w:t>La plateforme fournit le compte, le montant exact et une référence. Le citoyen dépose la preuve du virement dans son espace. Le contrôleur des paiements la vérifie avant d’enregistrer le paiement.</w:t>
            </w:r>
          </w:p>
        </w:tc>
      </w:tr>
      <w:tr>
        <w:trPr>
          <w:cantSplit w:val="true"/>
        </w:trPr>
        <w:tc>
          <w:tcPr>
            <w:tcW w:type="dxa" w:w="2551"/>
          </w:tcPr>
          <w:p>
            <w:pPr>
              <w:spacing w:line="240" w:lineRule="auto" w:after="60"/>
              <w:jc w:val="left"/>
            </w:pPr>
            <w:r/>
            <w:r>
              <w:rPr>
                <w:rFonts w:ascii="Times New Roman" w:hAnsi="Times New Roman"/>
                <w:b/>
                <w:sz w:val="24"/>
              </w:rPr>
              <w:t>Mobile money</w:t>
            </w:r>
          </w:p>
        </w:tc>
        <w:tc>
          <w:tcPr>
            <w:tcW w:type="dxa" w:w="6520"/>
          </w:tcPr>
          <w:p>
            <w:pPr>
              <w:spacing w:line="240" w:lineRule="auto" w:after="60"/>
              <w:jc w:val="left"/>
            </w:pPr>
            <w:r/>
            <w:r>
              <w:rPr>
                <w:rFonts w:ascii="Times New Roman" w:hAnsi="Times New Roman"/>
                <w:b w:val="0"/>
                <w:sz w:val="24"/>
              </w:rPr>
              <w:t>Paiement depuis le téléphone du citoyen auprès de l’opérateur.</w:t>
            </w:r>
          </w:p>
        </w:tc>
      </w:tr>
      <w:tr>
        <w:trPr>
          <w:cantSplit w:val="true"/>
        </w:trPr>
        <w:tc>
          <w:tcPr>
            <w:tcW w:type="dxa" w:w="2551"/>
          </w:tcPr>
          <w:p>
            <w:pPr>
              <w:spacing w:line="240" w:lineRule="auto" w:after="60"/>
              <w:jc w:val="left"/>
            </w:pPr>
            <w:r/>
            <w:r>
              <w:rPr>
                <w:rFonts w:ascii="Times New Roman" w:hAnsi="Times New Roman"/>
                <w:b/>
                <w:sz w:val="24"/>
              </w:rPr>
              <w:t>Carte bancaire</w:t>
            </w:r>
          </w:p>
        </w:tc>
        <w:tc>
          <w:tcPr>
            <w:tcW w:type="dxa" w:w="6520"/>
          </w:tcPr>
          <w:p>
            <w:pPr>
              <w:spacing w:line="240" w:lineRule="auto" w:after="60"/>
              <w:jc w:val="left"/>
            </w:pPr>
            <w:r/>
            <w:r>
              <w:rPr>
                <w:rFonts w:ascii="Times New Roman" w:hAnsi="Times New Roman"/>
                <w:b w:val="0"/>
                <w:sz w:val="24"/>
              </w:rPr>
              <w:t>Paiement sur la page sécurisée du prestataire. Aucun numéro de carte ne transite par Raaga ni n’y est conservé.</w:t>
            </w:r>
          </w:p>
        </w:tc>
      </w:tr>
    </w:tbl>
    <w:p>
      <w:pPr>
        <w:spacing w:after="0"/>
      </w:pPr>
    </w:p>
    <w:p>
      <w:r>
        <w:t>Les moyens de paiement proposés sont choisis pour chaque campagne. Les sommes de location sont versées sur le compte de location, distinct du compte des investissements. Les remboursements sont suivis par le contrôleur des paiements et confirmés par le validateur.</w:t>
      </w:r>
    </w:p>
    <w:p>
      <w:pPr>
        <w:pStyle w:val="Heading1"/>
      </w:pPr>
      <w:r>
        <w:t>L’INVESTISSEMENT DANS RAAGA</w:t>
      </w:r>
    </w:p>
    <w:p>
      <w:r>
        <w:t>La démarche « Investir » permet au citoyen de devenir actionnaire du marché. Elle s’ouvre sur décision des autorités, indépendamment des boutiques.</w:t>
      </w:r>
    </w:p>
    <w:p>
      <w:r>
        <w:t>Les actions sont proposées par tranches. Chaque tranche fixe la valeur de l’action, le minimum par souscription, l’objectif de collecte, la période et les publics autorisés. Le citoyen choisit le nombre d’actions, accepte quatre engagements, puis paie. À la clôture, le validateur exécute l’allocation des actions, et chaque actionnaire reçoit son attestation.</w:t>
      </w:r>
    </w:p>
    <w:p>
      <w:r>
        <w:t>Les dividendes décidés par l’assemblée générale sont calculés par la plateforme et versés aux actionnaires. Un actionnaire dont l’identité n’est pas validée dans le délai de 48 heures après l’alerte voit ses actions gelées : attestation et carte d’actionnaire bloquées, dividendes toujours versés. Le gel est levé dès la validation de l’identité.</w:t>
      </w:r>
    </w:p>
    <w:p>
      <w:r>
        <w:t>Les investisseurs institutionnels disposent d’un espace distinct, avec des conventions suivies selon le même circuit de saisie et de confirmation.</w:t>
      </w:r>
    </w:p>
    <w:p>
      <w:pPr>
        <w:pStyle w:val="Heading1"/>
      </w:pPr>
      <w:r>
        <w:t>LE BACK-OFFICE ET LA GOUVERNANCE</w:t>
      </w:r>
    </w:p>
    <w:p>
      <w:pPr>
        <w:pStyle w:val="Heading2"/>
      </w:pPr>
      <w:r>
        <w:t>Le circuit des décisions</w:t>
      </w:r>
    </w:p>
    <w:p>
      <w:r>
        <w:t>Tout paramètre qui engage de l’argent ou des droits suit le même circuit. Le régulateur saisit et soumet ; le validateur confirme ou rejette avec un motif. Un paramètre ne s’applique qu’après confirmation. Chaque version est datée, signée et conservée, ce qui permet de retrouver à tout moment la règle en vigueur à une date donnée.</w:t>
      </w:r>
    </w:p>
    <w:p>
      <w:r>
        <w:t>Une campagne ouverte peut être modifiée par avenant, dans des limites précises : date de clôture, présentation, délais, moyens de paiement et ajout de boutiques. L’avenant suit le même circuit de confirmation.</w:t>
      </w:r>
    </w:p>
    <w:p>
      <w:pPr>
        <w:pStyle w:val="Heading2"/>
      </w:pPr>
      <w:r>
        <w:t>Les paramètres de la plateforme</w:t>
      </w:r>
    </w:p>
    <w:p>
      <w:r>
        <w:t>Les agents habilités règlent les délais de paiement, les textes légaux, les messages affichés sur le site, le numéro vert et l’identité visuelle. Les textes légaux sont rédigés par un administrateur et publiés par un super administrateur, jamais par leur propre auteur.</w:t>
      </w:r>
    </w:p>
    <w:p>
      <w:pPr>
        <w:pStyle w:val="Heading2"/>
      </w:pPr>
      <w:r>
        <w:t>Le suivi</w:t>
      </w:r>
    </w:p>
    <w:p>
      <w:r>
        <w:t>Chaque agent dispose d’un tableau de bord adapté à son rôle. Les listes peuvent être exportées. Le journal d’audit enregistre chaque action d’un agent : qui, quoi et quand.</w:t>
      </w:r>
    </w:p>
    <w:p>
      <w:pPr>
        <w:pStyle w:val="Heading1"/>
      </w:pPr>
      <w:r>
        <w:t>SÉCURITÉ ET PROTECTION DES DONNÉES</w:t>
      </w:r>
    </w:p>
    <w:p>
      <w:pPr>
        <w:pStyle w:val="ListBullet"/>
      </w:pPr>
      <w:r>
        <w:t>les agents se connectent avec une adresse électronique, un mot de passe d’au moins douze caractères et un second facteur d’authentification ;</w:t>
      </w:r>
    </w:p>
    <w:p>
      <w:pPr>
        <w:pStyle w:val="ListBullet"/>
      </w:pPr>
      <w:r>
        <w:t>chaque écran et chaque action du back-office ne sont accessibles qu’aux rôles autorisés ;</w:t>
      </w:r>
    </w:p>
    <w:p>
      <w:pPr>
        <w:pStyle w:val="ListBullet"/>
      </w:pPr>
      <w:r>
        <w:t>les pièces d’identité sont conservées dans un espace privé, consultable seulement par les agents habilités ;</w:t>
      </w:r>
    </w:p>
    <w:p>
      <w:pPr>
        <w:pStyle w:val="ListBullet"/>
      </w:pPr>
      <w:r>
        <w:t>le site public ne publie aucune donnée personnelle : seul le statut des boutiques est visible ;</w:t>
      </w:r>
    </w:p>
    <w:p>
      <w:pPr>
        <w:pStyle w:val="ListBullet"/>
      </w:pPr>
      <w:r>
        <w:t>les reçus et les cartes d’accès portent un code qui permet d’en vérifier l’authenticité ;</w:t>
      </w:r>
    </w:p>
    <w:p>
      <w:pPr>
        <w:pStyle w:val="ListBullet"/>
      </w:pPr>
      <w:r>
        <w:t>les accès des opérateurs de paiement et de SMS ne sont jamais enregistrés dans la base de données.</w:t>
      </w:r>
    </w:p>
    <w:p>
      <w:pPr>
        <w:pStyle w:val="Heading1"/>
      </w:pPr>
      <w:r>
        <w:t>MISE EN SERVICE</w:t>
      </w:r>
    </w:p>
    <w:p>
      <w:r>
        <w:t>La plateforme est construite et ses 764 contrôles automatisés sont réussis. Avant l’ouverture au public, les opérations suivantes doivent être réalisées :</w:t>
      </w:r>
    </w:p>
    <w:p>
      <w:pPr>
        <w:pStyle w:val="ListBullet"/>
      </w:pPr>
      <w:r>
        <w:t>le raccordement d’un opérateur SMS, indispensable à la connexion des citoyens et aux alertes ;</w:t>
      </w:r>
    </w:p>
    <w:p>
      <w:pPr>
        <w:pStyle w:val="ListBullet"/>
      </w:pPr>
      <w:r>
        <w:t>le raccordement des opérateurs de mobile money et du prestataire de paiement par carte ;</w:t>
      </w:r>
    </w:p>
    <w:p>
      <w:pPr>
        <w:pStyle w:val="ListBullet"/>
      </w:pPr>
      <w:r>
        <w:t>l’installation sur l’hébergement définitif, avec l’exécution automatique des délais ;</w:t>
      </w:r>
    </w:p>
    <w:p>
      <w:pPr>
        <w:pStyle w:val="ListBullet"/>
      </w:pPr>
      <w:r>
        <w:t>la confirmation officielle de la campagne, de la grille tarifaire et des textes légaux.</w:t>
      </w:r>
    </w:p>
    <w:p>
      <w:r>
        <w:t>Le virement bancaire, contrôlé par le back-office, est le moyen de paiement disponible dès l’ouverture.</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t xml:space="preserve">Page </w:t>
    </w:r>
    <w:r>
      <w:rPr>
        <w:rFonts w:ascii="Times New Roman" w:hAnsi="Times New Roman"/>
        <w:sz w:val="24"/>
      </w:rPr>
      <w:fldChar w:fldCharType="begin"/>
      <w:instrText xml:space="preserve"> PAGE </w:instrText>
      <w:fldChar w:fldCharType="separate"/>
      <w:t>1</w:t>
      <w:fldChar w:fldCharType="end"/>
    </w:r>
    <w:r>
      <w:rPr>
        <w:rFonts w:ascii="Times New Roman" w:hAnsi="Times New Roman"/>
        <w:sz w:val="24"/>
      </w:rPr>
      <w:t xml:space="preserve"> sur </w:t>
    </w:r>
    <w:r>
      <w:rPr>
        <w:rFonts w:ascii="Times New Roman" w:hAnsi="Times New Roman"/>
        <w:sz w:val="24"/>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s="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jc w:val="both"/>
    </w:pPr>
    <w:rPr>
      <w:rFonts w:ascii="Times New Roman" w:hAnsi="Times New Roman" w:cs="Times New Roman" w:eastAsia="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jc w:val="both"/>
    </w:pPr>
    <w:rPr>
      <w:rFonts w:ascii="Times New Roman" w:hAnsi="Times New Roman" w:cs="Times New Roman" w:eastAsia="Times New Roman"/>
      <w:b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Fonctionnement de la plateforme Raaga</dc:title>
  <dc:subject/>
  <dc:creator>Raaga</dc:creator>
  <cp:keywords/>
  <dc:description/>
  <cp:lastModifiedBy>Raaga</cp:lastModifiedBy>
  <cp:revision>1</cp:revision>
  <dcterms:created xsi:type="dcterms:W3CDTF">2013-12-23T23:15:00Z</dcterms:created>
  <dcterms:modified xsi:type="dcterms:W3CDTF">2013-12-23T23:15:00Z</dcterms:modified>
  <cp:category/>
</cp:coreProperties>
</file>