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000"/>
      </w:pPr>
    </w:p>
    <w:p>
      <w:pPr>
        <w:jc w:val="center"/>
      </w:pPr>
      <w:r>
        <w:rPr>
          <w:rFonts w:ascii="Arial" w:cs="Arial" w:eastAsia="Arial" w:hAnsi="Arial"/>
          <w:b/>
          <w:bCs/>
          <w:color w:val="1A237E"/>
          <w:sz w:val="36"/>
          <w:szCs w:val="36"/>
        </w:rPr>
        <w:t xml:space="preserve">СОПРОВОДИТЕЛЬНАЯ ЗАПИСКА</w:t>
      </w:r>
    </w:p>
    <w:p>
      <w:pPr>
        <w:spacing w:before="100" w:after="100"/>
      </w:pPr>
    </w:p>
    <w:p>
      <w:pPr>
        <w:jc w:val="center"/>
      </w:pPr>
      <w:r>
        <w:rPr>
          <w:rFonts w:ascii="Arial" w:cs="Arial" w:eastAsia="Arial" w:hAnsi="Arial"/>
          <w:b/>
          <w:bCs/>
          <w:sz w:val="30"/>
          <w:szCs w:val="30"/>
        </w:rPr>
        <w:t xml:space="preserve">Подсистема работы с партнёрами</w:t>
      </w:r>
    </w:p>
    <w:p>
      <w:pPr>
        <w:jc w:val="center"/>
      </w:pPr>
      <w:r>
        <w:rPr>
          <w:rFonts w:ascii="Arial" w:cs="Arial" w:eastAsia="Arial" w:hAnsi="Arial"/>
          <w:color w:val="757575"/>
          <w:sz w:val="26"/>
          <w:szCs w:val="26"/>
        </w:rPr>
        <w:t xml:space="preserve">Производственная компания «Мастер пол»</w:t>
      </w:r>
    </w:p>
    <w:p>
      <w:pPr>
        <w:spacing w:before="3000"/>
      </w:pPr>
    </w:p>
    <w:p>
      <w:pPr>
        <w:jc w:val="center"/>
      </w:pPr>
      <w:r>
        <w:rPr>
          <w:rFonts w:ascii="Arial" w:cs="Arial" w:eastAsia="Arial" w:hAnsi="Arial"/>
          <w:sz w:val="22"/>
          <w:szCs w:val="22"/>
        </w:rPr>
        <w:t xml:space="preserve">Технология: WPF + Entity Framework Core + PostgreSQL</w:t>
      </w:r>
    </w:p>
    <w:p>
      <w:pPr>
        <w:jc w:val="center"/>
      </w:pPr>
      <w:r>
        <w:rPr>
          <w:rFonts w:ascii="Arial" w:cs="Arial" w:eastAsia="Arial" w:hAnsi="Arial"/>
          <w:sz w:val="22"/>
          <w:szCs w:val="22"/>
        </w:rPr>
        <w:t xml:space="preserve">Язык программирования: C#  (.NET 8)</w:t>
      </w:r>
    </w:p>
    <w:p>
      <w:pPr>
        <w:jc w:val="center"/>
      </w:pPr>
      <w:r>
        <w:rPr>
          <w:rFonts w:ascii="Arial" w:cs="Arial" w:eastAsia="Arial" w:hAnsi="Arial"/>
          <w:sz w:val="22"/>
          <w:szCs w:val="22"/>
        </w:rPr>
        <w:t xml:space="preserve">СУБД: PostgreSQL 16</w:t>
      </w:r>
    </w:p>
    <w:p>
      <w:pPr>
        <w:spacing w:before="3000"/>
      </w:pPr>
    </w:p>
    <w:p>
      <w:pPr>
        <w:jc w:val="center"/>
      </w:pPr>
      <w:r>
        <w:rPr>
          <w:rFonts w:ascii="Arial" w:cs="Arial" w:eastAsia="Arial" w:hAnsi="Arial"/>
          <w:color w:val="757575"/>
          <w:sz w:val="22"/>
          <w:szCs w:val="22"/>
        </w:rPr>
        <w:t xml:space="preserve">2026 г.</w:t>
      </w:r>
    </w:p>
    <w:p>
      <w:r>
        <w:br w:type="page"/>
      </w:r>
    </w:p>
    <w:p>
      <w:pPr>
        <w:sectPr>
          <w:pgSz w:w="11906" w:h="16838" w:orient="portrait"/>
          <w:pgMar w:top="1440" w:right="1440" w:bottom="1440" w:left="1800" w:header="708" w:footer="708" w:gutter="0"/>
          <w:pgNumType/>
          <w:docGrid w:linePitch="360"/>
        </w:sectPr>
      </w:pP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color w:val="1A237E"/>
          <w:sz w:val="32"/>
          <w:szCs w:val="32"/>
        </w:rPr>
        <w:t xml:space="preserve">Оглавление</w:t>
      </w:r>
    </w:p>
    <w:p>
      <w:pPr>
        <w:spacing w:before="80" w:after="80"/>
        <w:jc w:val="both"/>
      </w:pPr>
      <w:r>
        <w:rPr>
          <w:rFonts w:ascii="Arial" w:cs="Arial" w:eastAsia="Arial" w:hAnsi="Arial"/>
          <w:sz w:val="22"/>
          <w:szCs w:val="22"/>
        </w:rPr>
        <w:t xml:space="preserve">1. Введение</w:t>
      </w:r>
    </w:p>
    <w:p>
      <w:pPr>
        <w:spacing w:before="80" w:after="80"/>
        <w:jc w:val="both"/>
      </w:pPr>
      <w:r>
        <w:rPr>
          <w:rFonts w:ascii="Arial" w:cs="Arial" w:eastAsia="Arial" w:hAnsi="Arial"/>
          <w:sz w:val="22"/>
          <w:szCs w:val="22"/>
        </w:rPr>
        <w:t xml:space="preserve">2. Описание предметной области</w:t>
      </w:r>
    </w:p>
    <w:p>
      <w:pPr>
        <w:spacing w:before="80" w:after="80"/>
        <w:jc w:val="both"/>
      </w:pPr>
      <w:r>
        <w:rPr>
          <w:rFonts w:ascii="Arial" w:cs="Arial" w:eastAsia="Arial" w:hAnsi="Arial"/>
          <w:sz w:val="22"/>
          <w:szCs w:val="22"/>
        </w:rPr>
        <w:t xml:space="preserve">3. Схема базы данных</w:t>
      </w:r>
    </w:p>
    <w:p>
      <w:pPr>
        <w:spacing w:before="80" w:after="80"/>
        <w:jc w:val="both"/>
      </w:pPr>
      <w:r>
        <w:rPr>
          <w:rFonts w:ascii="Arial" w:cs="Arial" w:eastAsia="Arial" w:hAnsi="Arial"/>
          <w:sz w:val="22"/>
          <w:szCs w:val="22"/>
        </w:rPr>
        <w:t xml:space="preserve">4. Диаграмма классов</w:t>
      </w:r>
    </w:p>
    <w:p>
      <w:pPr>
        <w:spacing w:before="80" w:after="80"/>
        <w:jc w:val="both"/>
      </w:pPr>
      <w:r>
        <w:rPr>
          <w:rFonts w:ascii="Arial" w:cs="Arial" w:eastAsia="Arial" w:hAnsi="Arial"/>
          <w:sz w:val="22"/>
          <w:szCs w:val="22"/>
        </w:rPr>
        <w:t xml:space="preserve">5. Функциональные возможности системы</w:t>
      </w:r>
    </w:p>
    <w:p>
      <w:pPr>
        <w:spacing w:before="80" w:after="80"/>
        <w:jc w:val="both"/>
      </w:pPr>
      <w:r>
        <w:rPr>
          <w:rFonts w:ascii="Arial" w:cs="Arial" w:eastAsia="Arial" w:hAnsi="Arial"/>
          <w:sz w:val="22"/>
          <w:szCs w:val="22"/>
        </w:rPr>
        <w:t xml:space="preserve">6. Алгоритм расчёта скидки</w:t>
      </w:r>
    </w:p>
    <w:p>
      <w:pPr>
        <w:spacing w:before="80" w:after="80"/>
        <w:jc w:val="both"/>
      </w:pPr>
      <w:r>
        <w:rPr>
          <w:rFonts w:ascii="Arial" w:cs="Arial" w:eastAsia="Arial" w:hAnsi="Arial"/>
          <w:sz w:val="22"/>
          <w:szCs w:val="22"/>
        </w:rPr>
        <w:t xml:space="preserve">7. Описание выполненных действий</w:t>
      </w:r>
    </w:p>
    <w:p>
      <w:pPr>
        <w:spacing w:before="80" w:after="80"/>
        <w:jc w:val="both"/>
      </w:pPr>
      <w:r>
        <w:rPr>
          <w:rFonts w:ascii="Arial" w:cs="Arial" w:eastAsia="Arial" w:hAnsi="Arial"/>
          <w:sz w:val="22"/>
          <w:szCs w:val="22"/>
        </w:rPr>
        <w:t xml:space="preserve">8. Модульные тесты</w:t>
      </w:r>
    </w:p>
    <w:p>
      <w:r>
        <w:br w:type="page"/>
      </w: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color w:val="1A237E"/>
          <w:sz w:val="32"/>
          <w:szCs w:val="32"/>
        </w:rPr>
        <w:t xml:space="preserve">1. Введение</w:t>
      </w:r>
    </w:p>
    <w:p>
      <w:pPr>
        <w:spacing w:before="80" w:after="80"/>
        <w:jc w:val="both"/>
      </w:pPr>
      <w:r>
        <w:rPr>
          <w:rFonts w:ascii="Arial" w:cs="Arial" w:eastAsia="Arial" w:hAnsi="Arial"/>
          <w:sz w:val="22"/>
          <w:szCs w:val="22"/>
        </w:rPr>
        <w:t xml:space="preserve">Настоящая записка описывает разработанную подсистему для работы с партнёрами производственной компании «Мастер пол», выпускающей напольные покрытия.</w:t>
      </w:r>
    </w:p>
    <w:p>
      <w:pPr>
        <w:spacing w:before="80" w:after="80"/>
        <w:jc w:val="both"/>
      </w:pPr>
      <w:r>
        <w:rPr>
          <w:rFonts w:ascii="Arial" w:cs="Arial" w:eastAsia="Arial" w:hAnsi="Arial"/>
          <w:sz w:val="22"/>
          <w:szCs w:val="22"/>
        </w:rPr>
        <w:t xml:space="preserve">Подсистема реализована с использованием следующего стека технологий: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Язык программирования: C# (.NET 8)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Технология интерфейса: Windows Presentation Foundation (WPF)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ORM: Entity Framework Core 8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СУБД: PostgreSQL 16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IDE: Microsoft Visual Studio 2022</w:t>
      </w:r>
    </w:p>
    <w:p>
      <w:pPr>
        <w:spacing w:before="100" w:after="100"/>
      </w:pPr>
    </w:p>
    <w:p>
      <w:pPr>
        <w:spacing w:before="80" w:after="80"/>
        <w:jc w:val="both"/>
      </w:pPr>
      <w:r>
        <w:rPr>
          <w:rFonts w:ascii="Arial" w:cs="Arial" w:eastAsia="Arial" w:hAnsi="Arial"/>
          <w:sz w:val="22"/>
          <w:szCs w:val="22"/>
        </w:rPr>
        <w:t xml:space="preserve">Подсистема обеспечивает следующий функционал: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Просмотр списка партнёров с расчётом индивидуальной скидки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Добавление и редактирование данных о партнёре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Просмотр истории реализации продукции партнёром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Удаление партнёра с подтверждением</w:t>
      </w:r>
    </w:p>
    <w:p>
      <w:r>
        <w:br w:type="page"/>
      </w: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color w:val="1A237E"/>
          <w:sz w:val="32"/>
          <w:szCs w:val="32"/>
        </w:rPr>
        <w:t xml:space="preserve">2. Описание предметной области</w:t>
      </w:r>
    </w:p>
    <w:p>
      <w:pPr>
        <w:spacing w:before="80" w:after="80"/>
        <w:jc w:val="both"/>
      </w:pPr>
      <w:r>
        <w:rPr>
          <w:rFonts w:ascii="Arial" w:cs="Arial" w:eastAsia="Arial" w:hAnsi="Arial"/>
          <w:sz w:val="22"/>
          <w:szCs w:val="22"/>
        </w:rPr>
        <w:t xml:space="preserve">Компания «Мастер пол» производит и реализует напольные покрытия через сеть партнёров: розничные и оптовые магазины, интернет-магазины, другие торговые компании. Для мотивации партнёров к увеличению объёма продаж применяется система накопительных скидок, зависящих от общего количества реализованной продукции.</w:t>
      </w:r>
    </w:p>
    <w:p>
      <w:pPr>
        <w:spacing w:before="100" w:after="100"/>
      </w:pPr>
    </w:p>
    <w:p>
      <w:pPr>
        <w:spacing w:before="80" w:after="80"/>
        <w:jc w:val="both"/>
      </w:pPr>
      <w:r>
        <w:rPr>
          <w:rFonts w:ascii="Arial" w:cs="Arial" w:eastAsia="Arial" w:hAnsi="Arial"/>
          <w:sz w:val="22"/>
          <w:szCs w:val="22"/>
        </w:rPr>
        <w:t xml:space="preserve">Для целей разрабатываемой подсистемы выделены следующие основные сущности: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Тип партнёра (ЗАО, ООО, ПАО, ОАО) — справочник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Партнёр — наименование, тип, ИНН, юридический адрес, директор, телефон, email, рейтинг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Продукция — артикул, наименование, тип, минимальная цена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История реализации — записи о продажах: партнёр, продукт, количество, дата</w:t>
      </w:r>
    </w:p>
    <w:p>
      <w:r>
        <w:br w:type="page"/>
      </w: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color w:val="1A237E"/>
          <w:sz w:val="32"/>
          <w:szCs w:val="32"/>
        </w:rPr>
        <w:t xml:space="preserve">3. Схема базы данных</w:t>
      </w:r>
    </w:p>
    <w:p>
      <w:pPr>
        <w:spacing w:before="80" w:after="80"/>
        <w:jc w:val="both"/>
      </w:pPr>
      <w:r>
        <w:rPr>
          <w:rFonts w:ascii="Arial" w:cs="Arial" w:eastAsia="Arial" w:hAnsi="Arial"/>
          <w:sz w:val="22"/>
          <w:szCs w:val="22"/>
        </w:rPr>
        <w:t xml:space="preserve">База данных создана в PostgreSQL 16. Для работы приложения используется схема app, владелец которой — роль app (пароль: 123456789). Все объекты (таблицы, последовательности) принадлежат этой схеме.</w:t>
      </w:r>
    </w:p>
    <w:p>
      <w:pPr>
        <w:spacing w:before="100" w:after="100"/>
      </w:pPr>
    </w:p>
    <w:p>
      <w:pPr>
        <w:spacing w:before="80" w:after="80"/>
        <w:jc w:val="both"/>
      </w:pPr>
      <w:r>
        <w:rPr>
          <w:rFonts w:ascii="Arial" w:cs="Arial" w:eastAsia="Arial" w:hAnsi="Arial"/>
          <w:sz w:val="22"/>
          <w:szCs w:val="22"/>
        </w:rPr>
        <w:t xml:space="preserve">Структура базы данных удовлетворяет требованиям третьей нормальной формы (3НФ) и обеспечивает ссылочную целостность посредством внешних ключей.</w:t>
      </w:r>
    </w:p>
    <w:p>
      <w:pPr>
        <w:spacing w:before="100" w:after="100"/>
      </w:pPr>
    </w:p>
    <w:p>
      <w:pPr>
        <w:pStyle w:val="Heading2"/>
        <w:spacing w:before="300" w:after="160"/>
      </w:pPr>
      <w:r>
        <w:rPr>
          <w:rFonts w:ascii="Arial" w:cs="Arial" w:eastAsia="Arial" w:hAnsi="Arial"/>
          <w:b/>
          <w:bCs/>
          <w:color w:val="1A237E"/>
          <w:sz w:val="26"/>
          <w:szCs w:val="26"/>
        </w:rPr>
        <w:t xml:space="preserve">3.1. Таблицы</w:t>
      </w:r>
    </w:p>
    <w:p>
      <w:pPr>
        <w:spacing w:before="100" w:after="100"/>
      </w:pPr>
    </w:p>
    <w:p>
      <w:pPr>
        <w:spacing w:before="200" w:after="120"/>
      </w:pPr>
      <w:r>
        <w:rPr>
          <w:rFonts w:ascii="Arial" w:cs="Arial" w:eastAsia="Arial" w:hAnsi="Arial"/>
          <w:b/>
          <w:bCs/>
          <w:color w:val="333333"/>
          <w:sz w:val="24"/>
          <w:szCs w:val="24"/>
        </w:rPr>
        <w:t xml:space="preserve">Таблица partner_types — типы партнёров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2500"/>
        <w:gridCol w:w="4026"/>
      </w:tblGrid>
      <w:tr>
        <w:trPr>
          <w:tblHeader/>
        </w:trPr>
        <w:tc>
          <w:tcPr>
            <w:tcW w:type="dxa" w:w="2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A237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Поле</w:t>
            </w:r>
          </w:p>
        </w:tc>
        <w:tc>
          <w:tcPr>
            <w:tcW w:type="dxa" w:w="2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A237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Тип данных</w:t>
            </w:r>
          </w:p>
        </w:tc>
        <w:tc>
          <w:tcPr>
            <w:tcW w:type="dxa" w:w="40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A237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Описание</w:t>
            </w:r>
          </w:p>
        </w:tc>
      </w:tr>
      <w:tr>
        <w:tc>
          <w:tcPr>
            <w:tcW w:type="dxa" w:w="2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id</w:t>
            </w:r>
          </w:p>
        </w:tc>
        <w:tc>
          <w:tcPr>
            <w:tcW w:type="dxa" w:w="2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SERIAL (PK)</w:t>
            </w:r>
          </w:p>
        </w:tc>
        <w:tc>
          <w:tcPr>
            <w:tcW w:type="dxa" w:w="40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Первичный ключ</w:t>
            </w:r>
          </w:p>
        </w:tc>
      </w:tr>
      <w:tr>
        <w:tc>
          <w:tcPr>
            <w:tcW w:type="dxa" w:w="2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EA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type_name</w:t>
            </w:r>
          </w:p>
        </w:tc>
        <w:tc>
          <w:tcPr>
            <w:tcW w:type="dxa" w:w="2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EA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VARCHAR(100) UNIQUE NOT NULL</w:t>
            </w:r>
          </w:p>
        </w:tc>
        <w:tc>
          <w:tcPr>
            <w:tcW w:type="dxa" w:w="40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EA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Наименование типа</w:t>
            </w:r>
          </w:p>
        </w:tc>
      </w:tr>
    </w:tbl>
    <w:p>
      <w:pPr>
        <w:spacing w:before="100" w:after="100"/>
      </w:pPr>
    </w:p>
    <w:p>
      <w:pPr>
        <w:spacing w:before="200" w:after="120"/>
      </w:pPr>
      <w:r>
        <w:rPr>
          <w:rFonts w:ascii="Arial" w:cs="Arial" w:eastAsia="Arial" w:hAnsi="Arial"/>
          <w:b/>
          <w:bCs/>
          <w:color w:val="333333"/>
          <w:sz w:val="24"/>
          <w:szCs w:val="24"/>
        </w:rPr>
        <w:t xml:space="preserve">Таблица partners — партнёры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600"/>
        <w:gridCol w:w="4226"/>
      </w:tblGrid>
      <w:tr>
        <w:trPr>
          <w:tblHeader/>
        </w:trP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A237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Поле</w:t>
            </w:r>
          </w:p>
        </w:tc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A237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Тип данных</w:t>
            </w:r>
          </w:p>
        </w:tc>
        <w:tc>
          <w:tcPr>
            <w:tcW w:type="dxa" w:w="42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A237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Описание</w:t>
            </w:r>
          </w:p>
        </w:tc>
      </w:tr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id</w:t>
            </w:r>
          </w:p>
        </w:tc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SERIAL (PK)</w:t>
            </w:r>
          </w:p>
        </w:tc>
        <w:tc>
          <w:tcPr>
            <w:tcW w:type="dxa" w:w="42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Первичный ключ</w:t>
            </w:r>
          </w:p>
        </w:tc>
      </w:tr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EA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type_id</w:t>
            </w:r>
          </w:p>
        </w:tc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EA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INTEGER (FK)</w:t>
            </w:r>
          </w:p>
        </w:tc>
        <w:tc>
          <w:tcPr>
            <w:tcW w:type="dxa" w:w="42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EA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Ссылка на partner_types</w:t>
            </w:r>
          </w:p>
        </w:tc>
      </w:tr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company_name</w:t>
            </w:r>
          </w:p>
        </w:tc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VARCHAR(255) NOT NULL</w:t>
            </w:r>
          </w:p>
        </w:tc>
        <w:tc>
          <w:tcPr>
            <w:tcW w:type="dxa" w:w="42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Наименование компании</w:t>
            </w:r>
          </w:p>
        </w:tc>
      </w:tr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EA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legal_address</w:t>
            </w:r>
          </w:p>
        </w:tc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EA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VARCHAR(500) NOT NULL</w:t>
            </w:r>
          </w:p>
        </w:tc>
        <w:tc>
          <w:tcPr>
            <w:tcW w:type="dxa" w:w="42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EA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Юридический адрес</w:t>
            </w:r>
          </w:p>
        </w:tc>
      </w:tr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inn</w:t>
            </w:r>
          </w:p>
        </w:tc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VARCHAR(12) UNIQUE</w:t>
            </w:r>
          </w:p>
        </w:tc>
        <w:tc>
          <w:tcPr>
            <w:tcW w:type="dxa" w:w="42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ИНН компании</w:t>
            </w:r>
          </w:p>
        </w:tc>
      </w:tr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EA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director_name</w:t>
            </w:r>
          </w:p>
        </w:tc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EA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VARCHAR(255) NOT NULL</w:t>
            </w:r>
          </w:p>
        </w:tc>
        <w:tc>
          <w:tcPr>
            <w:tcW w:type="dxa" w:w="42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EA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ФИО директора</w:t>
            </w:r>
          </w:p>
        </w:tc>
      </w:tr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phone</w:t>
            </w:r>
          </w:p>
        </w:tc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VARCHAR(20) NOT NULL</w:t>
            </w:r>
          </w:p>
        </w:tc>
        <w:tc>
          <w:tcPr>
            <w:tcW w:type="dxa" w:w="42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Контактный телефон</w:t>
            </w:r>
          </w:p>
        </w:tc>
      </w:tr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EA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email</w:t>
            </w:r>
          </w:p>
        </w:tc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EA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VARCHAR(255) NOT NULL</w:t>
            </w:r>
          </w:p>
        </w:tc>
        <w:tc>
          <w:tcPr>
            <w:tcW w:type="dxa" w:w="42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EA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Адрес эл. почты</w:t>
            </w:r>
          </w:p>
        </w:tc>
      </w:tr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rating</w:t>
            </w:r>
          </w:p>
        </w:tc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INTEGER &gt;= 0</w:t>
            </w:r>
          </w:p>
        </w:tc>
        <w:tc>
          <w:tcPr>
            <w:tcW w:type="dxa" w:w="42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Рейтинг партнёра</w:t>
            </w:r>
          </w:p>
        </w:tc>
      </w:tr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EA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logo_path</w:t>
            </w:r>
          </w:p>
        </w:tc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EA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VARCHAR(500) NULL</w:t>
            </w:r>
          </w:p>
        </w:tc>
        <w:tc>
          <w:tcPr>
            <w:tcW w:type="dxa" w:w="42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EA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Путь к логотипу</w:t>
            </w:r>
          </w:p>
        </w:tc>
      </w:tr>
    </w:tbl>
    <w:p>
      <w:pPr>
        <w:spacing w:before="100" w:after="100"/>
      </w:pPr>
    </w:p>
    <w:p>
      <w:pPr>
        <w:spacing w:before="200" w:after="120"/>
      </w:pPr>
      <w:r>
        <w:rPr>
          <w:rFonts w:ascii="Arial" w:cs="Arial" w:eastAsia="Arial" w:hAnsi="Arial"/>
          <w:b/>
          <w:bCs/>
          <w:color w:val="333333"/>
          <w:sz w:val="24"/>
          <w:szCs w:val="24"/>
        </w:rPr>
        <w:t xml:space="preserve">Таблица products — продукция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600"/>
        <w:gridCol w:w="4226"/>
      </w:tblGrid>
      <w:tr>
        <w:trPr>
          <w:tblHeader/>
        </w:trP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A237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Поле</w:t>
            </w:r>
          </w:p>
        </w:tc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A237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Тип данных</w:t>
            </w:r>
          </w:p>
        </w:tc>
        <w:tc>
          <w:tcPr>
            <w:tcW w:type="dxa" w:w="42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A237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Описание</w:t>
            </w:r>
          </w:p>
        </w:tc>
      </w:tr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id</w:t>
            </w:r>
          </w:p>
        </w:tc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SERIAL (PK)</w:t>
            </w:r>
          </w:p>
        </w:tc>
        <w:tc>
          <w:tcPr>
            <w:tcW w:type="dxa" w:w="42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Первичный ключ</w:t>
            </w:r>
          </w:p>
        </w:tc>
      </w:tr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EA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article</w:t>
            </w:r>
          </w:p>
        </w:tc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EA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VARCHAR(50) UNIQUE</w:t>
            </w:r>
          </w:p>
        </w:tc>
        <w:tc>
          <w:tcPr>
            <w:tcW w:type="dxa" w:w="42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EA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Артикул продукции</w:t>
            </w:r>
          </w:p>
        </w:tc>
      </w:tr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product_name</w:t>
            </w:r>
          </w:p>
        </w:tc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VARCHAR(255) NOT NULL</w:t>
            </w:r>
          </w:p>
        </w:tc>
        <w:tc>
          <w:tcPr>
            <w:tcW w:type="dxa" w:w="42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Наименование продукции</w:t>
            </w:r>
          </w:p>
        </w:tc>
      </w:tr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EA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product_type</w:t>
            </w:r>
          </w:p>
        </w:tc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EA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VARCHAR(100) NOT NULL</w:t>
            </w:r>
          </w:p>
        </w:tc>
        <w:tc>
          <w:tcPr>
            <w:tcW w:type="dxa" w:w="42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EA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Тип (ламинат, паркет...)</w:t>
            </w:r>
          </w:p>
        </w:tc>
      </w:tr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min_price</w:t>
            </w:r>
          </w:p>
        </w:tc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NUMERIC(12,2) &gt;= 0</w:t>
            </w:r>
          </w:p>
        </w:tc>
        <w:tc>
          <w:tcPr>
            <w:tcW w:type="dxa" w:w="42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Минимальная цена</w:t>
            </w:r>
          </w:p>
        </w:tc>
      </w:tr>
    </w:tbl>
    <w:p>
      <w:pPr>
        <w:spacing w:before="100" w:after="100"/>
      </w:pPr>
    </w:p>
    <w:p>
      <w:pPr>
        <w:spacing w:before="200" w:after="120"/>
      </w:pPr>
      <w:r>
        <w:rPr>
          <w:rFonts w:ascii="Arial" w:cs="Arial" w:eastAsia="Arial" w:hAnsi="Arial"/>
          <w:b/>
          <w:bCs/>
          <w:color w:val="333333"/>
          <w:sz w:val="24"/>
          <w:szCs w:val="24"/>
        </w:rPr>
        <w:t xml:space="preserve">Таблица partner_sales — история реализации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600"/>
        <w:gridCol w:w="4226"/>
      </w:tblGrid>
      <w:tr>
        <w:trPr>
          <w:tblHeader/>
        </w:trP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A237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Поле</w:t>
            </w:r>
          </w:p>
        </w:tc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A237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Тип данных</w:t>
            </w:r>
          </w:p>
        </w:tc>
        <w:tc>
          <w:tcPr>
            <w:tcW w:type="dxa" w:w="42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A237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Описание</w:t>
            </w:r>
          </w:p>
        </w:tc>
      </w:tr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id</w:t>
            </w:r>
          </w:p>
        </w:tc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SERIAL (PK)</w:t>
            </w:r>
          </w:p>
        </w:tc>
        <w:tc>
          <w:tcPr>
            <w:tcW w:type="dxa" w:w="42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Первичный ключ</w:t>
            </w:r>
          </w:p>
        </w:tc>
      </w:tr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EA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partner_id</w:t>
            </w:r>
          </w:p>
        </w:tc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EA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INTEGER (FK)</w:t>
            </w:r>
          </w:p>
        </w:tc>
        <w:tc>
          <w:tcPr>
            <w:tcW w:type="dxa" w:w="42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EA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Ссылка на partners (CASCADE)</w:t>
            </w:r>
          </w:p>
        </w:tc>
      </w:tr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product_id</w:t>
            </w:r>
          </w:p>
        </w:tc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INTEGER (FK)</w:t>
            </w:r>
          </w:p>
        </w:tc>
        <w:tc>
          <w:tcPr>
            <w:tcW w:type="dxa" w:w="42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Ссылка на products (RESTRICT)</w:t>
            </w:r>
          </w:p>
        </w:tc>
      </w:tr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EA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quantity</w:t>
            </w:r>
          </w:p>
        </w:tc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EA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INTEGER &gt; 0</w:t>
            </w:r>
          </w:p>
        </w:tc>
        <w:tc>
          <w:tcPr>
            <w:tcW w:type="dxa" w:w="42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EA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Количество единиц продукции</w:t>
            </w:r>
          </w:p>
        </w:tc>
      </w:tr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sale_date</w:t>
            </w:r>
          </w:p>
        </w:tc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DATE NOT NULL</w:t>
            </w:r>
          </w:p>
        </w:tc>
        <w:tc>
          <w:tcPr>
            <w:tcW w:type="dxa" w:w="42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Дата реализации</w:t>
            </w:r>
          </w:p>
        </w:tc>
      </w:tr>
    </w:tbl>
    <w:p>
      <w:pPr>
        <w:spacing w:before="100" w:after="100"/>
      </w:pPr>
    </w:p>
    <w:p>
      <w:pPr>
        <w:pStyle w:val="Heading2"/>
        <w:spacing w:before="300" w:after="160"/>
      </w:pPr>
      <w:r>
        <w:rPr>
          <w:rFonts w:ascii="Arial" w:cs="Arial" w:eastAsia="Arial" w:hAnsi="Arial"/>
          <w:b/>
          <w:bCs/>
          <w:color w:val="1A237E"/>
          <w:sz w:val="26"/>
          <w:szCs w:val="26"/>
        </w:rPr>
        <w:t xml:space="preserve">3.2. Связи между таблицами</w:t>
      </w:r>
    </w:p>
    <w:p>
      <w:pPr>
        <w:spacing w:before="80" w:after="80"/>
        <w:jc w:val="both"/>
      </w:pPr>
      <w:r>
        <w:rPr>
          <w:rFonts w:ascii="Arial" w:cs="Arial" w:eastAsia="Arial" w:hAnsi="Arial"/>
          <w:sz w:val="22"/>
          <w:szCs w:val="22"/>
        </w:rPr>
        <w:t xml:space="preserve">В базе данных реализованы следующие связи типа «один ко многим»: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partner_types (1) → partners (∞): один тип партнёра может быть присвоен многим партнёрам. При попытке удалить тип, используемый партнёром, операция блокируется (RESTRICT).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partners (1) → partner_sales (∞): один партнёр имеет много записей об истории реализации. При удалении партнёра все связанные записи удаляются автоматически (CASCADE).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products (1) → partner_sales (∞): одна позиция продукции может встречаться в истории реализации многих партнёров. Удаление продукции, фигурирующей в истории, блокируется (RESTRICT).</w:t>
      </w:r>
    </w:p>
    <w:p>
      <w:r>
        <w:br w:type="page"/>
      </w: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color w:val="1A237E"/>
          <w:sz w:val="32"/>
          <w:szCs w:val="32"/>
        </w:rPr>
        <w:t xml:space="preserve">4. Диаграмма классов</w:t>
      </w:r>
    </w:p>
    <w:p>
      <w:pPr>
        <w:spacing w:before="80" w:after="80"/>
        <w:jc w:val="both"/>
      </w:pPr>
      <w:r>
        <w:rPr>
          <w:rFonts w:ascii="Arial" w:cs="Arial" w:eastAsia="Arial" w:hAnsi="Arial"/>
          <w:sz w:val="22"/>
          <w:szCs w:val="22"/>
        </w:rPr>
        <w:t xml:space="preserve">Основная бизнес-логика приложения организована в следующие классы:</w:t>
      </w:r>
    </w:p>
    <w:p>
      <w:pPr>
        <w:spacing w:before="100" w:after="10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226"/>
      </w:tblGrid>
      <w:tr>
        <w:trPr>
          <w:tblHeader/>
        </w:trPr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A237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Класс / Файл</w:t>
            </w:r>
          </w:p>
        </w:tc>
        <w:tc>
          <w:tcPr>
            <w:tcW w:type="dxa" w:w="62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A237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Назначение</w:t>
            </w:r>
          </w:p>
        </w:tc>
      </w:tr>
      <w:tr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Partner</w:t>
            </w:r>
          </w:p>
        </w:tc>
        <w:tc>
          <w:tcPr>
            <w:tcW w:type="dxa" w:w="62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Модель сущности «Партнёр». Содержит все поля таблицы partners, навигационные свойства к PartnerType и коллекцию Sales.</w:t>
            </w:r>
          </w:p>
        </w:tc>
      </w:tr>
      <w:tr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EA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PartnerType</w:t>
            </w:r>
          </w:p>
        </w:tc>
        <w:tc>
          <w:tcPr>
            <w:tcW w:type="dxa" w:w="62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EA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Модель типа партнёра. Поля: Id, TypeName. Навигационная коллекция Partners.</w:t>
            </w:r>
          </w:p>
        </w:tc>
      </w:tr>
      <w:tr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Product</w:t>
            </w:r>
          </w:p>
        </w:tc>
        <w:tc>
          <w:tcPr>
            <w:tcW w:type="dxa" w:w="62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Модель продукции: Id, Article, ProductName, ProductType, MinPrice. Навигационная коллекция Sales.</w:t>
            </w:r>
          </w:p>
        </w:tc>
      </w:tr>
      <w:tr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EA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PartnerSale</w:t>
            </w:r>
          </w:p>
        </w:tc>
        <w:tc>
          <w:tcPr>
            <w:tcW w:type="dxa" w:w="62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EA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Запись истории реализации: Id, PartnerId, ProductId, Quantity, SaleDate. Навигационные свойства Partner и Product.</w:t>
            </w:r>
          </w:p>
        </w:tc>
      </w:tr>
      <w:tr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ApplicationDbContext</w:t>
            </w:r>
          </w:p>
        </w:tc>
        <w:tc>
          <w:tcPr>
            <w:tcW w:type="dxa" w:w="62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Контекст EF Core. DbSet-свойства для всех четырёх моделей, настройка схемы app, строки подключения и ключей.</w:t>
            </w:r>
          </w:p>
        </w:tc>
      </w:tr>
      <w:tr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EA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DiscountCalculator</w:t>
            </w:r>
          </w:p>
        </w:tc>
        <w:tc>
          <w:tcPr>
            <w:tcW w:type="dxa" w:w="62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EA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Статический вспомогательный класс. Метод CalculateDiscount(int totalQuantity): int — возвращает размер скидки в процентах.</w:t>
            </w:r>
          </w:p>
        </w:tc>
      </w:tr>
      <w:tr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PartnerViewModel</w:t>
            </w:r>
          </w:p>
        </w:tc>
        <w:tc>
          <w:tcPr>
            <w:tcW w:type="dxa" w:w="62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ViewModel для главного списка. Оборачивает Partner, предоставляет вычисляемые свойства TotalSalesQuantity, DiscountPercent, CardTitle.</w:t>
            </w:r>
          </w:p>
        </w:tc>
      </w:tr>
      <w:tr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EA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MainWindow</w:t>
            </w:r>
          </w:p>
        </w:tc>
        <w:tc>
          <w:tcPr>
            <w:tcW w:type="dxa" w:w="62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EA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Главная форма WPF. ListBox с карточками партнёров (слева) и DataGrid с историей реализации (справа). Меню для CRUD-операций.</w:t>
            </w:r>
          </w:p>
        </w:tc>
      </w:tr>
      <w:tr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PartnerEditWindow</w:t>
            </w:r>
          </w:p>
        </w:tc>
        <w:tc>
          <w:tcPr>
            <w:tcW w:type="dxa" w:w="62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Форма добавления / редактирования партнёра. Все поля, включая ComboBox типа, валидация перед сохранением в БД.</w:t>
            </w:r>
          </w:p>
        </w:tc>
      </w:tr>
    </w:tbl>
    <w:p>
      <w:r>
        <w:br w:type="page"/>
      </w: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color w:val="1A237E"/>
          <w:sz w:val="32"/>
          <w:szCs w:val="32"/>
        </w:rPr>
        <w:t xml:space="preserve">5. Функциональные возможности системы</w:t>
      </w:r>
    </w:p>
    <w:p>
      <w:pPr>
        <w:pStyle w:val="Heading2"/>
        <w:spacing w:before="300" w:after="160"/>
      </w:pPr>
      <w:r>
        <w:rPr>
          <w:rFonts w:ascii="Arial" w:cs="Arial" w:eastAsia="Arial" w:hAnsi="Arial"/>
          <w:b/>
          <w:bCs/>
          <w:color w:val="1A237E"/>
          <w:sz w:val="26"/>
          <w:szCs w:val="26"/>
        </w:rPr>
        <w:t xml:space="preserve">5.1. Главная форма (MainWindow)</w:t>
      </w:r>
    </w:p>
    <w:p>
      <w:pPr>
        <w:spacing w:before="80" w:after="80"/>
        <w:jc w:val="both"/>
      </w:pPr>
      <w:r>
        <w:rPr>
          <w:rFonts w:ascii="Arial" w:cs="Arial" w:eastAsia="Arial" w:hAnsi="Arial"/>
          <w:sz w:val="22"/>
          <w:szCs w:val="22"/>
        </w:rPr>
        <w:t xml:space="preserve">Главная форма разделена на две панели разделителем (GridSplitter):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Левая панель — список партнёров в виде карточек. Каждая карточка отображает: «Тип | Наименование», ФИО директора, телефон, рейтинг и рассчитанную скидку (в правом углу).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Правая панель — таблица (DataGrid) с историей реализации выбранного партнёра: наименование продукции, тип, количество, дата продажи.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Меню программы содержит пункты: Добавить партнёра, Редактировать партнёра, Удалить партнёра, Выход.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Контекстное меню ListBox дублирует пункты главного меню и добавляет пункт «История реализации».</w:t>
      </w:r>
    </w:p>
    <w:p>
      <w:pPr>
        <w:pStyle w:val="Heading2"/>
        <w:spacing w:before="300" w:after="160"/>
      </w:pPr>
      <w:r>
        <w:rPr>
          <w:rFonts w:ascii="Arial" w:cs="Arial" w:eastAsia="Arial" w:hAnsi="Arial"/>
          <w:b/>
          <w:bCs/>
          <w:color w:val="1A237E"/>
          <w:sz w:val="26"/>
          <w:szCs w:val="26"/>
        </w:rPr>
        <w:t xml:space="preserve">5.2. Форма добавления/редактирования</w:t>
      </w:r>
    </w:p>
    <w:p>
      <w:pPr>
        <w:spacing w:before="80" w:after="80"/>
        <w:jc w:val="both"/>
      </w:pPr>
      <w:r>
        <w:rPr>
          <w:rFonts w:ascii="Arial" w:cs="Arial" w:eastAsia="Arial" w:hAnsi="Arial"/>
          <w:sz w:val="22"/>
          <w:szCs w:val="22"/>
        </w:rPr>
        <w:t xml:space="preserve">Форма PartnerEditWindow используется как для добавления нового партнёра, так и для редактирования существующего. При редактировании все поля заполняются текущими данными из БД.</w:t>
      </w:r>
    </w:p>
    <w:p>
      <w:pPr>
        <w:spacing w:before="80" w:after="80"/>
        <w:jc w:val="both"/>
      </w:pPr>
      <w:r>
        <w:rPr>
          <w:rFonts w:ascii="Arial" w:cs="Arial" w:eastAsia="Arial" w:hAnsi="Arial"/>
          <w:sz w:val="22"/>
          <w:szCs w:val="22"/>
        </w:rPr>
        <w:t xml:space="preserve">Поля формы: Тип партнёра (ComboBox), Наименование, Юридический адрес, ИНН, ФИО директора, Телефон, Email, Рейтинг.</w:t>
      </w:r>
    </w:p>
    <w:p>
      <w:pPr>
        <w:pStyle w:val="Heading2"/>
        <w:spacing w:before="300" w:after="160"/>
      </w:pPr>
      <w:r>
        <w:rPr>
          <w:rFonts w:ascii="Arial" w:cs="Arial" w:eastAsia="Arial" w:hAnsi="Arial"/>
          <w:b/>
          <w:bCs/>
          <w:color w:val="1A237E"/>
          <w:sz w:val="26"/>
          <w:szCs w:val="26"/>
        </w:rPr>
        <w:t xml:space="preserve">5.3. Валидация данных</w:t>
      </w:r>
    </w:p>
    <w:p>
      <w:pPr>
        <w:spacing w:before="80" w:after="80"/>
        <w:jc w:val="both"/>
      </w:pPr>
      <w:r>
        <w:rPr>
          <w:rFonts w:ascii="Arial" w:cs="Arial" w:eastAsia="Arial" w:hAnsi="Arial"/>
          <w:sz w:val="22"/>
          <w:szCs w:val="22"/>
        </w:rPr>
        <w:t xml:space="preserve">Перед сохранением выполняется проверка всех полей: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Все обязательные поля не должны быть пустыми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ИНН должен содержать от 10 до 12 цифр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Email должен содержать символы @ и 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Рейтинг — целое неотрицательное число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При нарушении уникальности ИНН пользователь получает информативное сообщение</w:t>
      </w:r>
    </w:p>
    <w:p>
      <w:pPr>
        <w:spacing w:before="80" w:after="80"/>
        <w:jc w:val="both"/>
      </w:pPr>
      <w:r>
        <w:rPr>
          <w:rFonts w:ascii="Arial" w:cs="Arial" w:eastAsia="Arial" w:hAnsi="Arial"/>
          <w:sz w:val="22"/>
          <w:szCs w:val="22"/>
        </w:rPr>
        <w:t xml:space="preserve">Все сообщения об ошибках выводятся в MessageBox с соответствующим типом иконки (Error, Warning, Information).</w:t>
      </w:r>
    </w:p>
    <w:p>
      <w:r>
        <w:br w:type="page"/>
      </w: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color w:val="1A237E"/>
          <w:sz w:val="32"/>
          <w:szCs w:val="32"/>
        </w:rPr>
        <w:t xml:space="preserve">6. Алгоритм расчёта индивидуальной скидки</w:t>
      </w:r>
    </w:p>
    <w:p>
      <w:pPr>
        <w:spacing w:before="80" w:after="80"/>
        <w:jc w:val="both"/>
      </w:pPr>
      <w:r>
        <w:rPr>
          <w:rFonts w:ascii="Arial" w:cs="Arial" w:eastAsia="Arial" w:hAnsi="Arial"/>
          <w:sz w:val="22"/>
          <w:szCs w:val="22"/>
        </w:rPr>
        <w:t xml:space="preserve">Скидка рассчитывается статическим методом DiscountCalculator.CalculateDiscount() на основе суммарного количества реализованной продукции за весь период работы партнёра.</w:t>
      </w:r>
    </w:p>
    <w:p>
      <w:pPr>
        <w:spacing w:before="100" w:after="100"/>
      </w:pPr>
    </w:p>
    <w:p>
      <w:pPr>
        <w:spacing w:before="80" w:after="80"/>
        <w:jc w:val="both"/>
      </w:pPr>
      <w:r>
        <w:rPr>
          <w:rFonts w:ascii="Arial" w:cs="Arial" w:eastAsia="Arial" w:hAnsi="Arial"/>
          <w:sz w:val="22"/>
          <w:szCs w:val="22"/>
        </w:rPr>
        <w:t xml:space="preserve">Правила расчёта скидки: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13"/>
        <w:gridCol w:w="4513"/>
      </w:tblGrid>
      <w:tr>
        <w:trPr>
          <w:tblHeader/>
        </w:trPr>
        <w:tc>
          <w:tcPr>
            <w:tcW w:type="dxa" w:w="451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A237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Объём продаж (кол-во единиц)</w:t>
            </w:r>
          </w:p>
        </w:tc>
        <w:tc>
          <w:tcPr>
            <w:tcW w:type="dxa" w:w="451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A237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Скидка</w:t>
            </w:r>
          </w:p>
        </w:tc>
      </w:tr>
      <w:tr>
        <w:tc>
          <w:tcPr>
            <w:tcW w:type="dxa" w:w="451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Менее 10 000</w:t>
            </w:r>
          </w:p>
        </w:tc>
        <w:tc>
          <w:tcPr>
            <w:tcW w:type="dxa" w:w="451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0%</w:t>
            </w:r>
          </w:p>
        </w:tc>
      </w:tr>
      <w:tr>
        <w:tc>
          <w:tcPr>
            <w:tcW w:type="dxa" w:w="451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EA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От 10 000 до 49 999</w:t>
            </w:r>
          </w:p>
        </w:tc>
        <w:tc>
          <w:tcPr>
            <w:tcW w:type="dxa" w:w="451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EA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5%</w:t>
            </w:r>
          </w:p>
        </w:tc>
      </w:tr>
      <w:tr>
        <w:tc>
          <w:tcPr>
            <w:tcW w:type="dxa" w:w="451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От 50 000 до 299 999</w:t>
            </w:r>
          </w:p>
        </w:tc>
        <w:tc>
          <w:tcPr>
            <w:tcW w:type="dxa" w:w="451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10%</w:t>
            </w:r>
          </w:p>
        </w:tc>
      </w:tr>
      <w:tr>
        <w:tc>
          <w:tcPr>
            <w:tcW w:type="dxa" w:w="451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EA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300 000 и более</w:t>
            </w:r>
          </w:p>
        </w:tc>
        <w:tc>
          <w:tcPr>
            <w:tcW w:type="dxa" w:w="451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EA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15%</w:t>
            </w:r>
          </w:p>
        </w:tc>
      </w:tr>
    </w:tbl>
    <w:p>
      <w:pPr>
        <w:spacing w:before="100" w:after="100"/>
      </w:pPr>
    </w:p>
    <w:p>
      <w:pPr>
        <w:spacing w:before="80" w:after="80"/>
        <w:jc w:val="both"/>
      </w:pPr>
      <w:r>
        <w:rPr>
          <w:rFonts w:ascii="Arial" w:cs="Arial" w:eastAsia="Arial" w:hAnsi="Arial"/>
          <w:sz w:val="22"/>
          <w:szCs w:val="22"/>
        </w:rPr>
        <w:t xml:space="preserve">Реализация метода (C#):</w:t>
      </w:r>
    </w:p>
    <w:p>
      <w:pPr>
        <w:shd w:fill="F5F5F5" w:val="clear"/>
        <w:spacing w:before="20" w:after="2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public static int CalculateDiscount(int totalQuantity)</w:t>
      </w:r>
    </w:p>
    <w:p>
      <w:pPr>
        <w:shd w:fill="F5F5F5" w:val="clear"/>
        <w:spacing w:before="20" w:after="2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{</w:t>
      </w:r>
    </w:p>
    <w:p>
      <w:pPr>
        <w:shd w:fill="F5F5F5" w:val="clear"/>
        <w:spacing w:before="20" w:after="2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if (totalQuantity &gt;= 300_000) return 15;</w:t>
      </w:r>
    </w:p>
    <w:p>
      <w:pPr>
        <w:shd w:fill="F5F5F5" w:val="clear"/>
        <w:spacing w:before="20" w:after="2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if (totalQuantity &gt;= 50_000)  return 10;</w:t>
      </w:r>
    </w:p>
    <w:p>
      <w:pPr>
        <w:shd w:fill="F5F5F5" w:val="clear"/>
        <w:spacing w:before="20" w:after="2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if (totalQuantity &gt;= 10_000)  return 5;</w:t>
      </w:r>
    </w:p>
    <w:p>
      <w:pPr>
        <w:shd w:fill="F5F5F5" w:val="clear"/>
        <w:spacing w:before="20" w:after="2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return 0;</w:t>
      </w:r>
    </w:p>
    <w:p>
      <w:pPr>
        <w:shd w:fill="F5F5F5" w:val="clear"/>
        <w:spacing w:before="20" w:after="2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}</w:t>
      </w:r>
    </w:p>
    <w:p>
      <w:r>
        <w:br w:type="page"/>
      </w: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color w:val="1A237E"/>
          <w:sz w:val="32"/>
          <w:szCs w:val="32"/>
        </w:rPr>
        <w:t xml:space="preserve">7. Описание выполненных действий</w:t>
      </w:r>
    </w:p>
    <w:p>
      <w:pPr>
        <w:pStyle w:val="Heading2"/>
        <w:spacing w:before="300" w:after="160"/>
      </w:pPr>
      <w:r>
        <w:rPr>
          <w:rFonts w:ascii="Arial" w:cs="Arial" w:eastAsia="Arial" w:hAnsi="Arial"/>
          <w:b/>
          <w:bCs/>
          <w:color w:val="1A237E"/>
          <w:sz w:val="26"/>
          <w:szCs w:val="26"/>
        </w:rPr>
        <w:t xml:space="preserve">7.1. Настройка PostgreSQL</w:t>
      </w:r>
    </w:p>
    <w:p>
      <w:pPr>
        <w:spacing w:before="80" w:after="80"/>
        <w:jc w:val="both"/>
      </w:pPr>
      <w:r>
        <w:rPr>
          <w:rFonts w:ascii="Arial" w:cs="Arial" w:eastAsia="Arial" w:hAnsi="Arial"/>
          <w:sz w:val="22"/>
          <w:szCs w:val="22"/>
        </w:rPr>
        <w:t xml:space="preserve">Последовательность команд для настройки СУБД:</w:t>
      </w:r>
    </w:p>
    <w:p>
      <w:pPr>
        <w:shd w:fill="F5F5F5" w:val="clear"/>
        <w:spacing w:before="20" w:after="2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-- Создание роли</w:t>
      </w:r>
    </w:p>
    <w:p>
      <w:pPr>
        <w:shd w:fill="F5F5F5" w:val="clear"/>
        <w:spacing w:before="20" w:after="2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CREATE ROLE app WITH LOGIN PASSWORD '123456789';</w:t>
      </w:r>
    </w:p>
    <w:p>
      <w:pPr>
        <w:shd w:fill="F5F5F5" w:val="clear"/>
        <w:spacing w:before="20" w:after="2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/>
      </w:r>
    </w:p>
    <w:p>
      <w:pPr>
        <w:shd w:fill="F5F5F5" w:val="clear"/>
        <w:spacing w:before="20" w:after="2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-- Создание базы данных</w:t>
      </w:r>
    </w:p>
    <w:p>
      <w:pPr>
        <w:shd w:fill="F5F5F5" w:val="clear"/>
        <w:spacing w:before="20" w:after="2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CREATE DATABASE masterfloor OWNER app;</w:t>
      </w:r>
    </w:p>
    <w:p>
      <w:pPr>
        <w:shd w:fill="F5F5F5" w:val="clear"/>
        <w:spacing w:before="20" w:after="2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/>
      </w:r>
    </w:p>
    <w:p>
      <w:pPr>
        <w:shd w:fill="F5F5F5" w:val="clear"/>
        <w:spacing w:before="20" w:after="2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-- Подключение к БД masterfloor, затем:</w:t>
      </w:r>
    </w:p>
    <w:p>
      <w:pPr>
        <w:shd w:fill="F5F5F5" w:val="clear"/>
        <w:spacing w:before="20" w:after="2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CREATE SCHEMA IF NOT EXISTS app AUTHORIZATION app;</w:t>
      </w:r>
    </w:p>
    <w:p>
      <w:pPr>
        <w:spacing w:before="100" w:after="100"/>
      </w:pPr>
    </w:p>
    <w:p>
      <w:pPr>
        <w:spacing w:before="80" w:after="80"/>
        <w:jc w:val="both"/>
      </w:pPr>
      <w:r>
        <w:rPr>
          <w:rFonts w:ascii="Arial" w:cs="Arial" w:eastAsia="Arial" w:hAnsi="Arial"/>
          <w:sz w:val="22"/>
          <w:szCs w:val="22"/>
        </w:rPr>
        <w:t xml:space="preserve">После создания схемы выполняется SQL-скрипт masterfloor_db.sql, который создаёт таблицы, устанавливает права доступа и заполняет справочники тестовыми данными.</w:t>
      </w:r>
    </w:p>
    <w:p>
      <w:pPr>
        <w:pStyle w:val="Heading2"/>
        <w:spacing w:before="300" w:after="160"/>
      </w:pPr>
      <w:r>
        <w:rPr>
          <w:rFonts w:ascii="Arial" w:cs="Arial" w:eastAsia="Arial" w:hAnsi="Arial"/>
          <w:b/>
          <w:bCs/>
          <w:color w:val="1A237E"/>
          <w:sz w:val="26"/>
          <w:szCs w:val="26"/>
        </w:rPr>
        <w:t xml:space="preserve">7.2. Создание проекта в Visual Studio 2022</w:t>
      </w:r>
    </w:p>
    <w:p>
      <w:pPr>
        <w:spacing w:before="80" w:after="80"/>
        <w:jc w:val="both"/>
      </w:pPr>
      <w:r>
        <w:rPr>
          <w:rFonts w:ascii="Arial" w:cs="Arial" w:eastAsia="Arial" w:hAnsi="Arial"/>
          <w:sz w:val="22"/>
          <w:szCs w:val="22"/>
        </w:rPr>
        <w:t xml:space="preserve">В Visual Studio 2022 создаётся Solution MasterFloor, содержащий два проекта: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PartnersApp — WPF-приложение (.NET 8, UseWPF=true)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PartnersApp.Tests — библиотека модульных тестов (NUnit)</w:t>
      </w:r>
    </w:p>
    <w:p>
      <w:pPr>
        <w:spacing w:before="100" w:after="100"/>
      </w:pPr>
    </w:p>
    <w:p>
      <w:pPr>
        <w:spacing w:before="80" w:after="80"/>
        <w:jc w:val="both"/>
      </w:pPr>
      <w:r>
        <w:rPr>
          <w:rFonts w:ascii="Arial" w:cs="Arial" w:eastAsia="Arial" w:hAnsi="Arial"/>
          <w:sz w:val="22"/>
          <w:szCs w:val="22"/>
        </w:rPr>
        <w:t xml:space="preserve">NuGet-пакеты, установленные в PartnersApp: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Microsoft.EntityFrameworkCore 8.0.0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Microsoft.EntityFrameworkCore.Relational 8.0.0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Npgsql.EntityFrameworkCore.PostgreSQL 8.0.0</w:t>
      </w:r>
    </w:p>
    <w:p>
      <w:pPr>
        <w:pStyle w:val="Heading2"/>
        <w:spacing w:before="300" w:after="160"/>
      </w:pPr>
      <w:r>
        <w:rPr>
          <w:rFonts w:ascii="Arial" w:cs="Arial" w:eastAsia="Arial" w:hAnsi="Arial"/>
          <w:b/>
          <w:bCs/>
          <w:color w:val="1A237E"/>
          <w:sz w:val="26"/>
          <w:szCs w:val="26"/>
        </w:rPr>
        <w:t xml:space="preserve">7.3. Структура проекта</w:t>
      </w:r>
    </w:p>
    <w:p>
      <w:pPr>
        <w:shd w:fill="F5F5F5" w:val="clear"/>
        <w:spacing w:before="20" w:after="2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MasterFloor/</w:t>
      </w:r>
    </w:p>
    <w:p>
      <w:pPr>
        <w:shd w:fill="F5F5F5" w:val="clear"/>
        <w:spacing w:before="20" w:after="2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├── MasterFloor.sln</w:t>
      </w:r>
    </w:p>
    <w:p>
      <w:pPr>
        <w:shd w:fill="F5F5F5" w:val="clear"/>
        <w:spacing w:before="20" w:after="2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├── Database/</w:t>
      </w:r>
    </w:p>
    <w:p>
      <w:pPr>
        <w:shd w:fill="F5F5F5" w:val="clear"/>
        <w:spacing w:before="20" w:after="2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│   └── masterfloor_db.sql</w:t>
      </w:r>
    </w:p>
    <w:p>
      <w:pPr>
        <w:shd w:fill="F5F5F5" w:val="clear"/>
        <w:spacing w:before="20" w:after="2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├── PartnersApp/</w:t>
      </w:r>
    </w:p>
    <w:p>
      <w:pPr>
        <w:shd w:fill="F5F5F5" w:val="clear"/>
        <w:spacing w:before="20" w:after="2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│   ├── Models/</w:t>
      </w:r>
    </w:p>
    <w:p>
      <w:pPr>
        <w:shd w:fill="F5F5F5" w:val="clear"/>
        <w:spacing w:before="20" w:after="2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│   │   ├── Partner.cs</w:t>
      </w:r>
    </w:p>
    <w:p>
      <w:pPr>
        <w:shd w:fill="F5F5F5" w:val="clear"/>
        <w:spacing w:before="20" w:after="2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│   │   ├── PartnerType.cs</w:t>
      </w:r>
    </w:p>
    <w:p>
      <w:pPr>
        <w:shd w:fill="F5F5F5" w:val="clear"/>
        <w:spacing w:before="20" w:after="2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│   │   ├── Product.cs</w:t>
      </w:r>
    </w:p>
    <w:p>
      <w:pPr>
        <w:shd w:fill="F5F5F5" w:val="clear"/>
        <w:spacing w:before="20" w:after="2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│   │   └── PartnerSale.cs</w:t>
      </w:r>
    </w:p>
    <w:p>
      <w:pPr>
        <w:shd w:fill="F5F5F5" w:val="clear"/>
        <w:spacing w:before="20" w:after="2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│   ├── Data/</w:t>
      </w:r>
    </w:p>
    <w:p>
      <w:pPr>
        <w:shd w:fill="F5F5F5" w:val="clear"/>
        <w:spacing w:before="20" w:after="2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│   │   └── ApplicationDbContext.cs</w:t>
      </w:r>
    </w:p>
    <w:p>
      <w:pPr>
        <w:shd w:fill="F5F5F5" w:val="clear"/>
        <w:spacing w:before="20" w:after="2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│   ├── Helpers/</w:t>
      </w:r>
    </w:p>
    <w:p>
      <w:pPr>
        <w:shd w:fill="F5F5F5" w:val="clear"/>
        <w:spacing w:before="20" w:after="2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│   │   └── DiscountCalculator.cs</w:t>
      </w:r>
    </w:p>
    <w:p>
      <w:pPr>
        <w:shd w:fill="F5F5F5" w:val="clear"/>
        <w:spacing w:before="20" w:after="2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│   ├── ViewModels/</w:t>
      </w:r>
    </w:p>
    <w:p>
      <w:pPr>
        <w:shd w:fill="F5F5F5" w:val="clear"/>
        <w:spacing w:before="20" w:after="2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│   │   └── PartnerViewModel.cs</w:t>
      </w:r>
    </w:p>
    <w:p>
      <w:pPr>
        <w:shd w:fill="F5F5F5" w:val="clear"/>
        <w:spacing w:before="20" w:after="2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│   ├── Views/</w:t>
      </w:r>
    </w:p>
    <w:p>
      <w:pPr>
        <w:shd w:fill="F5F5F5" w:val="clear"/>
        <w:spacing w:before="20" w:after="2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│   │   ├── MainWindow.xaml(.cs)</w:t>
      </w:r>
    </w:p>
    <w:p>
      <w:pPr>
        <w:shd w:fill="F5F5F5" w:val="clear"/>
        <w:spacing w:before="20" w:after="2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│   │   └── PartnerEditWindow.xaml(.cs)</w:t>
      </w:r>
    </w:p>
    <w:p>
      <w:pPr>
        <w:shd w:fill="F5F5F5" w:val="clear"/>
        <w:spacing w:before="20" w:after="2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│   ├── App.xaml(.cs)</w:t>
      </w:r>
    </w:p>
    <w:p>
      <w:pPr>
        <w:shd w:fill="F5F5F5" w:val="clear"/>
        <w:spacing w:before="20" w:after="2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│   └── PartnersApp.csproj</w:t>
      </w:r>
    </w:p>
    <w:p>
      <w:pPr>
        <w:shd w:fill="F5F5F5" w:val="clear"/>
        <w:spacing w:before="20" w:after="2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└── PartnersApp.Tests/</w:t>
      </w:r>
    </w:p>
    <w:p>
      <w:pPr>
        <w:shd w:fill="F5F5F5" w:val="clear"/>
        <w:spacing w:before="20" w:after="2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├── DiscountCalculatorTests.cs</w:t>
      </w:r>
    </w:p>
    <w:p>
      <w:pPr>
        <w:shd w:fill="F5F5F5" w:val="clear"/>
        <w:spacing w:before="20" w:after="2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└── PartnersApp.Tests.csproj</w:t>
      </w:r>
    </w:p>
    <w:p>
      <w:pPr>
        <w:pStyle w:val="Heading2"/>
        <w:spacing w:before="300" w:after="160"/>
      </w:pPr>
      <w:r>
        <w:rPr>
          <w:rFonts w:ascii="Arial" w:cs="Arial" w:eastAsia="Arial" w:hAnsi="Arial"/>
          <w:b/>
          <w:bCs/>
          <w:color w:val="1A237E"/>
          <w:sz w:val="26"/>
          <w:szCs w:val="26"/>
        </w:rPr>
        <w:t xml:space="preserve">7.4. Подключение к базе данных</w:t>
      </w:r>
    </w:p>
    <w:p>
      <w:pPr>
        <w:spacing w:before="80" w:after="80"/>
        <w:jc w:val="both"/>
      </w:pPr>
      <w:r>
        <w:rPr>
          <w:rFonts w:ascii="Arial" w:cs="Arial" w:eastAsia="Arial" w:hAnsi="Arial"/>
          <w:sz w:val="22"/>
          <w:szCs w:val="22"/>
        </w:rPr>
        <w:t xml:space="preserve">Подключение к PostgreSQL реализовано через Entity Framework Core с провайдером Npgsql. Строка подключения задана непосредственно в методе OnConfiguring класса ApplicationDbContext. В продакшн-проекте рекомендуется выносить строку подключения в конфигурационный файл appsettings.json.</w:t>
      </w:r>
    </w:p>
    <w:p>
      <w:pPr>
        <w:spacing w:before="100" w:after="100"/>
      </w:pPr>
    </w:p>
    <w:p>
      <w:pPr>
        <w:shd w:fill="F5F5F5" w:val="clear"/>
        <w:spacing w:before="20" w:after="2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optionsBuilder.UseNpgsql(</w:t>
      </w:r>
    </w:p>
    <w:p>
      <w:pPr>
        <w:shd w:fill="F5F5F5" w:val="clear"/>
        <w:spacing w:before="20" w:after="2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"Host=localhost;Port=5432;Database=masterfloor;Username=app;Password=123456789;");</w:t>
      </w:r>
    </w:p>
    <w:p>
      <w:r>
        <w:br w:type="page"/>
      </w: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color w:val="1A237E"/>
          <w:sz w:val="32"/>
          <w:szCs w:val="32"/>
        </w:rPr>
        <w:t xml:space="preserve">8. Модульные тесты</w:t>
      </w:r>
    </w:p>
    <w:p>
      <w:pPr>
        <w:spacing w:before="80" w:after="80"/>
        <w:jc w:val="both"/>
      </w:pPr>
      <w:r>
        <w:rPr>
          <w:rFonts w:ascii="Arial" w:cs="Arial" w:eastAsia="Arial" w:hAnsi="Arial"/>
          <w:sz w:val="22"/>
          <w:szCs w:val="22"/>
        </w:rPr>
        <w:t xml:space="preserve">Для класса DiscountCalculator написаны модульные тесты с использованием NUnit. Тесты покрывают все граничные условия алгоритма расчёта скидки:</w:t>
      </w:r>
    </w:p>
    <w:p>
      <w:pPr>
        <w:spacing w:before="100" w:after="10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26"/>
        <w:gridCol w:w="4000"/>
      </w:tblGrid>
      <w:tr>
        <w:trPr>
          <w:tblHeader/>
        </w:trPr>
        <w:tc>
          <w:tcPr>
            <w:tcW w:type="dxa" w:w="50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A237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Тест</w:t>
            </w:r>
          </w:p>
        </w:tc>
        <w:tc>
          <w:tcPr>
            <w:tcW w:type="dxa" w:w="4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A237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Ожидаемый результат</w:t>
            </w:r>
          </w:p>
        </w:tc>
      </w:tr>
      <w:tr>
        <w:tc>
          <w:tcPr>
            <w:tcW w:type="dxa" w:w="50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CalculateDiscount(0)</w:t>
            </w:r>
          </w:p>
        </w:tc>
        <w:tc>
          <w:tcPr>
            <w:tcW w:type="dxa" w:w="4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0%</w:t>
            </w:r>
          </w:p>
        </w:tc>
      </w:tr>
      <w:tr>
        <w:tc>
          <w:tcPr>
            <w:tcW w:type="dxa" w:w="50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EA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CalculateDiscount(9999)</w:t>
            </w:r>
          </w:p>
        </w:tc>
        <w:tc>
          <w:tcPr>
            <w:tcW w:type="dxa" w:w="4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EA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0%</w:t>
            </w:r>
          </w:p>
        </w:tc>
      </w:tr>
      <w:tr>
        <w:tc>
          <w:tcPr>
            <w:tcW w:type="dxa" w:w="50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CalculateDiscount(10000)</w:t>
            </w:r>
          </w:p>
        </w:tc>
        <w:tc>
          <w:tcPr>
            <w:tcW w:type="dxa" w:w="4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5%</w:t>
            </w:r>
          </w:p>
        </w:tc>
      </w:tr>
      <w:tr>
        <w:tc>
          <w:tcPr>
            <w:tcW w:type="dxa" w:w="50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EA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CalculateDiscount(49999)</w:t>
            </w:r>
          </w:p>
        </w:tc>
        <w:tc>
          <w:tcPr>
            <w:tcW w:type="dxa" w:w="4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EA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5%</w:t>
            </w:r>
          </w:p>
        </w:tc>
      </w:tr>
      <w:tr>
        <w:tc>
          <w:tcPr>
            <w:tcW w:type="dxa" w:w="50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CalculateDiscount(50000)</w:t>
            </w:r>
          </w:p>
        </w:tc>
        <w:tc>
          <w:tcPr>
            <w:tcW w:type="dxa" w:w="4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10%</w:t>
            </w:r>
          </w:p>
        </w:tc>
      </w:tr>
      <w:tr>
        <w:tc>
          <w:tcPr>
            <w:tcW w:type="dxa" w:w="50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EA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CalculateDiscount(299999)</w:t>
            </w:r>
          </w:p>
        </w:tc>
        <w:tc>
          <w:tcPr>
            <w:tcW w:type="dxa" w:w="4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EA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10%</w:t>
            </w:r>
          </w:p>
        </w:tc>
      </w:tr>
      <w:tr>
        <w:tc>
          <w:tcPr>
            <w:tcW w:type="dxa" w:w="50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CalculateDiscount(300000)</w:t>
            </w:r>
          </w:p>
        </w:tc>
        <w:tc>
          <w:tcPr>
            <w:tcW w:type="dxa" w:w="4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15%</w:t>
            </w:r>
          </w:p>
        </w:tc>
      </w:tr>
      <w:tr>
        <w:tc>
          <w:tcPr>
            <w:tcW w:type="dxa" w:w="50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EA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CalculateDiscount(1000000)</w:t>
            </w:r>
          </w:p>
        </w:tc>
        <w:tc>
          <w:tcPr>
            <w:tcW w:type="dxa" w:w="4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EA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15%</w:t>
            </w:r>
          </w:p>
        </w:tc>
      </w:tr>
      <w:tr>
        <w:tc>
          <w:tcPr>
            <w:tcW w:type="dxa" w:w="50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CalculateDiscount(-100)</w:t>
            </w:r>
          </w:p>
        </w:tc>
        <w:tc>
          <w:tcPr>
            <w:tcW w:type="dxa" w:w="4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0%</w:t>
            </w:r>
          </w:p>
        </w:tc>
      </w:tr>
    </w:tbl>
    <w:p>
      <w:pPr>
        <w:spacing w:before="100" w:after="100"/>
      </w:pPr>
    </w:p>
    <w:p>
      <w:pPr>
        <w:spacing w:before="80" w:after="80"/>
        <w:jc w:val="both"/>
      </w:pPr>
      <w:r>
        <w:rPr>
          <w:rFonts w:ascii="Arial" w:cs="Arial" w:eastAsia="Arial" w:hAnsi="Arial"/>
          <w:sz w:val="22"/>
          <w:szCs w:val="22"/>
        </w:rPr>
        <w:t xml:space="preserve">Все тесты успешно проходят, что подтверждает корректность логики расчёта скидок для всех граничных случаев.</w:t>
      </w:r>
    </w:p>
    <w:p>
      <w:pPr>
        <w:spacing w:before="100" w:after="100"/>
      </w:pPr>
    </w:p>
    <w:p>
      <w:pPr>
        <w:spacing w:before="80" w:after="80"/>
        <w:jc w:val="both"/>
      </w:pPr>
      <w:r>
        <w:rPr>
          <w:rFonts w:ascii="Arial" w:cs="Arial" w:eastAsia="Arial" w:hAnsi="Arial"/>
          <w:sz w:val="22"/>
          <w:szCs w:val="22"/>
        </w:rPr>
        <w:t xml:space="preserve">Для запуска тестов в Visual Studio: Test → Run All Tests (Ctrl+R, A). В командной строке: dotnet test.</w:t>
      </w:r>
    </w:p>
    <w:sectPr>
      <w:pgSz w:w="11906" w:h="16838" w:orient="portrait"/>
      <w:pgMar w:top="1440" w:right="1440" w:bottom="1440" w:left="18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400" w:after="200"/>
      <w:outlineLvl w:val="0"/>
    </w:pPr>
    <w:rPr>
      <w:rFonts w:ascii="Arial" w:cs="Arial" w:eastAsia="Arial" w:hAnsi="Arial"/>
      <w:b/>
      <w:bCs/>
      <w:color w:val="1A237E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300" w:after="160"/>
      <w:outlineLvl w:val="1"/>
    </w:pPr>
    <w:rPr>
      <w:rFonts w:ascii="Arial" w:cs="Arial" w:eastAsia="Arial" w:hAnsi="Arial"/>
      <w:b/>
      <w:bCs/>
      <w:color w:val="1A237E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2026-03-14T14:00:51.912Z</dcterms:created>
  <dcterms:modified xsi:type="dcterms:W3CDTF">2026-03-14T14:00:51.913Z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