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4617"/>
        <w:gridCol w:w="2954"/>
        <w:gridCol w:w="5583"/>
      </w:tblGrid>
      <w:tr>
        <w:trPr>
          <w:trHeight w:val="61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Supplementary Table X: Immune gene panel used for expression analysis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 Symbol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Gene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Functional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Primary Role</w:t>
            </w:r>
          </w:p>
        </w:tc>
      </w:tr>
      <w:tr>
        <w:trPr>
          <w:trHeight w:val="615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RETNLB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Resistin-like beta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Mucosal barrier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Goblet cell defense factor, mucus production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Mucin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Mucosal barrier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secretory mucin in gastrointestinal tract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MUC5AC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Mucin 5AC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Mucosal barrier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goblet cell mucin production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NCR1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killer cell p46-related protein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 cell marker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killer cell activation and cytotoxicity</w:t>
            </w:r>
          </w:p>
        </w:tc>
      </w:tr>
      <w:tr>
        <w:trPr>
          <w:trHeight w:val="61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Myeloperoxidase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 marker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Neutrophil-mediated oxidative pathogen killing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MYD88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Myeloid differentiation primary response 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TLR 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TLR-mediated NF-κB activation, inflammation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CASP1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Caspase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IL-1β and IL-18 production, pyroptosis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IL1RN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Interleukin 1 receptor antagonist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Anti-inflammatory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IL-1β antagonist, infection control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necrosis factor alpha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Pro-inflammatory cytokine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Inflammation, immune cell activation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Interleukin 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Pro-inflammatory cytokine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regulation, acute phase response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CXCL9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C-X-C motif chemokine ligand 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cell migration, Th1 activation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CXCR3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C-X-C motif chemokine receptor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Chemokine receptor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CXCL9/CXCL11 receptor, T cell trafficking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Interferon gamma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Th1 effector cytokine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Macrophage activation, pathogen clearance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Interleukin 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Th2 cytokine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macrophage activation, mucus production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IRGM1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Immunity-related GTPase M1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Intracellular defense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Autonomous cell defense, parasite clearance</w:t>
            </w:r>
          </w:p>
        </w:tc>
      </w:tr>
      <w:tr>
        <w:trPr>
          <w:trHeight w:val="61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TICAM1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 domain-containing adaptor molecule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TLR 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 IFN production, antiviral response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Suppressor of cytokine signaling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regulation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JAK/STAT pathway regulation, T-cell differentiation</w:t>
            </w:r>
          </w:p>
        </w:tc>
      </w:tr>
      <w:tr>
        <w:trPr>
          <w:trHeight w:val="61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Indoleamine 2,3-dioxygenase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regulation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T-cell activity regulation via tryptophan depletion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PRF1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Perforin 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Cytotoxic effector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Cytotoxic granule protein, target cell lysis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2025-05-26T13:45:20Z</dcterms:modified>
  <cp:category/>
</cp:coreProperties>
</file>