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Analysis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Research 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Model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Statistical 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Key Finding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Sample Size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5F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12px"/>
              </w:rPr>
              <w:t xml:space="default">Performance Metric¹</w:t>
            </w:r>
            <w:r>
              <w:rPr>
                <w:vertAlign w:val="superscript"/>
                <w:i/>
                <w:rFonts w:ascii="Calibri" w:hAnsi="Calibri"/>
                <w:sz w:val="12px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Laboratory Development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immune genes predict infection costs?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Linear regression (PC1, PC2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Significant but modest prediction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R² = 0.106***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Optimization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machine learning improve prediction?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Random forest (19 genes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Substantial improvement achieved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R² = 0.476***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model reliable?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Train-test cross-validation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Strong predictive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40 (test set)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 = 0.79***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Cross-Population Translation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Which genes show consistent responses across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TRANS-1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Linear regression per gene (lab vs field)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3 genes cross-validated²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3/19 genes validated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Field Translation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the model work in wild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vs. observed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Successfully detects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+1.15%***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Discrimination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it distinguish parasite species?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by species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Species-specific responses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E.f: +2.06%** E.r: +1.25%**</w:t>
            </w:r>
            <w:r>
              <w:rPr>
                <w:vertAlign w:val="superscript"/>
                <w:i/>
                <w:rFonts w:ascii="Calibri" w:hAnsi="Calibri"/>
                <w:sz w:val="20"/>
                <w:color w:val="D32F2F"/>
                <w:b w:val="true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correlate with infection severity?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Scales with 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R² = 0.114***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3F2FD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13px"/>
                <w:color w:val="1565C0"/>
                <w:b w:val="true"/>
              </w:rPr>
              <w:t xml:space="default">Biological Validation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capture real health impacts?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PROOF-1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body condition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Correlates with actual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β = -0.076*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Specificity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response Eimeria-specific?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AFA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1976D2"/>
                <w:b w:val="true"/>
              </w:rPr>
              <w:t xml:space="default">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Specific to Eimeria infections only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D32F2F"/>
                <w:b w:val="true"/>
              </w:rPr>
              <w:t xml:space="default">p &lt; 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levels: *p &lt; 0.05, **p &lt; 0.01, ***p &lt; 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Train-test validation: 70% training (n=96), 30% testing (n=40)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Cross-validated genes: CXCL9 (both species), TICAM1 (E. falciformis), PRF1 (E. falciformis)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E.f: Eimeria falciformis; E.r: E. ferrisi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Parasite community model tested: Eimeria (significant), Aspiculuris, Syphacia, Trichuris, Mastophorus (all non-significant)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Framework demonstrates progression from basic linear prediction (R² = 0.106) through machine learning optimization (R² = 0.476) to comprehensive field validation with biological relevance. Cross-population translation validates 3/19 genes as conserved biomarkers.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2025-07-29T14:40:02Z</dcterms:created>
  <dcterms:modified xsi:type="dcterms:W3CDTF">2025-07-29T14:40:02Z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