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Research 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Statistical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 Finding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Sample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Performance Metric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8F4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4px"/>
                <w:b w:val="true"/>
              </w:rPr>
              <w:t xml:space="default">Laboratory Development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immune genes predict infection costs?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DISC-1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Linear regression (PC1, PC2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Significant but modest prediction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R² = 0.106***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Optimization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machine learning improve prediction?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DISC-2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 forest (19 genes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Substantial improvement achieved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R² = 0.476***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model reliable?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Train-test cross-validation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predictive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95→41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r = 0.79***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8F4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4px"/>
                <w:b w:val="true"/>
              </w:rPr>
              <w:t xml:space="default">Field Translation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the model work in wild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FIELD-1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vs. observed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Successfully detects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+1.15%***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Discrimination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it distinguish parasite species?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FIELD-2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loss by species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Species-specific responses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E.f: +2.06%**, E.r: +1.25%**</w:t>
            </w:r>
            <w:r>
              <w:rPr>
                <w:vertAlign w:val="superscript"/>
                <w:i/>
                <w:rFonts w:ascii="Calibri" w:hAnsi="Calibri"/>
                <w:sz w:val="20"/>
                <w:color w:val="D62728"/>
                <w:b w:val="true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correlate with infection severity?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loss vs. parasite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Scales with 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r = 0.233*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8F4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4px"/>
                <w:b w:val="true"/>
              </w:rPr>
              <w:t xml:space="default">Biological Validation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capture real health impacts?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PROOF-1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loss vs. body condition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Correlates with actual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ρ = -0.115*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Specificity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response Eimeria-specific?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9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F77B4"/>
                <w:b w:val="true"/>
              </w:rPr>
              <w:t xml:space="default">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loss vs. parasite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Specific to Eimeria infections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62728"/>
                <w:b w:val="true"/>
              </w:rPr>
              <w:t xml:space="default">p &lt; 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levels: *p &lt; 0.05, **p &lt; 0.01, ***p &lt; 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Progressive sample sizes reflect train→test validation approach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E.f: Eimeria falciformis; E.r: E. ferrisi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Framework progresses from basic linear prediction (R² = 0.106) through machine learning optimization (R² = 0.476) to comprehensive field validation with biological relevance.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2025-07-27T11:30:57Z</dcterms:created>
  <dcterms:modified xsi:type="dcterms:W3CDTF">2025-07-27T11:30:57Z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