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Comparison of significant immune gene responses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preserve">Controlled laboratory infections vs. field-caught mice infected with </w:t>
      </w:r>
      <w:r>
        <w:rPr>
          <w:i/>
          <w:rFonts w:ascii="Calibri" w:hAnsi="Calibri"/>
          <w:sz w:val="20"/>
          <w:color w:val="333333"/>
        </w:rPr>
        <w:t xml:space="preserve">Eimeria</w:t>
      </w:r>
      <w:r>
        <w:rPr>
          <w:rFonts w:ascii="Calibri" w:hAnsi="Calibri"/>
          <w:sz w:val="20"/>
          <w:color w:val="333333"/>
        </w:rPr>
        <w:t xml:space="preserve"> spp.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Controlled laboratory infections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Field-caught mice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CXCL9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CXCL9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= 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IDO1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IFNy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=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IFNy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= 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NCR1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=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PRF1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= 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TICAM1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= 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= 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=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Only genes with p &lt; 0.05 in at least one condition shown. Full results in Supplementary Tables S1-S2. Infections with </w:t>
            </w:r>
            <w:r>
              <w:rPr>
                <w:i/>
                <w:rFonts w:ascii="Calibri" w:hAnsi="Calibri"/>
                <w:sz w:val="20"/>
              </w:rPr>
              <w:t xml:space="preserve">Eimeria</w:t>
            </w:r>
            <w:r>
              <w:rPr>
                <w:rFonts w:ascii="Calibri" w:hAnsi="Calibri"/>
                <w:sz w:val="20"/>
              </w:rPr>
              <w:t xml:space="preserve"> spp.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2025-06-01T20:29:57Z</dcterms:created>
  <dcterms:modified xsi:type="dcterms:W3CDTF">2025-06-01T20:29:57Z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