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0"/>
        <w:gridCol w:w="1284"/>
        <w:gridCol w:w="1308"/>
        <w:gridCol w:w="128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body49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trHeight w:val="670" w:hRule="auto"/>
        </w:trPr>
        body50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2024-06-10T18:05:21Z</dcterms:modified>
  <cp:category/>
</cp:coreProperties>
</file>