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1. Comprehensive statistical summary of hybrid effects on immune-predicted weight loss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Multiple analytical approaches converge on sex-specific, infection-dependent hybrid dysfunction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Analysis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Statistical Test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Biological Interpretation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2"/>
                <w:b w:val="true"/>
              </w:rPr>
              <w:t xml:space="default">1. Complete Dataset (n=304)</w:t>
            </w:r>
            <w:r>
              <w:rPr>
                <w:vertAlign w:val="superscript"/>
                <w:i/>
                <w:rFonts w:ascii="Calibri" w:hAnsi="Calibri"/>
                <w:sz w:val="12"/>
                <w:b w:val="true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2"/>
                <w:b w:val="true"/>
              </w:rPr>
              <w:t xml:space="default">Overall hybrid effect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2"/>
                <w:b w:val="true"/>
              </w:rPr>
              <w:t xml:space="default">0.017*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2"/>
                <w:b w:val="true"/>
              </w:rPr>
              <w:t xml:space="default">Significant overall hybrid effect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Males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0.038*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Males show hybrid dysfunction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Females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Females show no effect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Sex-specific (H3 vs H2)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0.027*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Sex-specific effects confirmed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F2F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2"/>
                <w:b w:val="true"/>
              </w:rPr>
              <w:t xml:space="default">2. Uninfected Only (n=171)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F2F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2"/>
                <w:b w:val="true"/>
              </w:rPr>
              <w:t xml:space="default">Overall hybrid effect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F2F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2"/>
                <w:b w:val="true"/>
              </w:rPr>
              <w:t xml:space="default">0.545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F2F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2"/>
                <w:b w:val="true"/>
              </w:rPr>
              <w:t xml:space="default">No constitutive costs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Males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effect in uninfected males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Females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effect in uninfected females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2"/>
                <w:b w:val="true"/>
              </w:rPr>
              <w:t xml:space="default">3. By Infection Status (n=304)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2"/>
                <w:b w:val="true"/>
              </w:rPr>
              <w:t xml:space="default">Infection groups differ (H2 vs H0)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2"/>
                <w:b w:val="true"/>
              </w:rPr>
              <w:t xml:space="default">0.002**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2"/>
                <w:b w:val="true"/>
              </w:rPr>
              <w:t xml:space="default">Strong infection dominance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Uninfected hybrid effect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effect without infection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Infected hybrid effect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effect with infection alone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2"/>
                <w:b w:val="true"/>
              </w:rPr>
              <w:t xml:space="default">4. Males Only - Infection (n=153)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2"/>
                <w:b w:val="true"/>
              </w:rPr>
              <w:t xml:space="default">Infection groups differ (H1 vs H0)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2"/>
                <w:b w:val="true"/>
              </w:rPr>
              <w:t xml:space="default">0.010**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2"/>
                <w:b w:val="true"/>
              </w:rPr>
              <w:t xml:space="default">Infection status critical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Males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0.016*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Males affected by infection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2"/>
                <w:b w:val="true"/>
              </w:rPr>
              <w:t xml:space="default">5. Infected Only (n=133)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2"/>
                <w:b w:val="true"/>
              </w:rPr>
              <w:t xml:space="default">Sex-specific (H3 vs H2)</w:t>
            </w:r>
            <w:r>
              <w:rPr>
                <w:vertAlign w:val="superscript"/>
                <w:i/>
                <w:rFonts w:ascii="Calibri" w:hAnsi="Calibri"/>
                <w:sz w:val="12"/>
                <w:b w:val="true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2"/>
                <w:b w:val="true"/>
              </w:rPr>
              <w:t xml:space="default">0.027*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2"/>
                <w:b w:val="true"/>
              </w:rPr>
              <w:t xml:space="default">Sex-specific in infected mice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Males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effect in infected males alone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2"/>
                <w:b w:val="true"/>
              </w:rPr>
              <w:t xml:space="default">6. Linear Regression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2"/>
                <w:b w:val="true"/>
              </w:rPr>
              <w:t xml:space="default">Sex × HI interaction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2"/>
                <w:b w:val="true"/>
              </w:rPr>
              <w:t xml:space="default">0.011*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2"/>
                <w:b w:val="true"/>
              </w:rPr>
              <w:t xml:space="default">Independent confirmation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parasiteLoad framework tests deviation from additive subspecies expectations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Critical test for sex-specific effects using advanced models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Significance: **p &lt; 0.01, *p &lt; 0.05. Green highlighting indicates significant effects supporting hybrid dysfunction.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Key finding: Males show consistent hybrid dysfunction across analyses, manifesting only during infection.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2025-06-26T09:07:50Z</dcterms:created>
  <dcterms:modified xsi:type="dcterms:W3CDTF">2025-06-26T09:07:50Z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