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/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Complete parameter estimates for models testing genetic and sex-specific effects on immune-predicted weight loss (n = 304)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Parameters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β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 Info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EAF6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3"/>
                <w:b w:val="true"/>
              </w:rPr>
              <w:t xml:space="default">Model 1: Genetic baseline&lt;br&gt;&lt;span style='font-size:11px; font-style:italic'&gt;R² = 0.019, F(3,300) = 1.94, p = 0.122, AIC = 1419&lt;/span&gt;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EAF6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3"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EAF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3"/>
                <w:b w:val="true"/>
              </w:rPr>
              <w:t xml:space="default"> ()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EAF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3"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EAF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3"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EAF6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3"/>
                <w:b w:val="true"/>
              </w:rPr>
              <w:t xml:space="default">Residual SE: 2.47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9.570 (0.411)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&lt;0.001***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-0.154 (0.666)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-0.392 (2.035)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 × He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4.015 (3.436)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()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df: 300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EAF6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3"/>
                <w:b w:val="true"/>
              </w:rPr>
              <w:t xml:space="default">Model 2: Main effects&lt;br&gt;&lt;span style='font-size:11px; font-style:italic'&gt;R² = 0.063, F(4,299) = 5.05, p &lt; 0.001, AIC = 1407&lt;/span&gt;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EAF6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3"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EAF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3"/>
                <w:b w:val="true"/>
              </w:rPr>
              <w:t xml:space="default"> ()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EAF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3"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EAF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3"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EAF6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3"/>
                <w:b w:val="true"/>
              </w:rPr>
              <w:t xml:space="default">Residual SE: 2.42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9.053 (0.372)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&lt;0.001***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 (Male)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-0.090 (0.278)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0.185 (0.406)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1.556 (1.014)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Infection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1976D2"/>
                <w:b w:val="true"/>
              </w:rPr>
              <w:t xml:space="default">1.125 (0.285)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1976D2"/>
                <w:b w:val="true"/>
              </w:rPr>
              <w:t xml:space="default">3.94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1976D2"/>
                <w:b w:val="true"/>
              </w:rPr>
              <w:t xml:space="default">&lt;0.001***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()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df: 299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EAF6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3"/>
                <w:b w:val="true"/>
              </w:rPr>
              <w:t xml:space="default">Model 3: Two-way interactions&lt;br&gt;&lt;span style='font-size:11px; font-style:italic'&gt;R² = 0.093, F(10,293) = 2.99, p = 0.001, AIC = 1409&lt;/span&gt;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EAF6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3"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EAF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3"/>
                <w:b w:val="true"/>
              </w:rPr>
              <w:t xml:space="default"> ()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EAF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3"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EAF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13"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EAF6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13"/>
                <w:b w:val="true"/>
              </w:rPr>
              <w:t xml:space="default">Residual SE: 2.40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9.316 (0.514)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&lt;0.001***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 (Male)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-1.308 (0.736)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0.077.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-0.670 (0.828)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1.286 (2.379)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Infection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1976D2"/>
                <w:b w:val="true"/>
              </w:rPr>
              <w:t xml:space="default">2.320 (0.795)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1976D2"/>
                <w:b w:val="true"/>
              </w:rPr>
              <w:t xml:space="default">2.92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1976D2"/>
                <w:b w:val="true"/>
              </w:rPr>
              <w:t xml:space="default">0.004**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 × HI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1976D2"/>
                <w:b w:val="true"/>
              </w:rPr>
              <w:t xml:space="default">2.144 (0.833)</w:t>
            </w:r>
            <w:r>
              <w:rPr>
                <w:vertAlign w:val="superscript"/>
                <w:i/>
                <w:rFonts w:ascii="Calibri" w:hAnsi="Calibri"/>
                <w:sz w:val="20"/>
                <w:color w:val="1976D2"/>
                <w:b w:val="true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1976D2"/>
                <w:b w:val="true"/>
              </w:rPr>
              <w:t xml:space="default">2.57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1976D2"/>
                <w:b w:val="true"/>
              </w:rPr>
              <w:t xml:space="default">0.011*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 × He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0.547 (2.076)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 × Infection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-0.369 (0.571)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 × He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1.692 (3.508)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 × Infection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-1.299 (0.841)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 × Infection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-0.908 (2.095)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()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df: 293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HI = Hybrid Index (0 = pure M. m. domesticus, 1 = pure M. m. musculus)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He = Expected heterozygosity = 2 × HI × (1 - HI), measuring genetic admixture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Significance codes: ***p &lt; 0.001, **p &lt; 0.01, *p &lt; 0.05, . p &lt; 0.1</w:t>
            </w:r>
            \line 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Models compared using likelihood ratio tests.</w:t>
            </w:r>
          </w:p>
        </w:tc>
      </w:tr>
    </w:tbl>
    <w:p>
      <w:pPr>
        <w:pStyle w:val="FirstParagraph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2025-06-26T09:09:55Z</dcterms:created>
  <dcterms:modified xsi:type="dcterms:W3CDTF">2025-06-26T09:09:55Z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