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Characteristics of wild house mice from the Brandenburg hybrid zone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mice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Uninfected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F: 167 (49.9%); M: 168 (50.1%)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F: 46 (49.5%); M: 47 (50.5%)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F: 37 (40.2%); M: 55 (59.8%)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 status¹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Known: 185 (55.2%)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 index²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0.574 ± 0.360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0.468 ± 0.382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0.742 ± 0.267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Predicted weight loss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9.96 ± 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9.08 ± 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10.34 ± 2.45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Determined by qPCR and amplicon sequencing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0 = M. m. domesticus, 1 = M. m. musculus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2025-06-19T16:54:13Z</dcterms:created>
  <dcterms:modified xsi:type="dcterms:W3CDTF">2025-06-19T16:54:13Z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