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preserve">Sample characteristics of wild house mice from the Brandenburg hybrid zone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Total mice analyzed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Females: 167 (49.9%)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Males: 168 (50.1%)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Mice with infection status determined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Total: 185 (55.2%)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Uninfected: 93 (50.3%)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Infected: 92 (49.7%)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Hybrid index (mean ± SD)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Overall: 0.574 ± 0.360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Uninfected: 0.468 ± 0.382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Infected: 0.742 ± 0.267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Predicted weight loss (mean ± SD)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Overall: 9.96% ± 2.48%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Uninfected: 9.08% ± 2.33%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Infected: 10.34% ± 2.45%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Infection status determined by qPCR and amplicon sequencing. HI ranges from 0 (M. m. domesticus) to 1 (M. m. musculus).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2025-06-19T16:45:59Z</dcterms:created>
  <dcterms:modified xsi:type="dcterms:W3CDTF">2025-06-19T16:45:59Z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