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Immune Gene Panel for Infection Response Prediction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Nineteen genes quantified by high-throughput qPCR at day 8 post-infection</w:t>
      </w:r>
      <w:r>
        <w:rPr>
          <w:vertAlign w:val="superscript"/>
          <w:i/>
          <w:rFonts w:ascii="Calibri" w:hAnsi="Calibri"/>
          <w:sz w:val="20"/>
          <w:color w:val="333333"/>
        </w:rPr>
        <w:t xml:space="default">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Gene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Full Name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Function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Category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Response Type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Cell-mediated Immunity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IRGM1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Immunity-related GTPase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Autophagy, parasite resistance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Cell-autonomous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Cell-autonomous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MUC2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Mucin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Intestinal barrier, pathogen exclusion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Barrier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NCR1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Natural cytotoxicity receptor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NK cell activation receptor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PRF1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Perforin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Cytolytic granule protein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Innate Immunity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TICAM1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TIR domain-containing adapter molecule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TLR adaptor, viral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Myeloperoxidase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Oxidative burst, neutrophil marker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effector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TLR2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Toll-like receptor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Bacterial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TLR4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Toll-like receptor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LPS sensor, innate immunity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Regulatory/Anti-inflammatory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IDO1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Indoleamine 2,3-dioxygenase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Tryptophan depletion, immunosuppression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SOCS1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Suppressor of cytokine signaling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 feedback, prevents tissue damage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IL1RN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 receptor antagonist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IL-1 antagonist, limits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Anti-inflammatory, 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ARG1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Arginase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 macrophage marker, tissue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Th2/Regulatory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Th2/Anti-helminth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RETNLB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Resistin-like beta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effector, goblet cell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cytokine, mucus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8F4F8"/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Th1/Pro-inflammatory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CXCL9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C-X-C motif chemokine ligand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 cell recruitment, IFN-γ-inducible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Chemokine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TNF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necrosis factor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Pro-inflammatory, induces cachexia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IFNγ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Interferon gamma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 master regulator, parasite 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IL-6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Interleukin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phase response,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Inflammatory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Genes selected based on established roles in parasite immunity. Expression normalized using quantile normalization with GAPDH and PPIB as housekeeping genes.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Source:</w:t>
            </w:r>
            <w:r>
              <w:rPr>
                <w:rFonts w:ascii="Calibri" w:hAnsi="Calibri"/>
                <w:sz w:val="20"/>
              </w:rPr>
              <w:t xml:space="preserve"> Webster et al. (2025) </w:t>
            </w:r>
            <w:r>
              <w:rPr>
                <w:i/>
                <w:rFonts w:ascii="Calibri" w:hAnsi="Calibri"/>
                <w:sz w:val="20"/>
              </w:rPr>
              <w:t xml:space="preserve">in review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2025-08-01T10:29:35Z</dcterms:created>
  <dcterms:modified xsi:type="dcterms:W3CDTF">2025-08-01T10:29:35Z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