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 ID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Statistical 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 Formula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Analytical Purpose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Sample Size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Key Result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Analysis Phase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RF-FIELD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Random Forest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Predicted_WL ~ 19 immune genes (field application)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Generate immune-based health predictions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= 335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Range: 3.98-18.5% predicted weight loss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Field Application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PL-1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parasiteLoad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response ~ HI + hHe + α×hHe | Sex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Test sex-specific hybrid dysfunction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= 335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Sex-specific effects: p = 0.027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Hybrid Analysis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PL-2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parasiteLoad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response ~ HI + hHe + α×hHe | Sex (uninfected)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Test constitutive hybrid costs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= 171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constitutive costs: p = 0.544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Hybrid Analysis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PL-3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parasiteLoad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response ~ HI + hHe + α×hHe | Infection_status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Test infection dominance over genetics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= 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Infection dominance: p = 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Hybrid Analysis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LM-1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Linear Regression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Predicted_WL ~ HI × hHe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Test genetic baseline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= 335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Non-significant: p = 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Linear Regression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LM-2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Linear Regression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Predicted_WL ~ Sex + HI + hHe +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Test main effects model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= 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Infection effect: p 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Linear Regression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LM-3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Linear Regression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Predicted_WL ~ Sex × HI + interactions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Test interaction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= 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 × HI: p = 0.011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Linear Regression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Bold = p &lt; 0.05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Random Forest model from Webster et al. (in review)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parasiteLoad package implements Baird et al. (2012) framework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α represents deviation from additivity (positive = increased costs with M. m. musculus ancestry)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2025-08-01T11:16:23Z</dcterms:created>
  <dcterms:modified xsi:type="dcterms:W3CDTF">2025-08-01T11:16:23Z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