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3. Infected Subset Analysis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Infection-dependent hybrid effects in parasitized populations (n = 133 individuals)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Predictor 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Coefficient (β)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343A4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/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Subspecies genetic distance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0.0233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(0.0059, 0.0407)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Hybridization distance (hHe)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0.0670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(0.0397, 0.0943)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Mean hybridization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(0.0373, 0.0740)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difference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(-0.0078, 0.0049)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Subspecies genetic distance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-0.0877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(-0.1428, -0.0326)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9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**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Statistical significance: *** p &lt; 0.001, ** p &lt; 0.01, * p &lt; 0.05, † p &lt; 0.1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2025-06-18T09:32:23Z</dcterms:created>
  <dcterms:modified xsi:type="dcterms:W3CDTF">2025-06-18T09:32:23Z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