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Comparison of hybrid effect detection across statistical frameworks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FFFFFF"/>
              </w:rPr>
              <w:t xml:space="default">Analysis 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FFFFFF"/>
              </w:rPr>
              <w:t xml:space="default">parasiteLoad Result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FFFFFF"/>
              </w:rPr>
              <w:t xml:space="default">Ferreira Result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FFFFFF"/>
              </w:rPr>
              <w:t xml:space="default">Validation Status</w:t>
            </w:r>
            <w:r>
              <w:rPr>
                <w:vertAlign w:val="superscript"/>
                <w:i/>
                <w:rFonts w:ascii="Calibri" w:hAnsi="Calibri"/>
                <w:sz w:val="20"/>
                <w:color w:val="FFFFFF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Complete Dataset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 = 0.017 (Significant)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 significant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✓ Partial support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 Subset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= 0.545 (Not significant)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 significant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○ Inconsistent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Infected Subset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Male-specific: p = 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4 significant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✓ Strong support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✓ = Methods agree, ○ = Methods disagree or no effect detected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2025-06-11T16:23:54Z</dcterms:created>
  <dcterms:modified xsi:type="dcterms:W3CDTF">2025-06-11T16:23:54Z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