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pBdr>
          <w:bottom w:val="single" w:sz="6" w:space="1" w:color="AUTO"/>
        </w:pBdr>
        <w:spacing w:before="120" w:after="60"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Distance-based analysis of hybrid effects on predicted weight loss similarity (all mice: n = 335)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Predictor 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Coefficient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1F77B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  <w:r>
              <w:rPr>
                <w:vertAlign w:val="superscript"/>
                <w:i/>
                <w:rFonts w:ascii="Calibri" w:hAnsi="Calibri"/>
                <w:sz w:val="20"/>
                <w:color w:val="FFFFFF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(-0.0135, 0.0193)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0.732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Hybridization distance (hHe)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(-0.0039, 0.0481)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hybridization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-0.0301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(-0.0466, -0.0136)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difference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(-0.0010, 0.0115)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(-0.0907, 0.0103)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Infection difference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-0.0134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(-0.0196, -0.0072)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FEB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***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Significance: *** p &lt; 0.001, ** p &lt; 0.01, * p &lt; 0.05, . p &lt; 0.1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2025-06-16T10:01:50Z</dcterms:created>
  <dcterms:modified xsi:type="dcterms:W3CDTF">2025-06-16T10:01:50Z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