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1. Complete Population Analysis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Distance-based analysis of hybrid effects on health outcome similarity (n = 335 individuals)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Predictor 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Coefficient (β)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/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Subspecies genetic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(-0.0232, 0.0095)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Hybridization distance (hHe)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(-0.0010, 0.0514)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†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Mean hybridization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-0.0224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(-0.0388, -0.0061)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difference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(-0.0102, 0.0022)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Subspecies genetic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(-0.0809, 0.0199)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Infection difference effect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-0.0150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(-0.0212, -0.0087)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***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Statistical significance: *** p &lt; 0.001, ** p &lt; 0.01, * p &lt; 0.05, † p &lt; 0.1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2025-06-16T14:44:37Z</dcterms:created>
  <dcterms:modified xsi:type="dcterms:W3CDTF">2025-06-16T14:44:37Z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